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pacing w:after="200"/>
        <w:jc w:val="center"/>
      </w:pPr>
      <w:r>
        <w:rPr>
          <w:rFonts w:ascii="Arial" w:cs="Arial" w:eastAsia="Arial" w:hAnsi="Arial"/>
          <w:b/>
          <w:bCs/>
          <w:color w:val="1F4E79"/>
          <w:sz w:val="72"/>
          <w:szCs w:val="72"/>
        </w:rPr>
        <w:t xml:space="preserve">AI TAX COPILOT</w:t>
      </w:r>
    </w:p>
    <w:p>
      <w:pPr>
        <w:spacing w:after="160"/>
        <w:jc w:val="center"/>
      </w:pPr>
      <w:r>
        <w:rPr>
          <w:rFonts w:ascii="Arial" w:cs="Arial" w:eastAsia="Arial" w:hAnsi="Arial"/>
          <w:color w:val="2E75B6"/>
          <w:sz w:val="40"/>
          <w:szCs w:val="40"/>
        </w:rPr>
        <w:t xml:space="preserve">Product Requirements Document</w:t>
      </w:r>
    </w:p>
    <w:p>
      <w:pPr>
        <w:spacing w:after="400"/>
        <w:jc w:val="center"/>
      </w:pPr>
      <w:r>
        <w:rPr>
          <w:rFonts w:ascii="Arial" w:cs="Arial" w:eastAsia="Arial" w:hAnsi="Arial"/>
          <w:color w:val="595959"/>
          <w:sz w:val="28"/>
          <w:szCs w:val="28"/>
        </w:rPr>
        <w:t xml:space="preserve">India — FY 2024-25 and Beyond</w:t>
      </w:r>
    </w:p>
    <w:p>
      <w:pPr>
        <w:pBdr>
          <w:bottom w:val="single" w:color="2E75B6" w:sz="4" w:space="1"/>
        </w:pBdr>
        <w:spacing w:before="160" w:after="16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 — For Internal Review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Team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Last Updated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March 2026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Launch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Q3 2026 (Beta)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Confidential</w:t>
            </w:r>
          </w:p>
        </w:tc>
      </w:tr>
    </w:tbl>
    <w:p>
      <w:pPr>
        <w:spacing w:after="640"/>
      </w:pPr>
      <w:r>
        <w:t xml:space="preserve"/>
      </w:r>
    </w:p>
    <w:p>
      <w:r>
        <w:br w:type="page"/>
      </w:r>
    </w:p>
    <w:p>
      <w:pPr>
        <w:pStyle w:val="Heading1"/>
        <w:spacing w:before="360" w:after="160"/>
      </w:pPr>
      <w:r>
        <w:rPr>
          <w:rFonts w:ascii="Arial" w:cs="Arial" w:eastAsia="Arial" w:hAnsi="Arial"/>
          <w:b/>
          <w:bCs/>
          <w:color w:val="1F4E79"/>
          <w:sz w:val="36"/>
          <w:szCs w:val="36"/>
        </w:rPr>
        <w:t xml:space="preserve">1. Executive Summary</w:t>
      </w:r>
    </w:p>
    <w:p>
      <w:pPr>
        <w:spacing w:after="120"/>
      </w:pPr>
      <w:r>
        <w:rPr>
          <w:rFonts w:ascii="Arial" w:cs="Arial" w:eastAsia="Arial" w:hAnsi="Arial"/>
          <w:b w:val="false"/>
          <w:bCs w:val="false"/>
          <w:color w:val="1A1A1A"/>
          <w:sz w:val="22"/>
          <w:szCs w:val="22"/>
        </w:rPr>
        <w:t xml:space="preserve">AI Tax Copilot is an intelligent, conversational tax planning and calculation platform built for India's individual taxpayers, freelancers, and small business owners. It combines a deterministic tax rules engine with a RAG-grounded AI layer to deliver accurate, personalized, and explainable tax guidance — available year-round, not just during filing season.</w:t>
      </w:r>
    </w:p>
    <w:p>
      <w:pPr>
        <w:spacing w:after="120"/>
      </w:pPr>
      <w:r>
        <w:rPr>
          <w:rFonts w:ascii="Arial" w:cs="Arial" w:eastAsia="Arial" w:hAnsi="Arial"/>
          <w:b w:val="false"/>
          <w:bCs w:val="false"/>
          <w:color w:val="1A1A1A"/>
          <w:sz w:val="22"/>
          <w:szCs w:val="22"/>
        </w:rPr>
        <w:t xml:space="preserve">The Indian tax filing ecosystem is broken for the average user. Over 93 million ITRs were filed in FY 2023-24, yet the majority of filers either overpay tax due to missed deductions, underpay due to miscalculations and face penalties, or remain dependent on expensive CAs for basic planning that a well-designed system could automate.</w:t>
      </w:r>
    </w:p>
    <w:p>
      <w:pPr>
        <w:spacing w:after="120"/>
      </w:pPr>
      <w:r>
        <w:rPr>
          <w:rFonts w:ascii="Arial" w:cs="Arial" w:eastAsia="Arial" w:hAnsi="Arial"/>
          <w:b w:val="false"/>
          <w:bCs w:val="false"/>
          <w:color w:val="1A1A1A"/>
          <w:sz w:val="22"/>
          <w:szCs w:val="22"/>
        </w:rPr>
        <w:t xml:space="preserve">AI Tax Copilot solves this by replacing the form-filling paradigm with a conversational interface that meets users where they are — plain language, not legalese. The product is not a replacement for professional tax advice in complex situations; it is an always-available, highly accurate first layer that handles the 80% of tax scenarios most users actually face.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Vision</w:t>
            </w:r>
          </w:p>
        </w:tc>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Every Indian taxpayer — salaried, freelancer, or business owner — should be able to understand, plan, and optimize their taxes in under 10 minutes without needing a CA for routine situations.</w:t>
            </w:r>
          </w:p>
        </w:tc>
      </w:tr>
    </w:tbl>
    <w:p>
      <w:pPr>
        <w:spacing w:after="160"/>
      </w:pPr>
      <w:r>
        <w:t xml:space="preserve"/>
      </w:r>
    </w:p>
    <w:p>
      <w:pPr>
        <w:pStyle w:val="Heading2"/>
        <w:spacing w:before="280" w:after="120"/>
      </w:pPr>
      <w:r>
        <w:rPr>
          <w:rFonts w:ascii="Arial" w:cs="Arial" w:eastAsia="Arial" w:hAnsi="Arial"/>
          <w:b/>
          <w:bCs/>
          <w:color w:val="2E75B6"/>
          <w:sz w:val="28"/>
          <w:szCs w:val="28"/>
        </w:rPr>
        <w:t xml:space="preserve">1.1 Key Metrics for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(12 months post-launch)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Active 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Tax Calculation 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99.5% (vs manual CA calculation)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Avg. Tax Savings Surfaced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₹18,000+ per user per year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Satisfaction (CSAT)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4.4 / 5.0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Session Completion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 (user gets a tax figure)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D30 Retention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Regime Comparator Usage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85% of sessions</w:t>
            </w:r>
          </w:p>
        </w:tc>
      </w:tr>
    </w:tbl>
    <w:p>
      <w:r>
        <w:br w:type="page"/>
      </w:r>
    </w:p>
    <w:p>
      <w:pPr>
        <w:pStyle w:val="Heading1"/>
        <w:spacing w:before="360" w:after="160"/>
      </w:pPr>
      <w:r>
        <w:rPr>
          <w:rFonts w:ascii="Arial" w:cs="Arial" w:eastAsia="Arial" w:hAnsi="Arial"/>
          <w:b/>
          <w:bCs/>
          <w:color w:val="1F4E79"/>
          <w:sz w:val="36"/>
          <w:szCs w:val="36"/>
        </w:rPr>
        <w:t xml:space="preserve">2. Problem Statement</w:t>
      </w:r>
    </w:p>
    <w:p>
      <w:pPr>
        <w:pStyle w:val="Heading2"/>
        <w:spacing w:before="280" w:after="120"/>
      </w:pPr>
      <w:r>
        <w:rPr>
          <w:rFonts w:ascii="Arial" w:cs="Arial" w:eastAsia="Arial" w:hAnsi="Arial"/>
          <w:b/>
          <w:bCs/>
          <w:color w:val="2E75B6"/>
          <w:sz w:val="28"/>
          <w:szCs w:val="28"/>
        </w:rPr>
        <w:t xml:space="preserve">2.1 The Indian Taxpayer Today</w:t>
      </w:r>
    </w:p>
    <w:p>
      <w:pPr>
        <w:spacing w:after="120"/>
      </w:pPr>
      <w:r>
        <w:rPr>
          <w:rFonts w:ascii="Arial" w:cs="Arial" w:eastAsia="Arial" w:hAnsi="Arial"/>
          <w:b w:val="false"/>
          <w:bCs w:val="false"/>
          <w:color w:val="1A1A1A"/>
          <w:sz w:val="22"/>
          <w:szCs w:val="22"/>
        </w:rPr>
        <w:t xml:space="preserve">Despite digitisation of the Income Tax portal and the availability of tax filing software, the core problem remains unsolved: most Indian taxpayers do not understand their own tax situation. This leads to three categories of failure:</w:t>
      </w:r>
    </w:p>
    <w:p>
      <w:pPr>
        <w:pStyle w:val="ListParagraph"/>
        <w:numPr>
          <w:ilvl w:val="0"/>
          <w:numId w:val="2"/>
        </w:numPr>
        <w:spacing w:after="80"/>
      </w:pPr>
      <w:r>
        <w:rPr>
          <w:rFonts w:ascii="Arial" w:cs="Arial" w:eastAsia="Arial" w:hAnsi="Arial"/>
          <w:color w:val="1A1A1A"/>
          <w:sz w:val="22"/>
          <w:szCs w:val="22"/>
        </w:rPr>
        <w:t xml:space="preserve">Overpayment — missed deductions under 80C, 80D, HRA, 44ADA, NPS. A typical salaried employee in the ₹10–15L bracket leaves ₹15,000–40,000 of legitimate savings on the table annually.</w:t>
      </w:r>
    </w:p>
    <w:p>
      <w:pPr>
        <w:pStyle w:val="ListParagraph"/>
        <w:numPr>
          <w:ilvl w:val="0"/>
          <w:numId w:val="2"/>
        </w:numPr>
        <w:spacing w:after="80"/>
      </w:pPr>
      <w:r>
        <w:rPr>
          <w:rFonts w:ascii="Arial" w:cs="Arial" w:eastAsia="Arial" w:hAnsi="Arial"/>
          <w:color w:val="1A1A1A"/>
          <w:sz w:val="22"/>
          <w:szCs w:val="22"/>
        </w:rPr>
        <w:t xml:space="preserve">Underpayment and penalties — advance tax not paid, incorrect regime chosen, unreported freelance income. The penalty regime under sections 234A, 234B, 234C compounds these errors.</w:t>
      </w:r>
    </w:p>
    <w:p>
      <w:pPr>
        <w:pStyle w:val="ListParagraph"/>
        <w:numPr>
          <w:ilvl w:val="0"/>
          <w:numId w:val="2"/>
        </w:numPr>
        <w:spacing w:after="80"/>
      </w:pPr>
      <w:r>
        <w:rPr>
          <w:rFonts w:ascii="Arial" w:cs="Arial" w:eastAsia="Arial" w:hAnsi="Arial"/>
          <w:color w:val="1A1A1A"/>
          <w:sz w:val="22"/>
          <w:szCs w:val="22"/>
        </w:rPr>
        <w:t xml:space="preserve">Decision paralysis — the Old vs New regime choice alone causes significant anxiety. Most users make this decision without calculating their actual numbers under both scenarios.</w:t>
      </w:r>
    </w:p>
    <w:p>
      <w:pPr>
        <w:spacing w:after="160"/>
      </w:pPr>
      <w:r>
        <w:t xml:space="preserve"/>
      </w:r>
    </w:p>
    <w:p>
      <w:pPr>
        <w:pStyle w:val="Heading2"/>
        <w:spacing w:before="280" w:after="120"/>
      </w:pPr>
      <w:r>
        <w:rPr>
          <w:rFonts w:ascii="Arial" w:cs="Arial" w:eastAsia="Arial" w:hAnsi="Arial"/>
          <w:b/>
          <w:bCs/>
          <w:color w:val="2E75B6"/>
          <w:sz w:val="28"/>
          <w:szCs w:val="28"/>
        </w:rPr>
        <w:t xml:space="preserve">2.2 Existing Solutions and Their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Works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Fails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ClearTax / TaxBuddy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Filing workflow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planning, no conversation, form-based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 / Tax Consultant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Personalised advice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Expensive, seasonal, inaccessible to many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 Tax Portal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Official and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Complex UI, no guidance, no planning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Excel calculators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Flexible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entry, no intelligence, no history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Generic chatbots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Hallucinate tax law, no calculation engine</w:t>
            </w:r>
          </w:p>
        </w:tc>
      </w:tr>
    </w:tbl>
    <w:p>
      <w:pPr>
        <w:spacing w:after="160"/>
      </w:pPr>
      <w:r>
        <w:t xml:space="preserve"/>
      </w:r>
    </w:p>
    <w:p>
      <w:pPr>
        <w:pStyle w:val="Heading2"/>
        <w:spacing w:before="280" w:after="120"/>
      </w:pPr>
      <w:r>
        <w:rPr>
          <w:rFonts w:ascii="Arial" w:cs="Arial" w:eastAsia="Arial" w:hAnsi="Arial"/>
          <w:b/>
          <w:bCs/>
          <w:color w:val="2E75B6"/>
          <w:sz w:val="28"/>
          <w:szCs w:val="28"/>
        </w:rPr>
        <w:t xml:space="preserve">2.3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Insight</w:t>
            </w:r>
          </w:p>
        </w:tc>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The problem is not that users lack access to a calculator. It is that they do not know what numbers to put in, what deductions they qualify for, and what decisions to make. AI Tax Copilot addresses the layer before the calculator — understanding, planning, and optimizing — not just computing.</w:t>
            </w:r>
          </w:p>
        </w:tc>
      </w:tr>
    </w:tbl>
    <w:p>
      <w:r>
        <w:br w:type="page"/>
      </w:r>
    </w:p>
    <w:p>
      <w:pPr>
        <w:pStyle w:val="Heading1"/>
        <w:spacing w:before="360" w:after="160"/>
      </w:pPr>
      <w:r>
        <w:rPr>
          <w:rFonts w:ascii="Arial" w:cs="Arial" w:eastAsia="Arial" w:hAnsi="Arial"/>
          <w:b/>
          <w:bCs/>
          <w:color w:val="1F4E79"/>
          <w:sz w:val="36"/>
          <w:szCs w:val="36"/>
        </w:rPr>
        <w:t xml:space="preserve">3. Target Users and Personas</w:t>
      </w:r>
    </w:p>
    <w:p>
      <w:pPr>
        <w:pStyle w:val="Heading2"/>
        <w:spacing w:before="280" w:after="120"/>
      </w:pPr>
      <w:r>
        <w:rPr>
          <w:rFonts w:ascii="Arial" w:cs="Arial" w:eastAsia="Arial" w:hAnsi="Arial"/>
          <w:b/>
          <w:bCs/>
          <w:color w:val="2E75B6"/>
          <w:sz w:val="28"/>
          <w:szCs w:val="28"/>
        </w:rPr>
        <w:t xml:space="preserve">3.1 Primary Personas</w:t>
      </w:r>
    </w:p>
    <w:p>
      <w:pPr>
        <w:spacing w:after="160"/>
      </w:pPr>
      <w:r>
        <w:t xml:space="preserve"/>
      </w:r>
    </w:p>
    <w:p>
      <w:pPr>
        <w:pStyle w:val="Heading3"/>
        <w:spacing w:before="200" w:after="80"/>
      </w:pPr>
      <w:r>
        <w:rPr>
          <w:rFonts w:ascii="Arial" w:cs="Arial" w:eastAsia="Arial" w:hAnsi="Arial"/>
          <w:b/>
          <w:bCs/>
          <w:color w:val="1A1A1A"/>
          <w:sz w:val="24"/>
          <w:szCs w:val="24"/>
        </w:rPr>
        <w:t xml:space="preserve">Persona 1 — Salaried Employee (The Confused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26–40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₹8L – ₹25L per annum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Pain 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Doesn't know which regime to choose, forgets investment proofs in February, unsure about HRA claims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Minimize tax with minimal effort. Get a clear number and a recommendation.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Key Feature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Regime comparator, investment suggestion engine, Form 16 auto-parse</w:t>
            </w:r>
          </w:p>
        </w:tc>
      </w:tr>
    </w:tbl>
    <w:p>
      <w:pPr>
        <w:spacing w:after="160"/>
      </w:pPr>
      <w:r>
        <w:t xml:space="preserve"/>
      </w:r>
    </w:p>
    <w:p>
      <w:pPr>
        <w:pStyle w:val="Heading3"/>
        <w:spacing w:before="200" w:after="80"/>
      </w:pPr>
      <w:r>
        <w:rPr>
          <w:rFonts w:ascii="Arial" w:cs="Arial" w:eastAsia="Arial" w:hAnsi="Arial"/>
          <w:b/>
          <w:bCs/>
          <w:color w:val="1A1A1A"/>
          <w:sz w:val="24"/>
          <w:szCs w:val="24"/>
        </w:rPr>
        <w:t xml:space="preserve">Persona 2 — Freelancer / Gig Worker (The Underserved)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24–38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₹6L – ₹40L (variable)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Pain 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Doesn't know about 44ADA, mixes personal and business expenses, worried about GST threshold, no employer to deduct TDS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Know exactly how much tax to set aside, understand deductible expenses, avoid surprise tax bill in March.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Key Feature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44ADA eligibility check, expense tracker, advance tax calculator, GST threshold alert</w:t>
            </w:r>
          </w:p>
        </w:tc>
      </w:tr>
    </w:tbl>
    <w:p>
      <w:pPr>
        <w:spacing w:after="160"/>
      </w:pPr>
      <w:r>
        <w:t xml:space="preserve"/>
      </w:r>
    </w:p>
    <w:p>
      <w:pPr>
        <w:pStyle w:val="Heading3"/>
        <w:spacing w:before="200" w:after="80"/>
      </w:pPr>
      <w:r>
        <w:rPr>
          <w:rFonts w:ascii="Arial" w:cs="Arial" w:eastAsia="Arial" w:hAnsi="Arial"/>
          <w:b/>
          <w:bCs/>
          <w:color w:val="1A1A1A"/>
          <w:sz w:val="24"/>
          <w:szCs w:val="24"/>
        </w:rPr>
        <w:t xml:space="preserve">Persona 3 — Small Business Owner (The Overwhelmed)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30–50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₹15L – ₹1Cr (business + personal)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Pain 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Separating personal and business income, depreciation, GST reconciliation, payroll compliance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Understand tax liability before year-end. Avoid penalties. Know what to tell the CA.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Key Feature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income module, loss set-off tracking, TDS compliance alerts</w:t>
            </w:r>
          </w:p>
        </w:tc>
      </w:tr>
    </w:tbl>
    <w:p>
      <w:pPr>
        <w:spacing w:after="160"/>
      </w:pPr>
      <w:r>
        <w:t xml:space="preserve"/>
      </w:r>
    </w:p>
    <w:p>
      <w:pPr>
        <w:pStyle w:val="Heading3"/>
        <w:spacing w:before="200" w:after="80"/>
      </w:pPr>
      <w:r>
        <w:rPr>
          <w:rFonts w:ascii="Arial" w:cs="Arial" w:eastAsia="Arial" w:hAnsi="Arial"/>
          <w:b/>
          <w:bCs/>
          <w:color w:val="1A1A1A"/>
          <w:sz w:val="24"/>
          <w:szCs w:val="24"/>
        </w:rPr>
        <w:t xml:space="preserve">Persona 4 — First-Time Filer (The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21–27</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₹3L – ₹8L (first job or internship)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Pain 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Never filed before, doesn't understand Form 26AS vs AIS, intimidated by the portal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Understand if they even need to file. Get step-by-step guidance in simple language.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Key Feature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Filing obligation checker, jargon-free explanations, guided walkthrough mode</w:t>
            </w:r>
          </w:p>
        </w:tc>
      </w:tr>
    </w:tbl>
    <w:p>
      <w:r>
        <w:br w:type="page"/>
      </w:r>
    </w:p>
    <w:p>
      <w:pPr>
        <w:pStyle w:val="Heading1"/>
        <w:spacing w:before="360" w:after="160"/>
      </w:pPr>
      <w:r>
        <w:rPr>
          <w:rFonts w:ascii="Arial" w:cs="Arial" w:eastAsia="Arial" w:hAnsi="Arial"/>
          <w:b/>
          <w:bCs/>
          <w:color w:val="1F4E79"/>
          <w:sz w:val="36"/>
          <w:szCs w:val="36"/>
        </w:rPr>
        <w:t xml:space="preserve">4. Product Features</w:t>
      </w:r>
    </w:p>
    <w:p>
      <w:pPr>
        <w:pStyle w:val="Heading2"/>
        <w:spacing w:before="280" w:after="120"/>
      </w:pPr>
      <w:r>
        <w:rPr>
          <w:rFonts w:ascii="Arial" w:cs="Arial" w:eastAsia="Arial" w:hAnsi="Arial"/>
          <w:b/>
          <w:bCs/>
          <w:color w:val="2E75B6"/>
          <w:sz w:val="28"/>
          <w:szCs w:val="28"/>
        </w:rPr>
        <w:t xml:space="preserve">4.1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Release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Conversational tax data collection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 — Must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Old vs New regime comparator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 — Must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 16 / AIS auto-parse (OCR)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 — Must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Tax calculation engine (all slabs)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 — Must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Deduction optimizer (80C/80D/NPS)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 — Must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RAG-grounded responses with citations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P0 — Must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Advance tax calculator + schedule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P1 — Should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44ADA eligibility and calculation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P1 — Should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Capital gains module (equity + property)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P1 — Should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Downloadable tax summary 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P1 — Should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Multi-session memory (persistent 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P1 — Should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HRA calculator (3-part formula)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P1 — Should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GST threshold alert (₹20L / ₹40L)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P2 — Nice to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Loss set-off and carry-forward tracker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P2 — Nice to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TDS reconciliation (Form 26AS vs AIS)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P2 — Nice to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WhatsApp integration for reminders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P2 — Nice to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 handoff — export to CA-ready format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P2 — Nice to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ITR filing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P3 — Future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v2.0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Multi-country tax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P3 — Future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v2.0</w:t>
            </w:r>
          </w:p>
        </w:tc>
      </w:tr>
    </w:tbl>
    <w:p>
      <w:pPr>
        <w:spacing w:after="160"/>
      </w:pPr>
      <w:r>
        <w:t xml:space="preserve"/>
      </w:r>
    </w:p>
    <w:p>
      <w:pPr>
        <w:pStyle w:val="Heading2"/>
        <w:spacing w:before="280" w:after="120"/>
      </w:pPr>
      <w:r>
        <w:rPr>
          <w:rFonts w:ascii="Arial" w:cs="Arial" w:eastAsia="Arial" w:hAnsi="Arial"/>
          <w:b/>
          <w:bCs/>
          <w:color w:val="2E75B6"/>
          <w:sz w:val="28"/>
          <w:szCs w:val="28"/>
        </w:rPr>
        <w:t xml:space="preserve">4.2 Core Feature Specifications</w:t>
      </w:r>
    </w:p>
    <w:p>
      <w:pPr>
        <w:pStyle w:val="Heading3"/>
        <w:spacing w:before="200" w:after="80"/>
      </w:pPr>
      <w:r>
        <w:rPr>
          <w:rFonts w:ascii="Arial" w:cs="Arial" w:eastAsia="Arial" w:hAnsi="Arial"/>
          <w:b/>
          <w:bCs/>
          <w:color w:val="1A1A1A"/>
          <w:sz w:val="24"/>
          <w:szCs w:val="24"/>
        </w:rPr>
        <w:t xml:space="preserve">4.2.1 Conversational Tax Data Collection</w:t>
      </w:r>
    </w:p>
    <w:p>
      <w:pPr>
        <w:spacing w:after="120"/>
      </w:pPr>
      <w:r>
        <w:rPr>
          <w:rFonts w:ascii="Arial" w:cs="Arial" w:eastAsia="Arial" w:hAnsi="Arial"/>
          <w:b w:val="false"/>
          <w:bCs w:val="false"/>
          <w:color w:val="1A1A1A"/>
          <w:sz w:val="22"/>
          <w:szCs w:val="22"/>
        </w:rPr>
        <w:t xml:space="preserve">The system collects financial data through conversation instead of forms. The AI adapts its questions based on the user's persona, asking only what is relevant and skipping what is not.</w:t>
      </w:r>
    </w:p>
    <w:p>
      <w:pPr>
        <w:pStyle w:val="ListParagraph"/>
        <w:numPr>
          <w:ilvl w:val="0"/>
          <w:numId w:val="2"/>
        </w:numPr>
        <w:spacing w:after="80"/>
      </w:pPr>
      <w:r>
        <w:rPr>
          <w:rFonts w:ascii="Arial" w:cs="Arial" w:eastAsia="Arial" w:hAnsi="Arial"/>
          <w:color w:val="1A1A1A"/>
          <w:sz w:val="22"/>
          <w:szCs w:val="22"/>
        </w:rPr>
        <w:t xml:space="preserve">Pre-populated opening question based on onboarding persona (no blank chat)</w:t>
      </w:r>
    </w:p>
    <w:p>
      <w:pPr>
        <w:pStyle w:val="ListParagraph"/>
        <w:numPr>
          <w:ilvl w:val="0"/>
          <w:numId w:val="2"/>
        </w:numPr>
        <w:spacing w:after="80"/>
      </w:pPr>
      <w:r>
        <w:rPr>
          <w:rFonts w:ascii="Arial" w:cs="Arial" w:eastAsia="Arial" w:hAnsi="Arial"/>
          <w:color w:val="1A1A1A"/>
          <w:sz w:val="22"/>
          <w:szCs w:val="22"/>
        </w:rPr>
        <w:t xml:space="preserve">Handles natural language amounts: '10 lakhs', '₹10L', '1 million', '10,00,000' all parse correctly</w:t>
      </w:r>
    </w:p>
    <w:p>
      <w:pPr>
        <w:pStyle w:val="ListParagraph"/>
        <w:numPr>
          <w:ilvl w:val="0"/>
          <w:numId w:val="2"/>
        </w:numPr>
        <w:spacing w:after="80"/>
      </w:pPr>
      <w:r>
        <w:rPr>
          <w:rFonts w:ascii="Arial" w:cs="Arial" w:eastAsia="Arial" w:hAnsi="Arial"/>
          <w:color w:val="1A1A1A"/>
          <w:sz w:val="22"/>
          <w:szCs w:val="22"/>
        </w:rPr>
        <w:t xml:space="preserve">Real-time Financial Summary Card updates in sidebar as data is confirmed</w:t>
      </w:r>
    </w:p>
    <w:p>
      <w:pPr>
        <w:pStyle w:val="ListParagraph"/>
        <w:numPr>
          <w:ilvl w:val="0"/>
          <w:numId w:val="2"/>
        </w:numPr>
        <w:spacing w:after="80"/>
      </w:pPr>
      <w:r>
        <w:rPr>
          <w:rFonts w:ascii="Arial" w:cs="Arial" w:eastAsia="Arial" w:hAnsi="Arial"/>
          <w:color w:val="1A1A1A"/>
          <w:sz w:val="22"/>
          <w:szCs w:val="22"/>
        </w:rPr>
        <w:t xml:space="preserve">All data points are editable at any time — tapping a confirmed item reopens it for editing</w:t>
      </w:r>
    </w:p>
    <w:p>
      <w:pPr>
        <w:pStyle w:val="ListParagraph"/>
        <w:numPr>
          <w:ilvl w:val="0"/>
          <w:numId w:val="2"/>
        </w:numPr>
        <w:spacing w:after="80"/>
      </w:pPr>
      <w:r>
        <w:rPr>
          <w:rFonts w:ascii="Arial" w:cs="Arial" w:eastAsia="Arial" w:hAnsi="Arial"/>
          <w:color w:val="1A1A1A"/>
          <w:sz w:val="22"/>
          <w:szCs w:val="22"/>
        </w:rPr>
        <w:t xml:space="preserve">Contradictions are surfaced gently: if a user says 'salaried' but later mentions GST invoices, the system asks a clarifying question rather than overwriting the profile</w:t>
      </w:r>
    </w:p>
    <w:p>
      <w:pPr>
        <w:pStyle w:val="ListParagraph"/>
        <w:numPr>
          <w:ilvl w:val="0"/>
          <w:numId w:val="2"/>
        </w:numPr>
        <w:spacing w:after="80"/>
      </w:pPr>
      <w:r>
        <w:rPr>
          <w:rFonts w:ascii="Arial" w:cs="Arial" w:eastAsia="Arial" w:hAnsi="Arial"/>
          <w:color w:val="1A1A1A"/>
          <w:sz w:val="22"/>
          <w:szCs w:val="22"/>
        </w:rPr>
        <w:t xml:space="preserve">Mid-session profile changes trigger a full recalculation with a visible diff showing the tax impact</w:t>
      </w:r>
    </w:p>
    <w:p>
      <w:pPr>
        <w:spacing w:after="160"/>
      </w:pPr>
      <w:r>
        <w:t xml:space="preserve"/>
      </w:r>
    </w:p>
    <w:p>
      <w:pPr>
        <w:pStyle w:val="Heading3"/>
        <w:spacing w:before="200" w:after="80"/>
      </w:pPr>
      <w:r>
        <w:rPr>
          <w:rFonts w:ascii="Arial" w:cs="Arial" w:eastAsia="Arial" w:hAnsi="Arial"/>
          <w:b/>
          <w:bCs/>
          <w:color w:val="1A1A1A"/>
          <w:sz w:val="24"/>
          <w:szCs w:val="24"/>
        </w:rPr>
        <w:t xml:space="preserve">4.2.2 Old vs New Regime Comparator (Flagship Feature)</w:t>
      </w:r>
    </w:p>
    <w:p>
      <w:pPr>
        <w:spacing w:after="120"/>
      </w:pPr>
      <w:r>
        <w:rPr>
          <w:rFonts w:ascii="Arial" w:cs="Arial" w:eastAsia="Arial" w:hAnsi="Arial"/>
          <w:b w:val="false"/>
          <w:bCs w:val="false"/>
          <w:color w:val="1A1A1A"/>
          <w:sz w:val="22"/>
          <w:szCs w:val="22"/>
        </w:rPr>
        <w:t xml:space="preserve">Every session automatically runs both tax regime calculations and presents a side-by-side comparison. This is the single highest-value feature for the majority of Indian taxpayers.</w:t>
      </w:r>
    </w:p>
    <w:p>
      <w:pPr>
        <w:pStyle w:val="ListParagraph"/>
        <w:numPr>
          <w:ilvl w:val="0"/>
          <w:numId w:val="2"/>
        </w:numPr>
        <w:spacing w:after="80"/>
      </w:pPr>
      <w:r>
        <w:rPr>
          <w:rFonts w:ascii="Arial" w:cs="Arial" w:eastAsia="Arial" w:hAnsi="Arial"/>
          <w:color w:val="1A1A1A"/>
          <w:sz w:val="22"/>
          <w:szCs w:val="22"/>
        </w:rPr>
        <w:t xml:space="preserve">Runs both regimes with the same input — user never has to ask for it</w:t>
      </w:r>
    </w:p>
    <w:p>
      <w:pPr>
        <w:pStyle w:val="ListParagraph"/>
        <w:numPr>
          <w:ilvl w:val="0"/>
          <w:numId w:val="2"/>
        </w:numPr>
        <w:spacing w:after="80"/>
      </w:pPr>
      <w:r>
        <w:rPr>
          <w:rFonts w:ascii="Arial" w:cs="Arial" w:eastAsia="Arial" w:hAnsi="Arial"/>
          <w:color w:val="1A1A1A"/>
          <w:sz w:val="22"/>
          <w:szCs w:val="22"/>
        </w:rPr>
        <w:t xml:space="preserve">Shows: taxable income under each regime, deductions applied, final tax, effective rate, and savings</w:t>
      </w:r>
    </w:p>
    <w:p>
      <w:pPr>
        <w:pStyle w:val="ListParagraph"/>
        <w:numPr>
          <w:ilvl w:val="0"/>
          <w:numId w:val="2"/>
        </w:numPr>
        <w:spacing w:after="80"/>
      </w:pPr>
      <w:r>
        <w:rPr>
          <w:rFonts w:ascii="Arial" w:cs="Arial" w:eastAsia="Arial" w:hAnsi="Arial"/>
          <w:color w:val="1A1A1A"/>
          <w:sz w:val="22"/>
          <w:szCs w:val="22"/>
        </w:rPr>
        <w:t xml:space="preserve">Highlights the winning regime with a clear recommendation and plain-language reason</w:t>
      </w:r>
    </w:p>
    <w:p>
      <w:pPr>
        <w:pStyle w:val="ListParagraph"/>
        <w:numPr>
          <w:ilvl w:val="0"/>
          <w:numId w:val="2"/>
        </w:numPr>
        <w:spacing w:after="80"/>
      </w:pPr>
      <w:r>
        <w:rPr>
          <w:rFonts w:ascii="Arial" w:cs="Arial" w:eastAsia="Arial" w:hAnsi="Arial"/>
          <w:color w:val="1A1A1A"/>
          <w:sz w:val="22"/>
          <w:szCs w:val="22"/>
        </w:rPr>
        <w:t xml:space="preserve">Shows 'breakeven investment' — how much the user needs to invest in deductible instruments to flip the regime recommendation</w:t>
      </w:r>
    </w:p>
    <w:p>
      <w:pPr>
        <w:pStyle w:val="ListParagraph"/>
        <w:numPr>
          <w:ilvl w:val="0"/>
          <w:numId w:val="2"/>
        </w:numPr>
        <w:spacing w:after="80"/>
      </w:pPr>
      <w:r>
        <w:rPr>
          <w:rFonts w:ascii="Arial" w:cs="Arial" w:eastAsia="Arial" w:hAnsi="Arial"/>
          <w:color w:val="1A1A1A"/>
          <w:sz w:val="22"/>
          <w:szCs w:val="22"/>
        </w:rPr>
        <w:t xml:space="preserve">Handles FY 2024-25 rules: New regime standard deduction ₹75,000, rebate under 87A up to ₹7L taxable income</w:t>
      </w:r>
    </w:p>
    <w:p>
      <w:pPr>
        <w:spacing w:after="160"/>
      </w:pPr>
      <w:r>
        <w:t xml:space="preserve"/>
      </w:r>
    </w:p>
    <w:p>
      <w:pPr>
        <w:pStyle w:val="Heading3"/>
        <w:spacing w:before="200" w:after="80"/>
      </w:pPr>
      <w:r>
        <w:rPr>
          <w:rFonts w:ascii="Arial" w:cs="Arial" w:eastAsia="Arial" w:hAnsi="Arial"/>
          <w:b/>
          <w:bCs/>
          <w:color w:val="1A1A1A"/>
          <w:sz w:val="24"/>
          <w:szCs w:val="24"/>
        </w:rPr>
        <w:t xml:space="preserve">4.2.3 Document Auto-Parse</w:t>
      </w:r>
    </w:p>
    <w:p>
      <w:pPr>
        <w:spacing w:after="120"/>
      </w:pPr>
      <w:r>
        <w:rPr>
          <w:rFonts w:ascii="Arial" w:cs="Arial" w:eastAsia="Arial" w:hAnsi="Arial"/>
          <w:b w:val="false"/>
          <w:bCs w:val="false"/>
          <w:color w:val="1A1A1A"/>
          <w:sz w:val="22"/>
          <w:szCs w:val="22"/>
        </w:rPr>
        <w:t xml:space="preserve">Users can upload financial documents and the system extracts all relevant data automatically, reducing manual entry to near-zero for users who keep their documents.</w:t>
      </w:r>
    </w:p>
    <w:p>
      <w:pPr>
        <w:pStyle w:val="ListParagraph"/>
        <w:numPr>
          <w:ilvl w:val="0"/>
          <w:numId w:val="2"/>
        </w:numPr>
        <w:spacing w:after="80"/>
      </w:pPr>
      <w:r>
        <w:rPr>
          <w:rFonts w:ascii="Arial" w:cs="Arial" w:eastAsia="Arial" w:hAnsi="Arial"/>
          <w:color w:val="1A1A1A"/>
          <w:sz w:val="22"/>
          <w:szCs w:val="22"/>
        </w:rPr>
        <w:t xml:space="preserve">Supported formats: Form 16 (Part A and B), AIS, 26AS, salary slips, rent receipts, investment proofs (ELSS, PPF, NPS, LIC), home loan statements, GST invoices, bank statements, medical bills</w:t>
      </w:r>
    </w:p>
    <w:p>
      <w:pPr>
        <w:pStyle w:val="ListParagraph"/>
        <w:numPr>
          <w:ilvl w:val="0"/>
          <w:numId w:val="2"/>
        </w:numPr>
        <w:spacing w:after="80"/>
      </w:pPr>
      <w:r>
        <w:rPr>
          <w:rFonts w:ascii="Arial" w:cs="Arial" w:eastAsia="Arial" w:hAnsi="Arial"/>
          <w:color w:val="1A1A1A"/>
          <w:sz w:val="22"/>
          <w:szCs w:val="22"/>
        </w:rPr>
        <w:t xml:space="preserve">OCR pipeline handles scanned documents, rotated images, and handwritten receipts (with lower confidence flagging)</w:t>
      </w:r>
    </w:p>
    <w:p>
      <w:pPr>
        <w:pStyle w:val="ListParagraph"/>
        <w:numPr>
          <w:ilvl w:val="0"/>
          <w:numId w:val="2"/>
        </w:numPr>
        <w:spacing w:after="80"/>
      </w:pPr>
      <w:r>
        <w:rPr>
          <w:rFonts w:ascii="Arial" w:cs="Arial" w:eastAsia="Arial" w:hAnsi="Arial"/>
          <w:color w:val="1A1A1A"/>
          <w:sz w:val="22"/>
          <w:szCs w:val="22"/>
        </w:rPr>
        <w:t xml:space="preserve">After extraction, the system shows a structured preview with colour-coded confidence indicators (green / amber / red)</w:t>
      </w:r>
    </w:p>
    <w:p>
      <w:pPr>
        <w:pStyle w:val="ListParagraph"/>
        <w:numPr>
          <w:ilvl w:val="0"/>
          <w:numId w:val="2"/>
        </w:numPr>
        <w:spacing w:after="80"/>
      </w:pPr>
      <w:r>
        <w:rPr>
          <w:rFonts w:ascii="Arial" w:cs="Arial" w:eastAsia="Arial" w:hAnsi="Arial"/>
          <w:color w:val="1A1A1A"/>
          <w:sz w:val="22"/>
          <w:szCs w:val="22"/>
        </w:rPr>
        <w:t xml:space="preserve">Form 16 vs AIS mismatch detection — if TDS figures differ, the system explains the discrepancy and advises resolution before filing</w:t>
      </w:r>
    </w:p>
    <w:p>
      <w:pPr>
        <w:pStyle w:val="ListParagraph"/>
        <w:numPr>
          <w:ilvl w:val="0"/>
          <w:numId w:val="2"/>
        </w:numPr>
        <w:spacing w:after="80"/>
      </w:pPr>
      <w:r>
        <w:rPr>
          <w:rFonts w:ascii="Arial" w:cs="Arial" w:eastAsia="Arial" w:hAnsi="Arial"/>
          <w:color w:val="1A1A1A"/>
          <w:sz w:val="22"/>
          <w:szCs w:val="22"/>
        </w:rPr>
        <w:t xml:space="preserve">Password-protected PDFs: system suggests common password patterns (e.g., last 4 digits of PAN, DOB) before asking user</w:t>
      </w:r>
    </w:p>
    <w:p>
      <w:pPr>
        <w:spacing w:after="160"/>
      </w:pPr>
      <w:r>
        <w:t xml:space="preserve"/>
      </w:r>
    </w:p>
    <w:p>
      <w:pPr>
        <w:pStyle w:val="Heading3"/>
        <w:spacing w:before="200" w:after="80"/>
      </w:pPr>
      <w:r>
        <w:rPr>
          <w:rFonts w:ascii="Arial" w:cs="Arial" w:eastAsia="Arial" w:hAnsi="Arial"/>
          <w:b/>
          <w:bCs/>
          <w:color w:val="1A1A1A"/>
          <w:sz w:val="24"/>
          <w:szCs w:val="24"/>
        </w:rPr>
        <w:t xml:space="preserve">4.2.4 Tax Calculation Engine</w:t>
      </w:r>
    </w:p>
    <w:p>
      <w:pPr>
        <w:spacing w:after="120"/>
      </w:pPr>
      <w:r>
        <w:rPr>
          <w:rFonts w:ascii="Arial" w:cs="Arial" w:eastAsia="Arial" w:hAnsi="Arial"/>
          <w:b w:val="false"/>
          <w:bCs w:val="false"/>
          <w:color w:val="1A1A1A"/>
          <w:sz w:val="22"/>
          <w:szCs w:val="22"/>
        </w:rPr>
        <w:t xml:space="preserve">The engine is a standalone, deterministic Python module with no AI involvement. It is the source of truth for all tax figures in the product. The AI layer only explains what the engine produces.</w:t>
      </w:r>
    </w:p>
    <w:p>
      <w:pPr>
        <w:pStyle w:val="ListParagraph"/>
        <w:numPr>
          <w:ilvl w:val="0"/>
          <w:numId w:val="2"/>
        </w:numPr>
        <w:spacing w:after="80"/>
      </w:pPr>
      <w:r>
        <w:rPr>
          <w:rFonts w:ascii="Arial" w:cs="Arial" w:eastAsia="Arial" w:hAnsi="Arial"/>
          <w:color w:val="1A1A1A"/>
          <w:sz w:val="22"/>
          <w:szCs w:val="22"/>
        </w:rPr>
        <w:t xml:space="preserve">FY 2024-25 tax slabs — both regimes, including all surcharge thresholds (50L, 1Cr, 2Cr, 5Cr)</w:t>
      </w:r>
    </w:p>
    <w:p>
      <w:pPr>
        <w:pStyle w:val="ListParagraph"/>
        <w:numPr>
          <w:ilvl w:val="0"/>
          <w:numId w:val="2"/>
        </w:numPr>
        <w:spacing w:after="80"/>
      </w:pPr>
      <w:r>
        <w:rPr>
          <w:rFonts w:ascii="Arial" w:cs="Arial" w:eastAsia="Arial" w:hAnsi="Arial"/>
          <w:color w:val="1A1A1A"/>
          <w:sz w:val="22"/>
          <w:szCs w:val="22"/>
        </w:rPr>
        <w:t xml:space="preserve">Marginal relief calculation — ensures users just above a surcharge threshold are never worse off than those just below</w:t>
      </w:r>
    </w:p>
    <w:p>
      <w:pPr>
        <w:pStyle w:val="ListParagraph"/>
        <w:numPr>
          <w:ilvl w:val="0"/>
          <w:numId w:val="2"/>
        </w:numPr>
        <w:spacing w:after="80"/>
      </w:pPr>
      <w:r>
        <w:rPr>
          <w:rFonts w:ascii="Arial" w:cs="Arial" w:eastAsia="Arial" w:hAnsi="Arial"/>
          <w:color w:val="1A1A1A"/>
          <w:sz w:val="22"/>
          <w:szCs w:val="22"/>
        </w:rPr>
        <w:t xml:space="preserve">Rebate under Section 87A — Old regime (taxable income ≤ ₹5L), New regime (taxable income ≤ ₹7L)</w:t>
      </w:r>
    </w:p>
    <w:p>
      <w:pPr>
        <w:pStyle w:val="ListParagraph"/>
        <w:numPr>
          <w:ilvl w:val="0"/>
          <w:numId w:val="2"/>
        </w:numPr>
        <w:spacing w:after="80"/>
      </w:pPr>
      <w:r>
        <w:rPr>
          <w:rFonts w:ascii="Arial" w:cs="Arial" w:eastAsia="Arial" w:hAnsi="Arial"/>
          <w:color w:val="1A1A1A"/>
          <w:sz w:val="22"/>
          <w:szCs w:val="22"/>
        </w:rPr>
        <w:t xml:space="preserve">All Chapter VI-A deductions: 80C (cap ₹1.5L), 80D (self ₹25K, senior parents ₹50K), 80CCD(1B) NPS (₹50K), 80E, 80G, 80TTA/80TTB</w:t>
      </w:r>
    </w:p>
    <w:p>
      <w:pPr>
        <w:pStyle w:val="ListParagraph"/>
        <w:numPr>
          <w:ilvl w:val="0"/>
          <w:numId w:val="2"/>
        </w:numPr>
        <w:spacing w:after="80"/>
      </w:pPr>
      <w:r>
        <w:rPr>
          <w:rFonts w:ascii="Arial" w:cs="Arial" w:eastAsia="Arial" w:hAnsi="Arial"/>
          <w:color w:val="1A1A1A"/>
          <w:sz w:val="22"/>
          <w:szCs w:val="22"/>
        </w:rPr>
        <w:t xml:space="preserve">HRA: three-part formula using actual HRA, 50%/40% of basic salary (metro/non-metro), rent minus 10% of salary</w:t>
      </w:r>
    </w:p>
    <w:p>
      <w:pPr>
        <w:pStyle w:val="ListParagraph"/>
        <w:numPr>
          <w:ilvl w:val="0"/>
          <w:numId w:val="2"/>
        </w:numPr>
        <w:spacing w:after="80"/>
      </w:pPr>
      <w:r>
        <w:rPr>
          <w:rFonts w:ascii="Arial" w:cs="Arial" w:eastAsia="Arial" w:hAnsi="Arial"/>
          <w:color w:val="1A1A1A"/>
          <w:sz w:val="22"/>
          <w:szCs w:val="22"/>
        </w:rPr>
        <w:t xml:space="preserve">44ADA presumptive taxation for eligible professionals (gross receipts &lt; ₹75L)</w:t>
      </w:r>
    </w:p>
    <w:p>
      <w:pPr>
        <w:pStyle w:val="ListParagraph"/>
        <w:numPr>
          <w:ilvl w:val="0"/>
          <w:numId w:val="2"/>
        </w:numPr>
        <w:spacing w:after="80"/>
      </w:pPr>
      <w:r>
        <w:rPr>
          <w:rFonts w:ascii="Arial" w:cs="Arial" w:eastAsia="Arial" w:hAnsi="Arial"/>
          <w:color w:val="1A1A1A"/>
          <w:sz w:val="22"/>
          <w:szCs w:val="22"/>
        </w:rPr>
        <w:t xml:space="preserve">Capital gains: STCG (equity 15%, debt slab rate), LTCG (equity 10% above ₹1L, debt 20% with indexation, property 20% with indexation)</w:t>
      </w:r>
    </w:p>
    <w:p>
      <w:pPr>
        <w:pStyle w:val="ListParagraph"/>
        <w:numPr>
          <w:ilvl w:val="0"/>
          <w:numId w:val="2"/>
        </w:numPr>
        <w:spacing w:after="80"/>
      </w:pPr>
      <w:r>
        <w:rPr>
          <w:rFonts w:ascii="Arial" w:cs="Arial" w:eastAsia="Arial" w:hAnsi="Arial"/>
          <w:color w:val="1A1A1A"/>
          <w:sz w:val="22"/>
          <w:szCs w:val="22"/>
        </w:rPr>
        <w:t xml:space="preserve">Section 24B home loan interest deduction (₹2L for self-occupied, unlimited for let-out)</w:t>
      </w:r>
    </w:p>
    <w:p>
      <w:pPr>
        <w:pStyle w:val="ListParagraph"/>
        <w:numPr>
          <w:ilvl w:val="0"/>
          <w:numId w:val="2"/>
        </w:numPr>
        <w:spacing w:after="80"/>
      </w:pPr>
      <w:r>
        <w:rPr>
          <w:rFonts w:ascii="Arial" w:cs="Arial" w:eastAsia="Arial" w:hAnsi="Arial"/>
          <w:color w:val="1A1A1A"/>
          <w:sz w:val="22"/>
          <w:szCs w:val="22"/>
        </w:rPr>
        <w:t xml:space="preserve">Advance tax schedule: 15% by June 15, 45% by September 15, 75% by December 15, 100% by March 15</w:t>
      </w:r>
    </w:p>
    <w:p>
      <w:pPr>
        <w:pStyle w:val="ListParagraph"/>
        <w:numPr>
          <w:ilvl w:val="0"/>
          <w:numId w:val="2"/>
        </w:numPr>
        <w:spacing w:after="80"/>
      </w:pPr>
      <w:r>
        <w:rPr>
          <w:rFonts w:ascii="Arial" w:cs="Arial" w:eastAsia="Arial" w:hAnsi="Arial"/>
          <w:color w:val="1A1A1A"/>
          <w:sz w:val="22"/>
          <w:szCs w:val="22"/>
        </w:rPr>
        <w:t xml:space="preserve">Loss set-off rules: intra-head and inter-head, 8-year carry-forward for business and capital losses</w:t>
      </w:r>
    </w:p>
    <w:p>
      <w:pPr>
        <w:spacing w:after="160"/>
      </w:pPr>
      <w:r>
        <w:t xml:space="preserve"/>
      </w:r>
    </w:p>
    <w:p>
      <w:pPr>
        <w:pStyle w:val="Heading3"/>
        <w:spacing w:before="200" w:after="80"/>
      </w:pPr>
      <w:r>
        <w:rPr>
          <w:rFonts w:ascii="Arial" w:cs="Arial" w:eastAsia="Arial" w:hAnsi="Arial"/>
          <w:b/>
          <w:bCs/>
          <w:color w:val="1A1A1A"/>
          <w:sz w:val="24"/>
          <w:szCs w:val="24"/>
        </w:rPr>
        <w:t xml:space="preserve">4.2.5 Deduction Optimizer</w:t>
      </w:r>
    </w:p>
    <w:p>
      <w:pPr>
        <w:spacing w:after="120"/>
      </w:pPr>
      <w:r>
        <w:rPr>
          <w:rFonts w:ascii="Arial" w:cs="Arial" w:eastAsia="Arial" w:hAnsi="Arial"/>
          <w:b w:val="false"/>
          <w:bCs w:val="false"/>
          <w:color w:val="1A1A1A"/>
          <w:sz w:val="22"/>
          <w:szCs w:val="22"/>
        </w:rPr>
        <w:t xml:space="preserve">After calculating the baseline tax, the system proactively identifies savings opportunities the user has not yet captured.</w:t>
      </w:r>
    </w:p>
    <w:p>
      <w:pPr>
        <w:pStyle w:val="ListParagraph"/>
        <w:numPr>
          <w:ilvl w:val="0"/>
          <w:numId w:val="2"/>
        </w:numPr>
        <w:spacing w:after="80"/>
      </w:pPr>
      <w:r>
        <w:rPr>
          <w:rFonts w:ascii="Arial" w:cs="Arial" w:eastAsia="Arial" w:hAnsi="Arial"/>
          <w:color w:val="1A1A1A"/>
          <w:sz w:val="22"/>
          <w:szCs w:val="22"/>
        </w:rPr>
        <w:t xml:space="preserve">Shows remaining 80C headroom (e.g., 'You have ₹80,000 more in 80C capacity — ELSS, PPF, or NPS would reduce your tax by ₹24,000')</w:t>
      </w:r>
    </w:p>
    <w:p>
      <w:pPr>
        <w:pStyle w:val="ListParagraph"/>
        <w:numPr>
          <w:ilvl w:val="0"/>
          <w:numId w:val="2"/>
        </w:numPr>
        <w:spacing w:after="80"/>
      </w:pPr>
      <w:r>
        <w:rPr>
          <w:rFonts w:ascii="Arial" w:cs="Arial" w:eastAsia="Arial" w:hAnsi="Arial"/>
          <w:color w:val="1A1A1A"/>
          <w:sz w:val="22"/>
          <w:szCs w:val="22"/>
        </w:rPr>
        <w:t xml:space="preserve">NPS recommendation: calculates exact additional 80CCD(1B) benefit and recommends monthly SIP amount to maximise it</w:t>
      </w:r>
    </w:p>
    <w:p>
      <w:pPr>
        <w:pStyle w:val="ListParagraph"/>
        <w:numPr>
          <w:ilvl w:val="0"/>
          <w:numId w:val="2"/>
        </w:numPr>
        <w:spacing w:after="80"/>
      </w:pPr>
      <w:r>
        <w:rPr>
          <w:rFonts w:ascii="Arial" w:cs="Arial" w:eastAsia="Arial" w:hAnsi="Arial"/>
          <w:color w:val="1A1A1A"/>
          <w:sz w:val="22"/>
          <w:szCs w:val="22"/>
        </w:rPr>
        <w:t xml:space="preserve">HRA optimisation: if the user's rent is close to the HRA threshold, shows exactly how much rent increase would affect their exemption</w:t>
      </w:r>
    </w:p>
    <w:p>
      <w:pPr>
        <w:pStyle w:val="ListParagraph"/>
        <w:numPr>
          <w:ilvl w:val="0"/>
          <w:numId w:val="2"/>
        </w:numPr>
        <w:spacing w:after="80"/>
      </w:pPr>
      <w:r>
        <w:rPr>
          <w:rFonts w:ascii="Arial" w:cs="Arial" w:eastAsia="Arial" w:hAnsi="Arial"/>
          <w:color w:val="1A1A1A"/>
          <w:sz w:val="22"/>
          <w:szCs w:val="22"/>
        </w:rPr>
        <w:t xml:space="preserve">44ADA check: if a freelancer's gross receipts are under ₹75L and they're not using presumptive taxation, proactively flags the benefit</w:t>
      </w:r>
    </w:p>
    <w:p>
      <w:pPr>
        <w:pStyle w:val="ListParagraph"/>
        <w:numPr>
          <w:ilvl w:val="0"/>
          <w:numId w:val="2"/>
        </w:numPr>
        <w:spacing w:after="80"/>
      </w:pPr>
      <w:r>
        <w:rPr>
          <w:rFonts w:ascii="Arial" w:cs="Arial" w:eastAsia="Arial" w:hAnsi="Arial"/>
          <w:color w:val="1A1A1A"/>
          <w:sz w:val="22"/>
          <w:szCs w:val="22"/>
        </w:rPr>
        <w:t xml:space="preserve">Donation planning: 80G eligible donations with 50% and 100% deduction institutions listed</w:t>
      </w:r>
    </w:p>
    <w:p>
      <w:pPr>
        <w:spacing w:after="160"/>
      </w:pPr>
      <w:r>
        <w:t xml:space="preserve"/>
      </w:r>
    </w:p>
    <w:p>
      <w:pPr>
        <w:pStyle w:val="Heading3"/>
        <w:spacing w:before="200" w:after="80"/>
      </w:pPr>
      <w:r>
        <w:rPr>
          <w:rFonts w:ascii="Arial" w:cs="Arial" w:eastAsia="Arial" w:hAnsi="Arial"/>
          <w:b/>
          <w:bCs/>
          <w:color w:val="1A1A1A"/>
          <w:sz w:val="24"/>
          <w:szCs w:val="24"/>
        </w:rPr>
        <w:t xml:space="preserve">4.2.6 Advance Tax Calculator</w:t>
      </w:r>
    </w:p>
    <w:p>
      <w:pPr>
        <w:spacing w:after="120"/>
      </w:pPr>
      <w:r>
        <w:rPr>
          <w:rFonts w:ascii="Arial" w:cs="Arial" w:eastAsia="Arial" w:hAnsi="Arial"/>
          <w:b w:val="false"/>
          <w:bCs w:val="false"/>
          <w:color w:val="1A1A1A"/>
          <w:sz w:val="22"/>
          <w:szCs w:val="22"/>
        </w:rPr>
        <w:t xml:space="preserve">One of the most commonly missed obligations for freelancers and business owners. The system makes this proactive rather than reactive.</w:t>
      </w:r>
    </w:p>
    <w:p>
      <w:pPr>
        <w:pStyle w:val="ListParagraph"/>
        <w:numPr>
          <w:ilvl w:val="0"/>
          <w:numId w:val="2"/>
        </w:numPr>
        <w:spacing w:after="80"/>
      </w:pPr>
      <w:r>
        <w:rPr>
          <w:rFonts w:ascii="Arial" w:cs="Arial" w:eastAsia="Arial" w:hAnsi="Arial"/>
          <w:color w:val="1A1A1A"/>
          <w:sz w:val="22"/>
          <w:szCs w:val="22"/>
        </w:rPr>
        <w:t xml:space="preserve">Calculates advance tax liability if projected annual tax exceeds ₹10,000</w:t>
      </w:r>
    </w:p>
    <w:p>
      <w:pPr>
        <w:pStyle w:val="ListParagraph"/>
        <w:numPr>
          <w:ilvl w:val="0"/>
          <w:numId w:val="2"/>
        </w:numPr>
        <w:spacing w:after="80"/>
      </w:pPr>
      <w:r>
        <w:rPr>
          <w:rFonts w:ascii="Arial" w:cs="Arial" w:eastAsia="Arial" w:hAnsi="Arial"/>
          <w:color w:val="1A1A1A"/>
          <w:sz w:val="22"/>
          <w:szCs w:val="22"/>
        </w:rPr>
        <w:t xml:space="preserve">Shows installment breakdown by due date</w:t>
      </w:r>
    </w:p>
    <w:p>
      <w:pPr>
        <w:pStyle w:val="ListParagraph"/>
        <w:numPr>
          <w:ilvl w:val="0"/>
          <w:numId w:val="2"/>
        </w:numPr>
        <w:spacing w:after="80"/>
      </w:pPr>
      <w:r>
        <w:rPr>
          <w:rFonts w:ascii="Arial" w:cs="Arial" w:eastAsia="Arial" w:hAnsi="Arial"/>
          <w:color w:val="1A1A1A"/>
          <w:sz w:val="22"/>
          <w:szCs w:val="22"/>
        </w:rPr>
        <w:t xml:space="preserve">Sends proactive reminders 15 days before each due date (email / WhatsApp / push notification)</w:t>
      </w:r>
    </w:p>
    <w:p>
      <w:pPr>
        <w:pStyle w:val="ListParagraph"/>
        <w:numPr>
          <w:ilvl w:val="0"/>
          <w:numId w:val="2"/>
        </w:numPr>
        <w:spacing w:after="80"/>
      </w:pPr>
      <w:r>
        <w:rPr>
          <w:rFonts w:ascii="Arial" w:cs="Arial" w:eastAsia="Arial" w:hAnsi="Arial"/>
          <w:color w:val="1A1A1A"/>
          <w:sz w:val="22"/>
          <w:szCs w:val="22"/>
        </w:rPr>
        <w:t xml:space="preserve">Recalculates if income or deduction data changes mid-year — shows revised installment amounts</w:t>
      </w:r>
    </w:p>
    <w:p>
      <w:pPr>
        <w:pStyle w:val="ListParagraph"/>
        <w:numPr>
          <w:ilvl w:val="0"/>
          <w:numId w:val="2"/>
        </w:numPr>
        <w:spacing w:after="80"/>
      </w:pPr>
      <w:r>
        <w:rPr>
          <w:rFonts w:ascii="Arial" w:cs="Arial" w:eastAsia="Arial" w:hAnsi="Arial"/>
          <w:color w:val="1A1A1A"/>
          <w:sz w:val="22"/>
          <w:szCs w:val="22"/>
        </w:rPr>
        <w:t xml:space="preserve">Shows interest implications (Section 234C) if installments are missed</w:t>
      </w:r>
    </w:p>
    <w:p>
      <w:r>
        <w:br w:type="page"/>
      </w:r>
    </w:p>
    <w:p>
      <w:pPr>
        <w:pStyle w:val="Heading1"/>
        <w:spacing w:before="360" w:after="160"/>
      </w:pPr>
      <w:r>
        <w:rPr>
          <w:rFonts w:ascii="Arial" w:cs="Arial" w:eastAsia="Arial" w:hAnsi="Arial"/>
          <w:b/>
          <w:bCs/>
          <w:color w:val="1F4E79"/>
          <w:sz w:val="36"/>
          <w:szCs w:val="36"/>
        </w:rPr>
        <w:t xml:space="preserve">5. Product Ideas and Innovation Areas</w:t>
      </w:r>
    </w:p>
    <w:p>
      <w:pPr>
        <w:spacing w:after="120"/>
      </w:pPr>
      <w:r>
        <w:rPr>
          <w:rFonts w:ascii="Arial" w:cs="Arial" w:eastAsia="Arial" w:hAnsi="Arial"/>
          <w:b w:val="false"/>
          <w:bCs w:val="false"/>
          <w:color w:val="1A1A1A"/>
          <w:sz w:val="22"/>
          <w:szCs w:val="22"/>
        </w:rPr>
        <w:t xml:space="preserve">The following features go beyond the standard tax calculator paradigm. They represent opportunities to build deep engagement and genuine financial value for users — the kind of features that turn a tax tool into a year-round financial companion.</w:t>
      </w:r>
    </w:p>
    <w:p>
      <w:pPr>
        <w:pStyle w:val="Heading2"/>
        <w:spacing w:before="280" w:after="120"/>
      </w:pPr>
      <w:r>
        <w:rPr>
          <w:rFonts w:ascii="Arial" w:cs="Arial" w:eastAsia="Arial" w:hAnsi="Arial"/>
          <w:b/>
          <w:bCs/>
          <w:color w:val="2E75B6"/>
          <w:sz w:val="28"/>
          <w:szCs w:val="28"/>
        </w:rPr>
        <w:t xml:space="preserve">5.1 Year-Round Tax Health Score</w:t>
      </w:r>
    </w:p>
    <w:p>
      <w:pPr>
        <w:spacing w:after="120"/>
      </w:pPr>
      <w:r>
        <w:rPr>
          <w:rFonts w:ascii="Arial" w:cs="Arial" w:eastAsia="Arial" w:hAnsi="Arial"/>
          <w:b w:val="false"/>
          <w:bCs w:val="false"/>
          <w:color w:val="1A1A1A"/>
          <w:sz w:val="22"/>
          <w:szCs w:val="22"/>
        </w:rPr>
        <w:t xml:space="preserve">A persistent 0–100 'Tax Health Score' displayed on the dashboard that updates whenever the user's financial situation changes. The score accounts for: deductions utilised vs available capacity, advance tax compliance, document completeness, and regime optimality.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works</w:t>
            </w:r>
          </w:p>
        </w:tc>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Users who see a score naturally want to improve it. A score of 67 with a tooltip saying 'Invest ₹50K more in NPS to reach 80' creates an action loop that drives both engagement and genuine savings.</w:t>
            </w:r>
          </w:p>
        </w:tc>
      </w:tr>
    </w:tbl>
    <w:p>
      <w:pPr>
        <w:pStyle w:val="Heading2"/>
        <w:spacing w:before="280" w:after="120"/>
      </w:pPr>
      <w:r>
        <w:rPr>
          <w:rFonts w:ascii="Arial" w:cs="Arial" w:eastAsia="Arial" w:hAnsi="Arial"/>
          <w:b/>
          <w:bCs/>
          <w:color w:val="2E75B6"/>
          <w:sz w:val="28"/>
          <w:szCs w:val="28"/>
        </w:rPr>
        <w:t xml:space="preserve">5.2 Budget Day Live Calculator</w:t>
      </w:r>
    </w:p>
    <w:p>
      <w:pPr>
        <w:spacing w:after="120"/>
      </w:pPr>
      <w:r>
        <w:rPr>
          <w:rFonts w:ascii="Arial" w:cs="Arial" w:eastAsia="Arial" w:hAnsi="Arial"/>
          <w:b w:val="false"/>
          <w:bCs w:val="false"/>
          <w:color w:val="1A1A1A"/>
          <w:sz w:val="22"/>
          <w:szCs w:val="22"/>
        </w:rPr>
        <w:t xml:space="preserve">On the day of the Union Budget announcement (typically February 1), the system runs a live comparison showing the user's personal tax impact of the proposed changes within minutes of the Budget speech ending. Pre-built rules for common scenarios are staged before Budget day and published immediately after the Finance Minister concludes.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works</w:t>
            </w:r>
          </w:p>
        </w:tc>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This is a high-virality moment. 'Your tax changes by ₹X under the new Budget' is a shareable, personal insight. First-mover advantage in this space is significant.</w:t>
            </w:r>
          </w:p>
        </w:tc>
      </w:tr>
    </w:tbl>
    <w:p>
      <w:pPr>
        <w:pStyle w:val="Heading2"/>
        <w:spacing w:before="280" w:after="120"/>
      </w:pPr>
      <w:r>
        <w:rPr>
          <w:rFonts w:ascii="Arial" w:cs="Arial" w:eastAsia="Arial" w:hAnsi="Arial"/>
          <w:b/>
          <w:bCs/>
          <w:color w:val="2E75B6"/>
          <w:sz w:val="28"/>
          <w:szCs w:val="28"/>
        </w:rPr>
        <w:t xml:space="preserve">5.3 Scenario Planner</w:t>
      </w:r>
    </w:p>
    <w:p>
      <w:pPr>
        <w:spacing w:after="120"/>
      </w:pPr>
      <w:r>
        <w:rPr>
          <w:rFonts w:ascii="Arial" w:cs="Arial" w:eastAsia="Arial" w:hAnsi="Arial"/>
          <w:b w:val="false"/>
          <w:bCs w:val="false"/>
          <w:color w:val="1A1A1A"/>
          <w:sz w:val="22"/>
          <w:szCs w:val="22"/>
        </w:rPr>
        <w:t xml:space="preserve">A what-if calculator that lets users model financial decisions and see their tax impact before committing. Examples: 'What if I switch jobs and my salary goes from ₹12L to ₹18L?', 'What if I sell my flat this year?', 'What if I start freelancing alongside my job?'. Each scenario produces a full regime comparison and optimization recommendation.</w:t>
      </w:r>
    </w:p>
    <w:p>
      <w:pPr>
        <w:pStyle w:val="Heading2"/>
        <w:spacing w:before="280" w:after="120"/>
      </w:pPr>
      <w:r>
        <w:rPr>
          <w:rFonts w:ascii="Arial" w:cs="Arial" w:eastAsia="Arial" w:hAnsi="Arial"/>
          <w:b/>
          <w:bCs/>
          <w:color w:val="2E75B6"/>
          <w:sz w:val="28"/>
          <w:szCs w:val="28"/>
        </w:rPr>
        <w:t xml:space="preserve">5.4 Tax Calendar with Smart Alerts</w:t>
      </w:r>
    </w:p>
    <w:p>
      <w:pPr>
        <w:spacing w:after="120"/>
      </w:pPr>
      <w:r>
        <w:rPr>
          <w:rFonts w:ascii="Arial" w:cs="Arial" w:eastAsia="Arial" w:hAnsi="Arial"/>
          <w:b w:val="false"/>
          <w:bCs w:val="false"/>
          <w:color w:val="1A1A1A"/>
          <w:sz w:val="22"/>
          <w:szCs w:val="22"/>
        </w:rPr>
        <w:t xml:space="preserve">A personalised tax calendar that shows every deadline relevant to the user's specific situation — not a generic compliance calendar. A salaried employee with no business income sees fewer deadlines than a freelancer with advance tax obligations. Alerts are tiered: 30 days out (informational), 7 days out (action required), 1 day out (urgent).</w:t>
      </w:r>
    </w:p>
    <w:p>
      <w:pPr>
        <w:pStyle w:val="ListParagraph"/>
        <w:numPr>
          <w:ilvl w:val="0"/>
          <w:numId w:val="2"/>
        </w:numPr>
        <w:spacing w:after="80"/>
      </w:pPr>
      <w:r>
        <w:rPr>
          <w:rFonts w:ascii="Arial" w:cs="Arial" w:eastAsia="Arial" w:hAnsi="Arial"/>
          <w:color w:val="1A1A1A"/>
          <w:sz w:val="22"/>
          <w:szCs w:val="22"/>
        </w:rPr>
        <w:t xml:space="preserve">ITR filing deadlines (July 31 for non-audit, October 31 for audit)</w:t>
      </w:r>
    </w:p>
    <w:p>
      <w:pPr>
        <w:pStyle w:val="ListParagraph"/>
        <w:numPr>
          <w:ilvl w:val="0"/>
          <w:numId w:val="2"/>
        </w:numPr>
        <w:spacing w:after="80"/>
      </w:pPr>
      <w:r>
        <w:rPr>
          <w:rFonts w:ascii="Arial" w:cs="Arial" w:eastAsia="Arial" w:hAnsi="Arial"/>
          <w:color w:val="1A1A1A"/>
          <w:sz w:val="22"/>
          <w:szCs w:val="22"/>
        </w:rPr>
        <w:t xml:space="preserve">Advance tax installment dates with user-specific amounts</w:t>
      </w:r>
    </w:p>
    <w:p>
      <w:pPr>
        <w:pStyle w:val="ListParagraph"/>
        <w:numPr>
          <w:ilvl w:val="0"/>
          <w:numId w:val="2"/>
        </w:numPr>
        <w:spacing w:after="80"/>
      </w:pPr>
      <w:r>
        <w:rPr>
          <w:rFonts w:ascii="Arial" w:cs="Arial" w:eastAsia="Arial" w:hAnsi="Arial"/>
          <w:color w:val="1A1A1A"/>
          <w:sz w:val="22"/>
          <w:szCs w:val="22"/>
        </w:rPr>
        <w:t xml:space="preserve">Investment proof submission deadline to employer (typically January 15)</w:t>
      </w:r>
    </w:p>
    <w:p>
      <w:pPr>
        <w:pStyle w:val="ListParagraph"/>
        <w:numPr>
          <w:ilvl w:val="0"/>
          <w:numId w:val="2"/>
        </w:numPr>
        <w:spacing w:after="80"/>
      </w:pPr>
      <w:r>
        <w:rPr>
          <w:rFonts w:ascii="Arial" w:cs="Arial" w:eastAsia="Arial" w:hAnsi="Arial"/>
          <w:color w:val="1A1A1A"/>
          <w:sz w:val="22"/>
          <w:szCs w:val="22"/>
        </w:rPr>
        <w:t xml:space="preserve">Form 16 availability reminder (employers must issue by June 15)</w:t>
      </w:r>
    </w:p>
    <w:p>
      <w:pPr>
        <w:pStyle w:val="ListParagraph"/>
        <w:numPr>
          <w:ilvl w:val="0"/>
          <w:numId w:val="2"/>
        </w:numPr>
        <w:spacing w:after="80"/>
      </w:pPr>
      <w:r>
        <w:rPr>
          <w:rFonts w:ascii="Arial" w:cs="Arial" w:eastAsia="Arial" w:hAnsi="Arial"/>
          <w:color w:val="1A1A1A"/>
          <w:sz w:val="22"/>
          <w:szCs w:val="22"/>
        </w:rPr>
        <w:t xml:space="preserve">Capital gains harvesting window (sell LTCG assets before ₹1L threshold in March)</w:t>
      </w:r>
    </w:p>
    <w:p>
      <w:pPr>
        <w:pStyle w:val="Heading2"/>
        <w:spacing w:before="280" w:after="120"/>
      </w:pPr>
      <w:r>
        <w:rPr>
          <w:rFonts w:ascii="Arial" w:cs="Arial" w:eastAsia="Arial" w:hAnsi="Arial"/>
          <w:b/>
          <w:bCs/>
          <w:color w:val="2E75B6"/>
          <w:sz w:val="28"/>
          <w:szCs w:val="28"/>
        </w:rPr>
        <w:t xml:space="preserve">5.5 Receipt and Expense Capture (Mobile)</w:t>
      </w:r>
    </w:p>
    <w:p>
      <w:pPr>
        <w:spacing w:after="120"/>
      </w:pPr>
      <w:r>
        <w:rPr>
          <w:rFonts w:ascii="Arial" w:cs="Arial" w:eastAsia="Arial" w:hAnsi="Arial"/>
          <w:b w:val="false"/>
          <w:bCs w:val="false"/>
          <w:color w:val="1A1A1A"/>
          <w:sz w:val="22"/>
          <w:szCs w:val="22"/>
        </w:rPr>
        <w:t xml:space="preserve">A mobile camera feature that lets users photograph receipts in real time. The system extracts the amount, merchant, date, and category, asks a single clarifying question ('Was this a business expense?'), and logs it. At year-end, the system produces a categorised expense summary with total deductible amounts.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works</w:t>
            </w:r>
          </w:p>
        </w:tc>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Freelancers and business owners lose thousands of rupees in missed deductions simply because they forget to record expenses. A frictionless capture flow (photo → categorised in 10 seconds) changes this behaviour.</w:t>
            </w:r>
          </w:p>
        </w:tc>
      </w:tr>
    </w:tbl>
    <w:p>
      <w:pPr>
        <w:pStyle w:val="Heading2"/>
        <w:spacing w:before="280" w:after="120"/>
      </w:pPr>
      <w:r>
        <w:rPr>
          <w:rFonts w:ascii="Arial" w:cs="Arial" w:eastAsia="Arial" w:hAnsi="Arial"/>
          <w:b/>
          <w:bCs/>
          <w:color w:val="2E75B6"/>
          <w:sz w:val="28"/>
          <w:szCs w:val="28"/>
        </w:rPr>
        <w:t xml:space="preserve">5.6 Form 26AS vs AIS Reconciliation Assistant</w:t>
      </w:r>
    </w:p>
    <w:p>
      <w:pPr>
        <w:spacing w:after="120"/>
      </w:pPr>
      <w:r>
        <w:rPr>
          <w:rFonts w:ascii="Arial" w:cs="Arial" w:eastAsia="Arial" w:hAnsi="Arial"/>
          <w:b w:val="false"/>
          <w:bCs w:val="false"/>
          <w:color w:val="1A1A1A"/>
          <w:sz w:val="22"/>
          <w:szCs w:val="22"/>
        </w:rPr>
        <w:t xml:space="preserve">AIS and Form 26AS frequently show different TDS amounts due to timing differences or employer errors. The system downloads both (with user consent via ITD credentials), identifies every mismatch, explains the likely cause of each, and tells the user exactly which document to rely on for each line item. This is a significant source of ITR filing errors.</w:t>
      </w:r>
    </w:p>
    <w:p>
      <w:pPr>
        <w:pStyle w:val="Heading2"/>
        <w:spacing w:before="280" w:after="120"/>
      </w:pPr>
      <w:r>
        <w:rPr>
          <w:rFonts w:ascii="Arial" w:cs="Arial" w:eastAsia="Arial" w:hAnsi="Arial"/>
          <w:b/>
          <w:bCs/>
          <w:color w:val="2E75B6"/>
          <w:sz w:val="28"/>
          <w:szCs w:val="28"/>
        </w:rPr>
        <w:t xml:space="preserve">5.7 CA Handoff Export</w:t>
      </w:r>
    </w:p>
    <w:p>
      <w:pPr>
        <w:spacing w:after="120"/>
      </w:pPr>
      <w:r>
        <w:rPr>
          <w:rFonts w:ascii="Arial" w:cs="Arial" w:eastAsia="Arial" w:hAnsi="Arial"/>
          <w:b w:val="false"/>
          <w:bCs w:val="false"/>
          <w:color w:val="1A1A1A"/>
          <w:sz w:val="22"/>
          <w:szCs w:val="22"/>
        </w:rPr>
        <w:t xml:space="preserve">For users whose situations exceed the product's scope (international income, complex business structures, litigation), the system generates a CA-ready document summarising the user's financial profile, all extracted data, calculations performed, and open questions flagged. This reduces CA onboarding time and makes the user a better-prepared client.</w:t>
      </w:r>
    </w:p>
    <w:p>
      <w:pPr>
        <w:pStyle w:val="Heading2"/>
        <w:spacing w:before="280" w:after="120"/>
      </w:pPr>
      <w:r>
        <w:rPr>
          <w:rFonts w:ascii="Arial" w:cs="Arial" w:eastAsia="Arial" w:hAnsi="Arial"/>
          <w:b/>
          <w:bCs/>
          <w:color w:val="2E75B6"/>
          <w:sz w:val="28"/>
          <w:szCs w:val="28"/>
        </w:rPr>
        <w:t xml:space="preserve">5.8 Peer Benchmarking</w:t>
      </w:r>
    </w:p>
    <w:p>
      <w:pPr>
        <w:spacing w:after="120"/>
      </w:pPr>
      <w:r>
        <w:rPr>
          <w:rFonts w:ascii="Arial" w:cs="Arial" w:eastAsia="Arial" w:hAnsi="Arial"/>
          <w:b w:val="false"/>
          <w:bCs w:val="false"/>
          <w:color w:val="1A1A1A"/>
          <w:sz w:val="22"/>
          <w:szCs w:val="22"/>
        </w:rPr>
        <w:t xml:space="preserve">Anonymised, aggregate benchmarking: 'Freelancers in your income bracket typically claim ₹1.2L in business expenses. You have claimed ₹40,000. Would you like to review what might be missing?' This is surfaced gently as a suggestion, not a judgment, and is always grounded in official deduction categories.</w:t>
      </w:r>
    </w:p>
    <w:p>
      <w:pPr>
        <w:pStyle w:val="Heading2"/>
        <w:spacing w:before="280" w:after="120"/>
      </w:pPr>
      <w:r>
        <w:rPr>
          <w:rFonts w:ascii="Arial" w:cs="Arial" w:eastAsia="Arial" w:hAnsi="Arial"/>
          <w:b/>
          <w:bCs/>
          <w:color w:val="2E75B6"/>
          <w:sz w:val="28"/>
          <w:szCs w:val="28"/>
        </w:rPr>
        <w:t xml:space="preserve">5.9 Tax Literacy Micro-Lessons</w:t>
      </w:r>
    </w:p>
    <w:p>
      <w:pPr>
        <w:spacing w:after="120"/>
      </w:pPr>
      <w:r>
        <w:rPr>
          <w:rFonts w:ascii="Arial" w:cs="Arial" w:eastAsia="Arial" w:hAnsi="Arial"/>
          <w:b w:val="false"/>
          <w:bCs w:val="false"/>
          <w:color w:val="1A1A1A"/>
          <w:sz w:val="22"/>
          <w:szCs w:val="22"/>
        </w:rPr>
        <w:t xml:space="preserve">After each major interaction (first time the user encounters HRA, 44ADA, capital gains), the system offers a 90-second micro-lesson explaining the concept in plain language. Users can opt in or skip. Lessons are persona-specific — a freelancer never sees salaried-specific content. This builds product trust and reduces follow-up questions.</w:t>
      </w:r>
    </w:p>
    <w:p>
      <w:pPr>
        <w:pStyle w:val="Heading2"/>
        <w:spacing w:before="280" w:after="120"/>
      </w:pPr>
      <w:r>
        <w:rPr>
          <w:rFonts w:ascii="Arial" w:cs="Arial" w:eastAsia="Arial" w:hAnsi="Arial"/>
          <w:b/>
          <w:bCs/>
          <w:color w:val="2E75B6"/>
          <w:sz w:val="28"/>
          <w:szCs w:val="28"/>
        </w:rPr>
        <w:t xml:space="preserve">5.10 Family Tax Planning</w:t>
      </w:r>
    </w:p>
    <w:p>
      <w:pPr>
        <w:spacing w:after="120"/>
      </w:pPr>
      <w:r>
        <w:rPr>
          <w:rFonts w:ascii="Arial" w:cs="Arial" w:eastAsia="Arial" w:hAnsi="Arial"/>
          <w:b w:val="false"/>
          <w:bCs w:val="false"/>
          <w:color w:val="1A1A1A"/>
          <w:sz w:val="22"/>
          <w:szCs w:val="22"/>
        </w:rPr>
        <w:t xml:space="preserve">Many Indians have dependent parents or spouses with income. The system allows users to create a family group and optimise tax across all members — for example, routing medical insurance premiums to maximise Section 80D (₹25K for self, additional ₹50K for senior parents), or identifying which family member should claim the home loan interest deduction.</w:t>
      </w:r>
    </w:p>
    <w:p>
      <w:r>
        <w:br w:type="page"/>
      </w:r>
    </w:p>
    <w:p>
      <w:pPr>
        <w:pStyle w:val="Heading1"/>
        <w:spacing w:before="360" w:after="160"/>
      </w:pPr>
      <w:r>
        <w:rPr>
          <w:rFonts w:ascii="Arial" w:cs="Arial" w:eastAsia="Arial" w:hAnsi="Arial"/>
          <w:b/>
          <w:bCs/>
          <w:color w:val="1F4E79"/>
          <w:sz w:val="36"/>
          <w:szCs w:val="36"/>
        </w:rPr>
        <w:t xml:space="preserve">6. System Architecture and Process Flow</w:t>
      </w:r>
    </w:p>
    <w:p>
      <w:pPr>
        <w:pStyle w:val="Heading2"/>
        <w:spacing w:before="280" w:after="120"/>
      </w:pPr>
      <w:r>
        <w:rPr>
          <w:rFonts w:ascii="Arial" w:cs="Arial" w:eastAsia="Arial" w:hAnsi="Arial"/>
          <w:b/>
          <w:bCs/>
          <w:color w:val="2E75B6"/>
          <w:sz w:val="28"/>
          <w:szCs w:val="28"/>
        </w:rPr>
        <w:t xml:space="preserve">6.1 Eight-Layer Process Flow</w:t>
      </w:r>
    </w:p>
    <w:p>
      <w:pPr>
        <w:spacing w:after="120"/>
      </w:pPr>
      <w:r>
        <w:rPr>
          <w:rFonts w:ascii="Arial" w:cs="Arial" w:eastAsia="Arial" w:hAnsi="Arial"/>
          <w:b w:val="false"/>
          <w:bCs w:val="false"/>
          <w:color w:val="1A1A1A"/>
          <w:sz w:val="22"/>
          <w:szCs w:val="22"/>
        </w:rPr>
        <w:t xml:space="preserve">The system operates as a pipeline of eight discrete layers. Each layer has a defined input, output, and responsibility. No layer can bypass the one before 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 User 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Natural language + uploaded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Raw text + files in S3</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Security Gate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Raw text + 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PII-masked, validated, authenticated input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 Entity Extractor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Masked text + OCR 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JSON financial profile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 Profile Builder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entities + existing 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Complete versioned financial profile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 Tax Engine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 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Exact tax figures — both regimes, deductions, advance tax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 RAG Retriever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Rules used by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Relevant law sections with FY-tagged citations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7. Response Generator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Engine output + law citations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Plain-language explanation with source references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 Feedback Loop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 + corrections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Updated profile, correction log, re-run if corrected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Golden Rule</w:t>
            </w:r>
          </w:p>
        </w:tc>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The AI engine (Layers 3 and 7) never produces tax numbers. The Tax Engine (Layer 5) never produces explanations. These responsibilities are strictly separated. Any AI response containing a tax figure that was not produced by Layer 5 is a system error.</w:t>
            </w:r>
          </w:p>
        </w:tc>
      </w:tr>
    </w:tbl>
    <w:p>
      <w:pPr>
        <w:spacing w:after="160"/>
      </w:pPr>
      <w:r>
        <w:t xml:space="preserve"/>
      </w:r>
    </w:p>
    <w:p>
      <w:pPr>
        <w:pStyle w:val="Heading2"/>
        <w:spacing w:before="280" w:after="120"/>
      </w:pPr>
      <w:r>
        <w:rPr>
          <w:rFonts w:ascii="Arial" w:cs="Arial" w:eastAsia="Arial" w:hAnsi="Arial"/>
          <w:b/>
          <w:bCs/>
          <w:color w:val="2E75B6"/>
          <w:sz w:val="28"/>
          <w:szCs w:val="28"/>
        </w:rPr>
        <w:t xml:space="preserve">6.2 AWS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AWS Service / Technology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React.js + Tailwind CSS, hosted on CloudFront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Entry 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API Gateway + AWS WAF</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Cognito (JWT + MFA)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PII Masking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Microsoft Presidio (open source, Lambda)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S3 (encrypted, Mumbai region)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OCR Extraction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Textract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NLP Entity Extraction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Comprehend + LLM via Bedrock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Profile 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DynamoDB + ElastiCache (Redis)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Tax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AWS Lambda + Amazon ECS (Python container)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RAG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Kendra + Amazon Bedrock + S3 (PDF store)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Feedback / Memory 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RDS (PostgreSQL) + MongoDB</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Amazon CloudWatch + AWS X-Ray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Secrets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AWS Secrets Manager</w:t>
            </w:r>
          </w:p>
        </w:tc>
      </w:tr>
    </w:tbl>
    <w:p>
      <w:r>
        <w:br w:type="page"/>
      </w:r>
    </w:p>
    <w:p>
      <w:pPr>
        <w:pStyle w:val="Heading1"/>
        <w:spacing w:before="360" w:after="160"/>
      </w:pPr>
      <w:r>
        <w:rPr>
          <w:rFonts w:ascii="Arial" w:cs="Arial" w:eastAsia="Arial" w:hAnsi="Arial"/>
          <w:b/>
          <w:bCs/>
          <w:color w:val="1F4E79"/>
          <w:sz w:val="36"/>
          <w:szCs w:val="36"/>
        </w:rPr>
        <w:t xml:space="preserve">7. Security and Privacy Requirements</w:t>
      </w:r>
    </w:p>
    <w:p>
      <w:pPr>
        <w:pStyle w:val="Heading2"/>
        <w:spacing w:before="280" w:after="120"/>
      </w:pPr>
      <w:r>
        <w:rPr>
          <w:rFonts w:ascii="Arial" w:cs="Arial" w:eastAsia="Arial" w:hAnsi="Arial"/>
          <w:b/>
          <w:bCs/>
          <w:color w:val="2E75B6"/>
          <w:sz w:val="28"/>
          <w:szCs w:val="28"/>
        </w:rPr>
        <w:t xml:space="preserve">7.1 Data Classification</w:t>
      </w:r>
    </w:p>
    <w:p>
      <w:pPr>
        <w:spacing w:after="120"/>
      </w:pPr>
      <w:r>
        <w:rPr>
          <w:rFonts w:ascii="Arial" w:cs="Arial" w:eastAsia="Arial" w:hAnsi="Arial"/>
          <w:b w:val="false"/>
          <w:bCs w:val="false"/>
          <w:color w:val="1A1A1A"/>
          <w:sz w:val="22"/>
          <w:szCs w:val="22"/>
        </w:rPr>
        <w:t xml:space="preserve">All user data is classified into three tiers with different handling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 and Handling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1 — Restricted (PII)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 Aadhaar, bank account numbers, IFSC codes. AES-256 field-level encryption at rest. Never sent to external AI APIs. Masked before entering any AI layer.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2 — Confidential (Financial)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 figures, tax amounts, deduction amounts, investment details. AES-256 at rest, TLS 1.3 in transit. Accessible only to authenticated user and authorised system services.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3 — Internal (Operational)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Session logs, conversation history, anonymised usage metrics. Standard encryption, used for product improvement only. Personally identifiable fields stripped.</w:t>
            </w:r>
          </w:p>
        </w:tc>
      </w:tr>
    </w:tbl>
    <w:p>
      <w:pPr>
        <w:spacing w:after="160"/>
      </w:pPr>
      <w:r>
        <w:t xml:space="preserve"/>
      </w:r>
    </w:p>
    <w:p>
      <w:pPr>
        <w:pStyle w:val="Heading2"/>
        <w:spacing w:before="280" w:after="120"/>
      </w:pPr>
      <w:r>
        <w:rPr>
          <w:rFonts w:ascii="Arial" w:cs="Arial" w:eastAsia="Arial" w:hAnsi="Arial"/>
          <w:b/>
          <w:bCs/>
          <w:color w:val="2E75B6"/>
          <w:sz w:val="28"/>
          <w:szCs w:val="28"/>
        </w:rPr>
        <w:t xml:space="preserve">7.2 Security Controls</w:t>
      </w:r>
    </w:p>
    <w:p>
      <w:pPr>
        <w:pStyle w:val="ListParagraph"/>
        <w:numPr>
          <w:ilvl w:val="0"/>
          <w:numId w:val="2"/>
        </w:numPr>
        <w:spacing w:after="80"/>
      </w:pPr>
      <w:r>
        <w:rPr>
          <w:rFonts w:ascii="Arial" w:cs="Arial" w:eastAsia="Arial" w:hAnsi="Arial"/>
          <w:color w:val="1A1A1A"/>
          <w:sz w:val="22"/>
          <w:szCs w:val="22"/>
        </w:rPr>
        <w:t xml:space="preserve">TLS 1.3 enforced for all data in transit. No HTTP endpoints permitted.</w:t>
      </w:r>
    </w:p>
    <w:p>
      <w:pPr>
        <w:pStyle w:val="ListParagraph"/>
        <w:numPr>
          <w:ilvl w:val="0"/>
          <w:numId w:val="2"/>
        </w:numPr>
        <w:spacing w:after="80"/>
      </w:pPr>
      <w:r>
        <w:rPr>
          <w:rFonts w:ascii="Arial" w:cs="Arial" w:eastAsia="Arial" w:hAnsi="Arial"/>
          <w:color w:val="1A1A1A"/>
          <w:sz w:val="22"/>
          <w:szCs w:val="22"/>
        </w:rPr>
        <w:t xml:space="preserve">AES-256 field-level encryption for Tier 1 and Tier 2 data in DynamoDB and RDS.</w:t>
      </w:r>
    </w:p>
    <w:p>
      <w:pPr>
        <w:pStyle w:val="ListParagraph"/>
        <w:numPr>
          <w:ilvl w:val="0"/>
          <w:numId w:val="2"/>
        </w:numPr>
        <w:spacing w:after="80"/>
      </w:pPr>
      <w:r>
        <w:rPr>
          <w:rFonts w:ascii="Arial" w:cs="Arial" w:eastAsia="Arial" w:hAnsi="Arial"/>
          <w:color w:val="1A1A1A"/>
          <w:sz w:val="22"/>
          <w:szCs w:val="22"/>
        </w:rPr>
        <w:t xml:space="preserve">PII masking via Microsoft Presidio runs before any content reaches the LLM API. PAN, Aadhaar, account numbers, and IFSC codes are tokenised.</w:t>
      </w:r>
    </w:p>
    <w:p>
      <w:pPr>
        <w:pStyle w:val="ListParagraph"/>
        <w:numPr>
          <w:ilvl w:val="0"/>
          <w:numId w:val="2"/>
        </w:numPr>
        <w:spacing w:after="80"/>
      </w:pPr>
      <w:r>
        <w:rPr>
          <w:rFonts w:ascii="Arial" w:cs="Arial" w:eastAsia="Arial" w:hAnsi="Arial"/>
          <w:color w:val="1A1A1A"/>
          <w:sz w:val="22"/>
          <w:szCs w:val="22"/>
        </w:rPr>
        <w:t xml:space="preserve">JWT access tokens expire in 15 minutes. Refresh tokens expire in 7 days.</w:t>
      </w:r>
    </w:p>
    <w:p>
      <w:pPr>
        <w:pStyle w:val="ListParagraph"/>
        <w:numPr>
          <w:ilvl w:val="0"/>
          <w:numId w:val="2"/>
        </w:numPr>
        <w:spacing w:after="80"/>
      </w:pPr>
      <w:r>
        <w:rPr>
          <w:rFonts w:ascii="Arial" w:cs="Arial" w:eastAsia="Arial" w:hAnsi="Arial"/>
          <w:color w:val="1A1A1A"/>
          <w:sz w:val="22"/>
          <w:szCs w:val="22"/>
        </w:rPr>
        <w:t xml:space="preserve">MFA is optional at signup but becomes mandatory when the user uploads any document containing PAN or Aadhaar.</w:t>
      </w:r>
    </w:p>
    <w:p>
      <w:pPr>
        <w:pStyle w:val="ListParagraph"/>
        <w:numPr>
          <w:ilvl w:val="0"/>
          <w:numId w:val="2"/>
        </w:numPr>
        <w:spacing w:after="80"/>
      </w:pPr>
      <w:r>
        <w:rPr>
          <w:rFonts w:ascii="Arial" w:cs="Arial" w:eastAsia="Arial" w:hAnsi="Arial"/>
          <w:color w:val="1A1A1A"/>
          <w:sz w:val="22"/>
          <w:szCs w:val="22"/>
        </w:rPr>
        <w:t xml:space="preserve">All uploaded files are virus-scanned before processing. Unsupported or corrupted files are rejected with an actionable error message.</w:t>
      </w:r>
    </w:p>
    <w:p>
      <w:pPr>
        <w:pStyle w:val="ListParagraph"/>
        <w:numPr>
          <w:ilvl w:val="0"/>
          <w:numId w:val="2"/>
        </w:numPr>
        <w:spacing w:after="80"/>
      </w:pPr>
      <w:r>
        <w:rPr>
          <w:rFonts w:ascii="Arial" w:cs="Arial" w:eastAsia="Arial" w:hAnsi="Arial"/>
          <w:color w:val="1A1A1A"/>
          <w:sz w:val="22"/>
          <w:szCs w:val="22"/>
        </w:rPr>
        <w:t xml:space="preserve">Every data access event (read, write, delete) is logged to an immutable audit trail. Users can download their complete audit log.</w:t>
      </w:r>
    </w:p>
    <w:p>
      <w:pPr>
        <w:pStyle w:val="ListParagraph"/>
        <w:numPr>
          <w:ilvl w:val="0"/>
          <w:numId w:val="2"/>
        </w:numPr>
        <w:spacing w:after="80"/>
      </w:pPr>
      <w:r>
        <w:rPr>
          <w:rFonts w:ascii="Arial" w:cs="Arial" w:eastAsia="Arial" w:hAnsi="Arial"/>
          <w:color w:val="1A1A1A"/>
          <w:sz w:val="22"/>
          <w:szCs w:val="22"/>
        </w:rPr>
        <w:t xml:space="preserve">Data residency: all storage and processing in AWS ap-south-1 (Mumbai).</w:t>
      </w:r>
    </w:p>
    <w:p>
      <w:pPr>
        <w:pStyle w:val="ListParagraph"/>
        <w:numPr>
          <w:ilvl w:val="0"/>
          <w:numId w:val="2"/>
        </w:numPr>
        <w:spacing w:after="80"/>
      </w:pPr>
      <w:r>
        <w:rPr>
          <w:rFonts w:ascii="Arial" w:cs="Arial" w:eastAsia="Arial" w:hAnsi="Arial"/>
          <w:color w:val="1A1A1A"/>
          <w:sz w:val="22"/>
          <w:szCs w:val="22"/>
        </w:rPr>
        <w:t xml:space="preserve">Right to erasure: account deletion purges all financial data, documents, conversation history, and derived calculations within 30 days.</w:t>
      </w:r>
    </w:p>
    <w:p>
      <w:pPr>
        <w:spacing w:after="160"/>
      </w:pPr>
      <w:r>
        <w:t xml:space="preserve"/>
      </w:r>
    </w:p>
    <w:p>
      <w:pPr>
        <w:pStyle w:val="Heading2"/>
        <w:spacing w:before="280" w:after="120"/>
      </w:pPr>
      <w:r>
        <w:rPr>
          <w:rFonts w:ascii="Arial" w:cs="Arial" w:eastAsia="Arial" w:hAnsi="Arial"/>
          <w:b/>
          <w:bCs/>
          <w:color w:val="2E75B6"/>
          <w:sz w:val="28"/>
          <w:szCs w:val="28"/>
        </w:rPr>
        <w:t xml:space="preserve">7.3 What the AI Never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Critical Privacy Control</w:t>
            </w:r>
          </w:p>
        </w:tc>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The AI model (Bedrock / LLM API) only ever receives: anonymised financial amounts, categorised income types, and law retrieval queries. It never receives: user names, PAN, Aadhaar, phone numbers, email addresses, bank account details, or IFSC codes. All identifying information is stripped at Layer 2 before reaching Layer 3.</w:t>
            </w:r>
          </w:p>
        </w:tc>
      </w:tr>
    </w:tbl>
    <w:p>
      <w:r>
        <w:br w:type="page"/>
      </w:r>
    </w:p>
    <w:p>
      <w:pPr>
        <w:pStyle w:val="Heading1"/>
        <w:spacing w:before="360" w:after="160"/>
      </w:pPr>
      <w:r>
        <w:rPr>
          <w:rFonts w:ascii="Arial" w:cs="Arial" w:eastAsia="Arial" w:hAnsi="Arial"/>
          <w:b/>
          <w:bCs/>
          <w:color w:val="1F4E79"/>
          <w:sz w:val="36"/>
          <w:szCs w:val="36"/>
        </w:rPr>
        <w:t xml:space="preserve">8. UX Principles and Design Guidelines</w:t>
      </w:r>
    </w:p>
    <w:p>
      <w:pPr>
        <w:pStyle w:val="Heading2"/>
        <w:spacing w:before="280" w:after="120"/>
      </w:pPr>
      <w:r>
        <w:rPr>
          <w:rFonts w:ascii="Arial" w:cs="Arial" w:eastAsia="Arial" w:hAnsi="Arial"/>
          <w:b/>
          <w:bCs/>
          <w:color w:val="2E75B6"/>
          <w:sz w:val="28"/>
          <w:szCs w:val="28"/>
        </w:rPr>
        <w:t xml:space="preserve">8.1 Core UX Principles</w:t>
      </w:r>
    </w:p>
    <w:p>
      <w:pPr>
        <w:pStyle w:val="Heading3"/>
        <w:spacing w:before="200" w:after="80"/>
      </w:pPr>
      <w:r>
        <w:rPr>
          <w:rFonts w:ascii="Arial" w:cs="Arial" w:eastAsia="Arial" w:hAnsi="Arial"/>
          <w:b/>
          <w:bCs/>
          <w:color w:val="1A1A1A"/>
          <w:sz w:val="24"/>
          <w:szCs w:val="24"/>
        </w:rPr>
        <w:t xml:space="preserve">Never start with a blank chat</w:t>
      </w:r>
    </w:p>
    <w:p>
      <w:pPr>
        <w:spacing w:after="120"/>
      </w:pPr>
      <w:r>
        <w:rPr>
          <w:rFonts w:ascii="Arial" w:cs="Arial" w:eastAsia="Arial" w:hAnsi="Arial"/>
          <w:b w:val="false"/>
          <w:bCs w:val="false"/>
          <w:color w:val="1A1A1A"/>
          <w:sz w:val="22"/>
          <w:szCs w:val="22"/>
        </w:rPr>
        <w:t xml:space="preserve">Every session opens with a pre-populated, persona-specific question. The user should never see a blinking cursor with no context.</w:t>
      </w:r>
    </w:p>
    <w:p>
      <w:pPr>
        <w:pStyle w:val="Heading3"/>
        <w:spacing w:before="200" w:after="80"/>
      </w:pPr>
      <w:r>
        <w:rPr>
          <w:rFonts w:ascii="Arial" w:cs="Arial" w:eastAsia="Arial" w:hAnsi="Arial"/>
          <w:b/>
          <w:bCs/>
          <w:color w:val="1A1A1A"/>
          <w:sz w:val="24"/>
          <w:szCs w:val="24"/>
        </w:rPr>
        <w:t xml:space="preserve">Show work, not just answers</w:t>
      </w:r>
    </w:p>
    <w:p>
      <w:pPr>
        <w:spacing w:after="120"/>
      </w:pPr>
      <w:r>
        <w:rPr>
          <w:rFonts w:ascii="Arial" w:cs="Arial" w:eastAsia="Arial" w:hAnsi="Arial"/>
          <w:b w:val="false"/>
          <w:bCs w:val="false"/>
          <w:color w:val="1A1A1A"/>
          <w:sz w:val="22"/>
          <w:szCs w:val="22"/>
        </w:rPr>
        <w:t xml:space="preserve">Every tax figure must come with a visible calculation trace. 'Your tax is ₹1,20,000' is insufficient. The system must show the steps: gross income → deductions applied → taxable income → slab calculation → cess. Users who understand how the number was derived trust it.</w:t>
      </w:r>
    </w:p>
    <w:p>
      <w:pPr>
        <w:pStyle w:val="Heading3"/>
        <w:spacing w:before="200" w:after="80"/>
      </w:pPr>
      <w:r>
        <w:rPr>
          <w:rFonts w:ascii="Arial" w:cs="Arial" w:eastAsia="Arial" w:hAnsi="Arial"/>
          <w:b/>
          <w:bCs/>
          <w:color w:val="1A1A1A"/>
          <w:sz w:val="24"/>
          <w:szCs w:val="24"/>
        </w:rPr>
        <w:t xml:space="preserve">One clarification at a time</w:t>
      </w:r>
    </w:p>
    <w:p>
      <w:pPr>
        <w:spacing w:after="120"/>
      </w:pPr>
      <w:r>
        <w:rPr>
          <w:rFonts w:ascii="Arial" w:cs="Arial" w:eastAsia="Arial" w:hAnsi="Arial"/>
          <w:b w:val="false"/>
          <w:bCs w:val="false"/>
          <w:color w:val="1A1A1A"/>
          <w:sz w:val="22"/>
          <w:szCs w:val="22"/>
        </w:rPr>
        <w:t xml:space="preserve">The system never asks more than one question at a time. If multiple data points are missing, it asks for the most impactful one first, then the next, and so on. Overwhelming users with a list of questions triggers drop-off.</w:t>
      </w:r>
    </w:p>
    <w:p>
      <w:pPr>
        <w:pStyle w:val="Heading3"/>
        <w:spacing w:before="200" w:after="80"/>
      </w:pPr>
      <w:r>
        <w:rPr>
          <w:rFonts w:ascii="Arial" w:cs="Arial" w:eastAsia="Arial" w:hAnsi="Arial"/>
          <w:b/>
          <w:bCs/>
          <w:color w:val="1A1A1A"/>
          <w:sz w:val="24"/>
          <w:szCs w:val="24"/>
        </w:rPr>
        <w:t xml:space="preserve">Make the impact of every decision visible</w:t>
      </w:r>
    </w:p>
    <w:p>
      <w:pPr>
        <w:spacing w:after="120"/>
      </w:pPr>
      <w:r>
        <w:rPr>
          <w:rFonts w:ascii="Arial" w:cs="Arial" w:eastAsia="Arial" w:hAnsi="Arial"/>
          <w:b w:val="false"/>
          <w:bCs w:val="false"/>
          <w:color w:val="1A1A1A"/>
          <w:sz w:val="22"/>
          <w:szCs w:val="22"/>
        </w:rPr>
        <w:t xml:space="preserve">When a user adds a deduction, the tax figure updates in real time on the summary card. When they correct a mistake, the system shows exactly how much the tax changed. Financial decisions become tangible.</w:t>
      </w:r>
    </w:p>
    <w:p>
      <w:pPr>
        <w:pStyle w:val="Heading3"/>
        <w:spacing w:before="200" w:after="80"/>
      </w:pPr>
      <w:r>
        <w:rPr>
          <w:rFonts w:ascii="Arial" w:cs="Arial" w:eastAsia="Arial" w:hAnsi="Arial"/>
          <w:b/>
          <w:bCs/>
          <w:color w:val="1A1A1A"/>
          <w:sz w:val="24"/>
          <w:szCs w:val="24"/>
        </w:rPr>
        <w:t xml:space="preserve">Jargon is always optional</w:t>
      </w:r>
    </w:p>
    <w:p>
      <w:pPr>
        <w:spacing w:after="120"/>
      </w:pPr>
      <w:r>
        <w:rPr>
          <w:rFonts w:ascii="Arial" w:cs="Arial" w:eastAsia="Arial" w:hAnsi="Arial"/>
          <w:b w:val="false"/>
          <w:bCs w:val="false"/>
          <w:color w:val="1A1A1A"/>
          <w:sz w:val="22"/>
          <w:szCs w:val="22"/>
        </w:rPr>
        <w:t xml:space="preserve">Every piece of tax terminology includes an inline explanation on tap. '80C deduction' taps to a tooltip: 'Section 80C lets you reduce your taxable income by up to ₹1.5 lakh by investing in eligible instruments like ELSS, PPF, or by paying LIC premiums.' The explanation is never forced on the user — it is always available.</w:t>
      </w:r>
    </w:p>
    <w:p>
      <w:pPr>
        <w:pStyle w:val="Heading3"/>
        <w:spacing w:before="200" w:after="80"/>
      </w:pPr>
      <w:r>
        <w:rPr>
          <w:rFonts w:ascii="Arial" w:cs="Arial" w:eastAsia="Arial" w:hAnsi="Arial"/>
          <w:b/>
          <w:bCs/>
          <w:color w:val="1A1A1A"/>
          <w:sz w:val="24"/>
          <w:szCs w:val="24"/>
        </w:rPr>
        <w:t xml:space="preserve">Surface insights, don't wait to be asked</w:t>
      </w:r>
    </w:p>
    <w:p>
      <w:pPr>
        <w:spacing w:after="120"/>
      </w:pPr>
      <w:r>
        <w:rPr>
          <w:rFonts w:ascii="Arial" w:cs="Arial" w:eastAsia="Arial" w:hAnsi="Arial"/>
          <w:b w:val="false"/>
          <w:bCs w:val="false"/>
          <w:color w:val="1A1A1A"/>
          <w:sz w:val="22"/>
          <w:szCs w:val="22"/>
        </w:rPr>
        <w:t xml:space="preserve">The system proactively flags missed deductions, approaching deadlines, and regime switch opportunities. It does not wait for the user to ask the right question. Most users do not know what questions to ask — the product's job is to ask those questions on their behalf.</w:t>
      </w:r>
    </w:p>
    <w:p>
      <w:pPr>
        <w:spacing w:after="160"/>
      </w:pPr>
      <w:r>
        <w:t xml:space="preserve"/>
      </w:r>
    </w:p>
    <w:p>
      <w:pPr>
        <w:pStyle w:val="Heading2"/>
        <w:spacing w:before="280" w:after="120"/>
      </w:pPr>
      <w:r>
        <w:rPr>
          <w:rFonts w:ascii="Arial" w:cs="Arial" w:eastAsia="Arial" w:hAnsi="Arial"/>
          <w:b/>
          <w:bCs/>
          <w:color w:val="2E75B6"/>
          <w:sz w:val="28"/>
          <w:szCs w:val="28"/>
        </w:rPr>
        <w:t xml:space="preserve">8.2 Key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 Summary Card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Persistent sidebar panel showing all confirmed data points. Updates in real time. Every item is editable by clicking.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Regime Comparison Panel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Side-by-side card showing Old vs New regime tax, key differences, and winning recommendation with reason.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Tax Health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0–100 score on the dashboard with breakdown of contributing factors and one-click improvement actions.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Upload Zone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Drag-and-drop zone with real-time extraction preview. Confidence colour codes on extracted fields.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Citation Drawer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AI response has a 'Sources' button that opens a drawer showing the exact law sections cited.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Advance Tax Timeline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Visual timeline showing installment due dates, amounts, and payment status.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Deduction Gap Indicator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Progress bars showing how much of each deduction limit (80C, 80D, NPS) has been used and what remains.</w:t>
            </w:r>
          </w:p>
        </w:tc>
      </w:tr>
    </w:tbl>
    <w:p>
      <w:r>
        <w:br w:type="page"/>
      </w:r>
    </w:p>
    <w:p>
      <w:pPr>
        <w:pStyle w:val="Heading1"/>
        <w:spacing w:before="360" w:after="160"/>
      </w:pPr>
      <w:r>
        <w:rPr>
          <w:rFonts w:ascii="Arial" w:cs="Arial" w:eastAsia="Arial" w:hAnsi="Arial"/>
          <w:b/>
          <w:bCs/>
          <w:color w:val="1F4E79"/>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Tax Calculation 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for deterministic engine. Verified against official IT department examples and CA-validated test cases.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AI Response 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hallucinated tax numbers. All figures in AI responses must match engine output exactly. Post-generation validation enforced.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Response Time (P95)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Tax calculation: &lt; 800ms. AI response: &lt; 4 seconds. Document OCR: &lt; 15 seconds.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Availability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99.5% uptime. Planned maintenance during 2–4 AM IST only.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Scalability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Handle 10x user load spikes during ITR season (June–July). Auto-scaling via ECS.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RAG Freshness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Tax law vector store updated within 48 hours of any CBDT circular or Budget notification.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Chrome, Safari, Firefox (latest 2 versions). Mobile-first responsive design.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Accessibility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WCAG 2.1 Level AA compliance. All interactive elements keyboard-navigable.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Retention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 data retained for 8 years (matching loss carry-forward period). Soft delete on account closure, hard delete on erasure request.</w:t>
            </w:r>
          </w:p>
        </w:tc>
      </w:tr>
    </w:tbl>
    <w:p>
      <w:r>
        <w:br w:type="page"/>
      </w:r>
    </w:p>
    <w:p>
      <w:pPr>
        <w:pStyle w:val="Heading1"/>
        <w:spacing w:before="360" w:after="160"/>
      </w:pPr>
      <w:r>
        <w:rPr>
          <w:rFonts w:ascii="Arial" w:cs="Arial" w:eastAsia="Arial" w:hAnsi="Arial"/>
          <w:b/>
          <w:bCs/>
          <w:color w:val="1F4E79"/>
          <w:sz w:val="36"/>
          <w:szCs w:val="36"/>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Tax law changes (Budget)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 engine becomes inaccurate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Modular engine design with annual update sprint. Budget Day live calc as a feature, not a bug.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AI hallucination of tax figures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 — user makes wrong financial decision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layer cannot produce numbers. All figures sourced exclusively from deterministic engine. Post-gen validation.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OCR extraction errors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 wrong tax calculation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Confidence thresholds. Every extracted field shown to user for confirmation before entering engine.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PII data breach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 — regulatory and reputational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Field-level encryption, Presidio masking, no PII in AI layer, immutable audit trail, data residency in India.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 16 vs AIS mismatch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 — user confusion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Automated mismatch detection with plain-language explanation and resolution guidance.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overtrust (treating output as professional advice)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 — legal and ethical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Persistent disclaimer that product is for planning and estimation. Complex scenarios prompt CA referral.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RAG returning outdated law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 incorrect legal citations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FY tagging on all document chunks. Active-year filter on every retrieval query.</w:t>
            </w:r>
          </w:p>
        </w:tc>
      </w:tr>
    </w:tbl>
    <w:p>
      <w:r>
        <w:br w:type="page"/>
      </w:r>
    </w:p>
    <w:p>
      <w:pPr>
        <w:pStyle w:val="Heading1"/>
        <w:spacing w:before="360" w:after="160"/>
      </w:pPr>
      <w:r>
        <w:rPr>
          <w:rFonts w:ascii="Arial" w:cs="Arial" w:eastAsia="Arial" w:hAnsi="Arial"/>
          <w:b/>
          <w:bCs/>
          <w:color w:val="1F4E79"/>
          <w:sz w:val="36"/>
          <w:szCs w:val="36"/>
        </w:rPr>
        <w:t xml:space="preserve">11. Product Roadmap</w:t>
      </w:r>
    </w:p>
    <w:p>
      <w:pPr>
        <w:pStyle w:val="Heading2"/>
        <w:spacing w:before="280" w:after="120"/>
      </w:pPr>
      <w:r>
        <w:rPr>
          <w:rFonts w:ascii="Arial" w:cs="Arial" w:eastAsia="Arial" w:hAnsi="Arial"/>
          <w:b/>
          <w:bCs/>
          <w:color w:val="2E75B6"/>
          <w:sz w:val="28"/>
          <w:szCs w:val="28"/>
        </w:rPr>
        <w:t xml:space="preserve">Phase 1 — Foundation (v1.0, Q3 2026)</w:t>
      </w:r>
    </w:p>
    <w:p>
      <w:pPr>
        <w:pStyle w:val="ListParagraph"/>
        <w:numPr>
          <w:ilvl w:val="0"/>
          <w:numId w:val="2"/>
        </w:numPr>
        <w:spacing w:after="80"/>
      </w:pPr>
      <w:r>
        <w:rPr>
          <w:rFonts w:ascii="Arial" w:cs="Arial" w:eastAsia="Arial" w:hAnsi="Arial"/>
          <w:color w:val="1A1A1A"/>
          <w:sz w:val="22"/>
          <w:szCs w:val="22"/>
        </w:rPr>
        <w:t xml:space="preserve">Conversational data collection with persona detection</w:t>
      </w:r>
    </w:p>
    <w:p>
      <w:pPr>
        <w:pStyle w:val="ListParagraph"/>
        <w:numPr>
          <w:ilvl w:val="0"/>
          <w:numId w:val="2"/>
        </w:numPr>
        <w:spacing w:after="80"/>
      </w:pPr>
      <w:r>
        <w:rPr>
          <w:rFonts w:ascii="Arial" w:cs="Arial" w:eastAsia="Arial" w:hAnsi="Arial"/>
          <w:color w:val="1A1A1A"/>
          <w:sz w:val="22"/>
          <w:szCs w:val="22"/>
        </w:rPr>
        <w:t xml:space="preserve">Old vs New regime comparator (flagship)</w:t>
      </w:r>
    </w:p>
    <w:p>
      <w:pPr>
        <w:pStyle w:val="ListParagraph"/>
        <w:numPr>
          <w:ilvl w:val="0"/>
          <w:numId w:val="2"/>
        </w:numPr>
        <w:spacing w:after="80"/>
      </w:pPr>
      <w:r>
        <w:rPr>
          <w:rFonts w:ascii="Arial" w:cs="Arial" w:eastAsia="Arial" w:hAnsi="Arial"/>
          <w:color w:val="1A1A1A"/>
          <w:sz w:val="22"/>
          <w:szCs w:val="22"/>
        </w:rPr>
        <w:t xml:space="preserve">Form 16 and AIS OCR parsing</w:t>
      </w:r>
    </w:p>
    <w:p>
      <w:pPr>
        <w:pStyle w:val="ListParagraph"/>
        <w:numPr>
          <w:ilvl w:val="0"/>
          <w:numId w:val="2"/>
        </w:numPr>
        <w:spacing w:after="80"/>
      </w:pPr>
      <w:r>
        <w:rPr>
          <w:rFonts w:ascii="Arial" w:cs="Arial" w:eastAsia="Arial" w:hAnsi="Arial"/>
          <w:color w:val="1A1A1A"/>
          <w:sz w:val="22"/>
          <w:szCs w:val="22"/>
        </w:rPr>
        <w:t xml:space="preserve">Full tax calculation engine (FY 2024-25)</w:t>
      </w:r>
    </w:p>
    <w:p>
      <w:pPr>
        <w:pStyle w:val="ListParagraph"/>
        <w:numPr>
          <w:ilvl w:val="0"/>
          <w:numId w:val="2"/>
        </w:numPr>
        <w:spacing w:after="80"/>
      </w:pPr>
      <w:r>
        <w:rPr>
          <w:rFonts w:ascii="Arial" w:cs="Arial" w:eastAsia="Arial" w:hAnsi="Arial"/>
          <w:color w:val="1A1A1A"/>
          <w:sz w:val="22"/>
          <w:szCs w:val="22"/>
        </w:rPr>
        <w:t xml:space="preserve">Deduction optimizer (80C, 80D, NPS, HRA)</w:t>
      </w:r>
    </w:p>
    <w:p>
      <w:pPr>
        <w:pStyle w:val="ListParagraph"/>
        <w:numPr>
          <w:ilvl w:val="0"/>
          <w:numId w:val="2"/>
        </w:numPr>
        <w:spacing w:after="80"/>
      </w:pPr>
      <w:r>
        <w:rPr>
          <w:rFonts w:ascii="Arial" w:cs="Arial" w:eastAsia="Arial" w:hAnsi="Arial"/>
          <w:color w:val="1A1A1A"/>
          <w:sz w:val="22"/>
          <w:szCs w:val="22"/>
        </w:rPr>
        <w:t xml:space="preserve">RAG-grounded responses with citations</w:t>
      </w:r>
    </w:p>
    <w:p>
      <w:pPr>
        <w:pStyle w:val="ListParagraph"/>
        <w:numPr>
          <w:ilvl w:val="0"/>
          <w:numId w:val="2"/>
        </w:numPr>
        <w:spacing w:after="80"/>
      </w:pPr>
      <w:r>
        <w:rPr>
          <w:rFonts w:ascii="Arial" w:cs="Arial" w:eastAsia="Arial" w:hAnsi="Arial"/>
          <w:color w:val="1A1A1A"/>
          <w:sz w:val="22"/>
          <w:szCs w:val="22"/>
        </w:rPr>
        <w:t xml:space="preserve">Advance tax calculator</w:t>
      </w:r>
    </w:p>
    <w:p>
      <w:pPr>
        <w:pStyle w:val="ListParagraph"/>
        <w:numPr>
          <w:ilvl w:val="0"/>
          <w:numId w:val="2"/>
        </w:numPr>
        <w:spacing w:after="80"/>
      </w:pPr>
      <w:r>
        <w:rPr>
          <w:rFonts w:ascii="Arial" w:cs="Arial" w:eastAsia="Arial" w:hAnsi="Arial"/>
          <w:color w:val="1A1A1A"/>
          <w:sz w:val="22"/>
          <w:szCs w:val="22"/>
        </w:rPr>
        <w:t xml:space="preserve">44ADA presumptive tax module</w:t>
      </w:r>
    </w:p>
    <w:p>
      <w:pPr>
        <w:pStyle w:val="ListParagraph"/>
        <w:numPr>
          <w:ilvl w:val="0"/>
          <w:numId w:val="2"/>
        </w:numPr>
        <w:spacing w:after="80"/>
      </w:pPr>
      <w:r>
        <w:rPr>
          <w:rFonts w:ascii="Arial" w:cs="Arial" w:eastAsia="Arial" w:hAnsi="Arial"/>
          <w:color w:val="1A1A1A"/>
          <w:sz w:val="22"/>
          <w:szCs w:val="22"/>
        </w:rPr>
        <w:t xml:space="preserve">Downloadable tax summary PDF</w:t>
      </w:r>
    </w:p>
    <w:p>
      <w:pPr>
        <w:pStyle w:val="ListParagraph"/>
        <w:numPr>
          <w:ilvl w:val="0"/>
          <w:numId w:val="2"/>
        </w:numPr>
        <w:spacing w:after="80"/>
      </w:pPr>
      <w:r>
        <w:rPr>
          <w:rFonts w:ascii="Arial" w:cs="Arial" w:eastAsia="Arial" w:hAnsi="Arial"/>
          <w:color w:val="1A1A1A"/>
          <w:sz w:val="22"/>
          <w:szCs w:val="22"/>
        </w:rPr>
        <w:t xml:space="preserve">Multi-session persistent profile</w:t>
      </w:r>
    </w:p>
    <w:p>
      <w:pPr>
        <w:spacing w:after="160"/>
      </w:pPr>
      <w:r>
        <w:t xml:space="preserve"/>
      </w:r>
    </w:p>
    <w:p>
      <w:pPr>
        <w:pStyle w:val="Heading2"/>
        <w:spacing w:before="280" w:after="120"/>
      </w:pPr>
      <w:r>
        <w:rPr>
          <w:rFonts w:ascii="Arial" w:cs="Arial" w:eastAsia="Arial" w:hAnsi="Arial"/>
          <w:b/>
          <w:bCs/>
          <w:color w:val="2E75B6"/>
          <w:sz w:val="28"/>
          <w:szCs w:val="28"/>
        </w:rPr>
        <w:t xml:space="preserve">Phase 2 — Depth (v1.1–1.2, Q4 2026)</w:t>
      </w:r>
    </w:p>
    <w:p>
      <w:pPr>
        <w:pStyle w:val="ListParagraph"/>
        <w:numPr>
          <w:ilvl w:val="0"/>
          <w:numId w:val="2"/>
        </w:numPr>
        <w:spacing w:after="80"/>
      </w:pPr>
      <w:r>
        <w:rPr>
          <w:rFonts w:ascii="Arial" w:cs="Arial" w:eastAsia="Arial" w:hAnsi="Arial"/>
          <w:color w:val="1A1A1A"/>
          <w:sz w:val="22"/>
          <w:szCs w:val="22"/>
        </w:rPr>
        <w:t xml:space="preserve">Capital gains module (equity, debt, property)</w:t>
      </w:r>
    </w:p>
    <w:p>
      <w:pPr>
        <w:pStyle w:val="ListParagraph"/>
        <w:numPr>
          <w:ilvl w:val="0"/>
          <w:numId w:val="2"/>
        </w:numPr>
        <w:spacing w:after="80"/>
      </w:pPr>
      <w:r>
        <w:rPr>
          <w:rFonts w:ascii="Arial" w:cs="Arial" w:eastAsia="Arial" w:hAnsi="Arial"/>
          <w:color w:val="1A1A1A"/>
          <w:sz w:val="22"/>
          <w:szCs w:val="22"/>
        </w:rPr>
        <w:t xml:space="preserve">Loss set-off and carry-forward tracker</w:t>
      </w:r>
    </w:p>
    <w:p>
      <w:pPr>
        <w:pStyle w:val="ListParagraph"/>
        <w:numPr>
          <w:ilvl w:val="0"/>
          <w:numId w:val="2"/>
        </w:numPr>
        <w:spacing w:after="80"/>
      </w:pPr>
      <w:r>
        <w:rPr>
          <w:rFonts w:ascii="Arial" w:cs="Arial" w:eastAsia="Arial" w:hAnsi="Arial"/>
          <w:color w:val="1A1A1A"/>
          <w:sz w:val="22"/>
          <w:szCs w:val="22"/>
        </w:rPr>
        <w:t xml:space="preserve">Form 26AS vs AIS reconciliation assistant</w:t>
      </w:r>
    </w:p>
    <w:p>
      <w:pPr>
        <w:pStyle w:val="ListParagraph"/>
        <w:numPr>
          <w:ilvl w:val="0"/>
          <w:numId w:val="2"/>
        </w:numPr>
        <w:spacing w:after="80"/>
      </w:pPr>
      <w:r>
        <w:rPr>
          <w:rFonts w:ascii="Arial" w:cs="Arial" w:eastAsia="Arial" w:hAnsi="Arial"/>
          <w:color w:val="1A1A1A"/>
          <w:sz w:val="22"/>
          <w:szCs w:val="22"/>
        </w:rPr>
        <w:t xml:space="preserve">Tax Health Score dashboard</w:t>
      </w:r>
    </w:p>
    <w:p>
      <w:pPr>
        <w:pStyle w:val="ListParagraph"/>
        <w:numPr>
          <w:ilvl w:val="0"/>
          <w:numId w:val="2"/>
        </w:numPr>
        <w:spacing w:after="80"/>
      </w:pPr>
      <w:r>
        <w:rPr>
          <w:rFonts w:ascii="Arial" w:cs="Arial" w:eastAsia="Arial" w:hAnsi="Arial"/>
          <w:color w:val="1A1A1A"/>
          <w:sz w:val="22"/>
          <w:szCs w:val="22"/>
        </w:rPr>
        <w:t xml:space="preserve">Tax Calendar with smart alerts</w:t>
      </w:r>
    </w:p>
    <w:p>
      <w:pPr>
        <w:pStyle w:val="ListParagraph"/>
        <w:numPr>
          <w:ilvl w:val="0"/>
          <w:numId w:val="2"/>
        </w:numPr>
        <w:spacing w:after="80"/>
      </w:pPr>
      <w:r>
        <w:rPr>
          <w:rFonts w:ascii="Arial" w:cs="Arial" w:eastAsia="Arial" w:hAnsi="Arial"/>
          <w:color w:val="1A1A1A"/>
          <w:sz w:val="22"/>
          <w:szCs w:val="22"/>
        </w:rPr>
        <w:t xml:space="preserve">Mobile receipt capture</w:t>
      </w:r>
    </w:p>
    <w:p>
      <w:pPr>
        <w:pStyle w:val="ListParagraph"/>
        <w:numPr>
          <w:ilvl w:val="0"/>
          <w:numId w:val="2"/>
        </w:numPr>
        <w:spacing w:after="80"/>
      </w:pPr>
      <w:r>
        <w:rPr>
          <w:rFonts w:ascii="Arial" w:cs="Arial" w:eastAsia="Arial" w:hAnsi="Arial"/>
          <w:color w:val="1A1A1A"/>
          <w:sz w:val="22"/>
          <w:szCs w:val="22"/>
        </w:rPr>
        <w:t xml:space="preserve">GST threshold alert</w:t>
      </w:r>
    </w:p>
    <w:p>
      <w:pPr>
        <w:pStyle w:val="ListParagraph"/>
        <w:numPr>
          <w:ilvl w:val="0"/>
          <w:numId w:val="2"/>
        </w:numPr>
        <w:spacing w:after="80"/>
      </w:pPr>
      <w:r>
        <w:rPr>
          <w:rFonts w:ascii="Arial" w:cs="Arial" w:eastAsia="Arial" w:hAnsi="Arial"/>
          <w:color w:val="1A1A1A"/>
          <w:sz w:val="22"/>
          <w:szCs w:val="22"/>
        </w:rPr>
        <w:t xml:space="preserve">Budget Day Live Calculator</w:t>
      </w:r>
    </w:p>
    <w:p>
      <w:pPr>
        <w:spacing w:after="160"/>
      </w:pPr>
      <w:r>
        <w:t xml:space="preserve"/>
      </w:r>
    </w:p>
    <w:p>
      <w:pPr>
        <w:pStyle w:val="Heading2"/>
        <w:spacing w:before="280" w:after="120"/>
      </w:pPr>
      <w:r>
        <w:rPr>
          <w:rFonts w:ascii="Arial" w:cs="Arial" w:eastAsia="Arial" w:hAnsi="Arial"/>
          <w:b/>
          <w:bCs/>
          <w:color w:val="2E75B6"/>
          <w:sz w:val="28"/>
          <w:szCs w:val="28"/>
        </w:rPr>
        <w:t xml:space="preserve">Phase 3 — Platform (v1.3–2.0, 2027)</w:t>
      </w:r>
    </w:p>
    <w:p>
      <w:pPr>
        <w:pStyle w:val="ListParagraph"/>
        <w:numPr>
          <w:ilvl w:val="0"/>
          <w:numId w:val="2"/>
        </w:numPr>
        <w:spacing w:after="80"/>
      </w:pPr>
      <w:r>
        <w:rPr>
          <w:rFonts w:ascii="Arial" w:cs="Arial" w:eastAsia="Arial" w:hAnsi="Arial"/>
          <w:color w:val="1A1A1A"/>
          <w:sz w:val="22"/>
          <w:szCs w:val="22"/>
        </w:rPr>
        <w:t xml:space="preserve">CA Handoff Export</w:t>
      </w:r>
    </w:p>
    <w:p>
      <w:pPr>
        <w:pStyle w:val="ListParagraph"/>
        <w:numPr>
          <w:ilvl w:val="0"/>
          <w:numId w:val="2"/>
        </w:numPr>
        <w:spacing w:after="80"/>
      </w:pPr>
      <w:r>
        <w:rPr>
          <w:rFonts w:ascii="Arial" w:cs="Arial" w:eastAsia="Arial" w:hAnsi="Arial"/>
          <w:color w:val="1A1A1A"/>
          <w:sz w:val="22"/>
          <w:szCs w:val="22"/>
        </w:rPr>
        <w:t xml:space="preserve">Family tax planning module</w:t>
      </w:r>
    </w:p>
    <w:p>
      <w:pPr>
        <w:pStyle w:val="ListParagraph"/>
        <w:numPr>
          <w:ilvl w:val="0"/>
          <w:numId w:val="2"/>
        </w:numPr>
        <w:spacing w:after="80"/>
      </w:pPr>
      <w:r>
        <w:rPr>
          <w:rFonts w:ascii="Arial" w:cs="Arial" w:eastAsia="Arial" w:hAnsi="Arial"/>
          <w:color w:val="1A1A1A"/>
          <w:sz w:val="22"/>
          <w:szCs w:val="22"/>
        </w:rPr>
        <w:t xml:space="preserve">Scenario Planner (what-if calculator)</w:t>
      </w:r>
    </w:p>
    <w:p>
      <w:pPr>
        <w:pStyle w:val="ListParagraph"/>
        <w:numPr>
          <w:ilvl w:val="0"/>
          <w:numId w:val="2"/>
        </w:numPr>
        <w:spacing w:after="80"/>
      </w:pPr>
      <w:r>
        <w:rPr>
          <w:rFonts w:ascii="Arial" w:cs="Arial" w:eastAsia="Arial" w:hAnsi="Arial"/>
          <w:color w:val="1A1A1A"/>
          <w:sz w:val="22"/>
          <w:szCs w:val="22"/>
        </w:rPr>
        <w:t xml:space="preserve">Peer benchmarking (anonymised)</w:t>
      </w:r>
    </w:p>
    <w:p>
      <w:pPr>
        <w:pStyle w:val="ListParagraph"/>
        <w:numPr>
          <w:ilvl w:val="0"/>
          <w:numId w:val="2"/>
        </w:numPr>
        <w:spacing w:after="80"/>
      </w:pPr>
      <w:r>
        <w:rPr>
          <w:rFonts w:ascii="Arial" w:cs="Arial" w:eastAsia="Arial" w:hAnsi="Arial"/>
          <w:color w:val="1A1A1A"/>
          <w:sz w:val="22"/>
          <w:szCs w:val="22"/>
        </w:rPr>
        <w:t xml:space="preserve">WhatsApp bot integration</w:t>
      </w:r>
    </w:p>
    <w:p>
      <w:pPr>
        <w:pStyle w:val="ListParagraph"/>
        <w:numPr>
          <w:ilvl w:val="0"/>
          <w:numId w:val="2"/>
        </w:numPr>
        <w:spacing w:after="80"/>
      </w:pPr>
      <w:r>
        <w:rPr>
          <w:rFonts w:ascii="Arial" w:cs="Arial" w:eastAsia="Arial" w:hAnsi="Arial"/>
          <w:color w:val="1A1A1A"/>
          <w:sz w:val="22"/>
          <w:szCs w:val="22"/>
        </w:rPr>
        <w:t xml:space="preserve">Direct ITR filing integration (via ITD APIs)</w:t>
      </w:r>
    </w:p>
    <w:p>
      <w:pPr>
        <w:pStyle w:val="ListParagraph"/>
        <w:numPr>
          <w:ilvl w:val="0"/>
          <w:numId w:val="2"/>
        </w:numPr>
        <w:spacing w:after="80"/>
      </w:pPr>
      <w:r>
        <w:rPr>
          <w:rFonts w:ascii="Arial" w:cs="Arial" w:eastAsia="Arial" w:hAnsi="Arial"/>
          <w:color w:val="1A1A1A"/>
          <w:sz w:val="22"/>
          <w:szCs w:val="22"/>
        </w:rPr>
        <w:t xml:space="preserve">GST filing support</w:t>
      </w:r>
    </w:p>
    <w:p>
      <w:pPr>
        <w:pStyle w:val="ListParagraph"/>
        <w:numPr>
          <w:ilvl w:val="0"/>
          <w:numId w:val="2"/>
        </w:numPr>
        <w:spacing w:after="80"/>
      </w:pPr>
      <w:r>
        <w:rPr>
          <w:rFonts w:ascii="Arial" w:cs="Arial" w:eastAsia="Arial" w:hAnsi="Arial"/>
          <w:color w:val="1A1A1A"/>
          <w:sz w:val="22"/>
          <w:szCs w:val="22"/>
        </w:rPr>
        <w:t xml:space="preserve">NRI taxation module</w:t>
      </w:r>
    </w:p>
    <w:p>
      <w:r>
        <w:br w:type="page"/>
      </w:r>
    </w:p>
    <w:p>
      <w:pPr>
        <w:pStyle w:val="Heading1"/>
        <w:spacing w:before="360" w:after="160"/>
      </w:pPr>
      <w:r>
        <w:rPr>
          <w:rFonts w:ascii="Arial" w:cs="Arial" w:eastAsia="Arial" w:hAnsi="Arial"/>
          <w:b/>
          <w:bCs/>
          <w:color w:val="1F4E79"/>
          <w:sz w:val="36"/>
          <w:szCs w:val="36"/>
        </w:rPr>
        <w:t xml:space="preserve">12. Definition of Success</w:t>
      </w:r>
    </w:p>
    <w:p>
      <w:pPr>
        <w:spacing w:after="120"/>
      </w:pPr>
      <w:r>
        <w:rPr>
          <w:rFonts w:ascii="Arial" w:cs="Arial" w:eastAsia="Arial" w:hAnsi="Arial"/>
          <w:b w:val="false"/>
          <w:bCs w:val="false"/>
          <w:color w:val="1A1A1A"/>
          <w:sz w:val="22"/>
          <w:szCs w:val="22"/>
        </w:rPr>
        <w:t xml:space="preserve">The product succeeds when the following conditions are consistently met:</w:t>
      </w:r>
    </w:p>
    <w:p>
      <w:pPr>
        <w:spacing w:after="160"/>
      </w:pPr>
      <w:r>
        <w:t xml:space="preserve"/>
      </w:r>
    </w:p>
    <w:p>
      <w:pPr>
        <w:pStyle w:val="ListParagraph"/>
        <w:numPr>
          <w:ilvl w:val="0"/>
          <w:numId w:val="3"/>
        </w:numPr>
        <w:spacing w:after="80"/>
      </w:pPr>
      <w:r>
        <w:rPr>
          <w:rFonts w:ascii="Arial" w:cs="Arial" w:eastAsia="Arial" w:hAnsi="Arial"/>
          <w:color w:val="1A1A1A"/>
          <w:sz w:val="22"/>
          <w:szCs w:val="22"/>
        </w:rPr>
        <w:t xml:space="preserve">A user who has never thought about tax optimization leaves their first session with a specific, actionable savings figure — not a generic recommendation.</w:t>
      </w:r>
    </w:p>
    <w:p>
      <w:pPr>
        <w:pStyle w:val="ListParagraph"/>
        <w:numPr>
          <w:ilvl w:val="0"/>
          <w:numId w:val="3"/>
        </w:numPr>
        <w:spacing w:after="80"/>
      </w:pPr>
      <w:r>
        <w:rPr>
          <w:rFonts w:ascii="Arial" w:cs="Arial" w:eastAsia="Arial" w:hAnsi="Arial"/>
          <w:color w:val="1A1A1A"/>
          <w:sz w:val="22"/>
          <w:szCs w:val="22"/>
        </w:rPr>
        <w:t xml:space="preserve">A freelancer earning ₹15L through projects can complete a full tax estimate, regime comparison, and advance tax schedule in under 12 minutes without any prior tax knowledge.</w:t>
      </w:r>
    </w:p>
    <w:p>
      <w:pPr>
        <w:pStyle w:val="ListParagraph"/>
        <w:numPr>
          <w:ilvl w:val="0"/>
          <w:numId w:val="3"/>
        </w:numPr>
        <w:spacing w:after="80"/>
      </w:pPr>
      <w:r>
        <w:rPr>
          <w:rFonts w:ascii="Arial" w:cs="Arial" w:eastAsia="Arial" w:hAnsi="Arial"/>
          <w:color w:val="1A1A1A"/>
          <w:sz w:val="22"/>
          <w:szCs w:val="22"/>
        </w:rPr>
        <w:t xml:space="preserve">The tax calculation engine produces results that match a qualified CA's calculation for the same inputs in 99.5% of test cases.</w:t>
      </w:r>
    </w:p>
    <w:p>
      <w:pPr>
        <w:pStyle w:val="ListParagraph"/>
        <w:numPr>
          <w:ilvl w:val="0"/>
          <w:numId w:val="3"/>
        </w:numPr>
        <w:spacing w:after="80"/>
      </w:pPr>
      <w:r>
        <w:rPr>
          <w:rFonts w:ascii="Arial" w:cs="Arial" w:eastAsia="Arial" w:hAnsi="Arial"/>
          <w:color w:val="1A1A1A"/>
          <w:sz w:val="22"/>
          <w:szCs w:val="22"/>
        </w:rPr>
        <w:t xml:space="preserve">No user is shown a tax figure by the AI that was not produced by the deterministic tax engine.</w:t>
      </w:r>
    </w:p>
    <w:p>
      <w:pPr>
        <w:pStyle w:val="ListParagraph"/>
        <w:numPr>
          <w:ilvl w:val="0"/>
          <w:numId w:val="3"/>
        </w:numPr>
        <w:spacing w:after="80"/>
      </w:pPr>
      <w:r>
        <w:rPr>
          <w:rFonts w:ascii="Arial" w:cs="Arial" w:eastAsia="Arial" w:hAnsi="Arial"/>
          <w:color w:val="1A1A1A"/>
          <w:sz w:val="22"/>
          <w:szCs w:val="22"/>
        </w:rPr>
        <w:t xml:space="preserve">Users who return in a second session find that the system remembers their previous session's data and opens with a relevant follow-up — not a blank slate.</w:t>
      </w:r>
    </w:p>
    <w:p>
      <w:pPr>
        <w:pStyle w:val="ListParagraph"/>
        <w:numPr>
          <w:ilvl w:val="0"/>
          <w:numId w:val="3"/>
        </w:numPr>
        <w:spacing w:after="80"/>
      </w:pPr>
      <w:r>
        <w:rPr>
          <w:rFonts w:ascii="Arial" w:cs="Arial" w:eastAsia="Arial" w:hAnsi="Arial"/>
          <w:color w:val="1A1A1A"/>
          <w:sz w:val="22"/>
          <w:szCs w:val="22"/>
        </w:rPr>
        <w:t xml:space="preserve">On Budget day, the product surfaces each user's personal tax impact within 2 hours of the Finance Minister concluding the Budget speech.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North Star Metric</w:t>
            </w:r>
          </w:p>
        </w:tc>
        <w:tc>
          <w:tcPr>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Average tax savings surfaced per active user per year. This is the number that captures whether the product is creating real financial value — not just engagement or retention, which are means to this end.</w:t>
            </w:r>
          </w:p>
        </w:tc>
      </w:tr>
    </w:tbl>
    <w:p>
      <w:pPr>
        <w:spacing w:after="160"/>
      </w:pPr>
      <w:r>
        <w:t xml:space="preserve"/>
      </w:r>
    </w:p>
    <w:p>
      <w:pPr>
        <w:pBdr>
          <w:bottom w:val="single" w:color="2E75B6" w:sz="4" w:space="1"/>
        </w:pBdr>
        <w:spacing w:before="160" w:after="160"/>
      </w:pPr>
      <w:r>
        <w:t xml:space="preserve"/>
      </w:r>
    </w:p>
    <w:p>
      <w:pPr>
        <w:spacing w:after="160"/>
      </w:pPr>
      <w:r>
        <w:t xml:space="preserve"/>
      </w:r>
    </w:p>
    <w:p>
      <w:pPr>
        <w:spacing w:after="120"/>
      </w:pPr>
      <w:r>
        <w:rPr>
          <w:rFonts w:ascii="Arial" w:cs="Arial" w:eastAsia="Arial" w:hAnsi="Arial"/>
          <w:b w:val="false"/>
          <w:bCs w:val="false"/>
          <w:color w:val="595959"/>
          <w:sz w:val="22"/>
          <w:szCs w:val="22"/>
        </w:rPr>
        <w:t xml:space="preserve">Document prepared by: Product Team, AI Tax Copilot</w:t>
      </w:r>
    </w:p>
    <w:p>
      <w:pPr>
        <w:spacing w:after="120"/>
      </w:pPr>
      <w:r>
        <w:rPr>
          <w:rFonts w:ascii="Arial" w:cs="Arial" w:eastAsia="Arial" w:hAnsi="Arial"/>
          <w:b w:val="false"/>
          <w:bCs w:val="false"/>
          <w:color w:val="595959"/>
          <w:sz w:val="22"/>
          <w:szCs w:val="22"/>
        </w:rPr>
        <w:t xml:space="preserve">For review and feedback, contact the Product Owner.</w:t>
      </w:r>
    </w:p>
    <w:p>
      <w:pPr>
        <w:spacing w:after="120"/>
      </w:pPr>
      <w:r>
        <w:rPr>
          <w:rFonts w:ascii="Arial" w:cs="Arial" w:eastAsia="Arial" w:hAnsi="Arial"/>
          <w:b w:val="false"/>
          <w:bCs w:val="false"/>
          <w:color w:val="595959"/>
          <w:sz w:val="22"/>
          <w:szCs w:val="22"/>
        </w:rPr>
        <w:t xml:space="preserve">This document is confidential. Do not distribute externally without authorisation.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 2026 AI Tax Copilot. Confidential.</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AI Tax Copilot — Product Requirements Document</w:t>
    </w:r>
    <w:r>
      <w:rPr>
        <w:rFonts w:ascii="Arial" w:cs="Arial" w:eastAsia="Arial" w:hAnsi="Arial"/>
        <w:b/>
        <w:bCs/>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2026-03-09T08:39:23.546Z</dcterms:created>
  <dcterms:modified xsi:type="dcterms:W3CDTF">2026-03-09T08:39:23.547Z</dcterms:modified>
</cp:coreProperties>
</file>

<file path=docProps/custom.xml><?xml version="1.0" encoding="utf-8"?>
<Properties xmlns="http://schemas.openxmlformats.org/officeDocument/2006/custom-properties" xmlns:vt="http://schemas.openxmlformats.org/officeDocument/2006/docPropsVTypes"/>
</file>