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97B" w:rsidRPr="00556E31" w:rsidRDefault="0041797B" w:rsidP="0041797B">
      <w:pPr>
        <w:pStyle w:val="Heading2"/>
        <w:spacing w:before="79"/>
        <w:ind w:right="-7"/>
        <w:jc w:val="center"/>
        <w:rPr>
          <w:b/>
          <w:color w:val="17365D"/>
          <w:sz w:val="24"/>
          <w:szCs w:val="24"/>
        </w:rPr>
      </w:pPr>
      <w:r w:rsidRPr="00556E31">
        <w:rPr>
          <w:b/>
          <w:color w:val="17365D"/>
          <w:sz w:val="24"/>
          <w:szCs w:val="24"/>
        </w:rPr>
        <w:t>ΑΡΙΣΤΟΤΕΛΕΙΟ ΠΑΝΕΠΙΣΤΗΜΙΟ ΘΕΣΣΑΛΟΝΙΚΗΣ ΤΜΗΜΑ ΗΛΕΚΤΡΟΛΟΓΩΝ ΜΗΧΑΝΙΚΩΝ ΚΑΙ ΜΗΧΑΝΙΚΩΝ</w:t>
      </w:r>
    </w:p>
    <w:p w:rsidR="0041797B" w:rsidRPr="00556E31" w:rsidRDefault="0041797B" w:rsidP="0041797B">
      <w:pPr>
        <w:pStyle w:val="Heading2"/>
        <w:spacing w:before="79"/>
        <w:ind w:right="-7"/>
        <w:jc w:val="center"/>
        <w:rPr>
          <w:b/>
          <w:color w:val="17365D"/>
          <w:sz w:val="24"/>
          <w:szCs w:val="24"/>
        </w:rPr>
      </w:pPr>
      <w:r w:rsidRPr="00556E31">
        <w:rPr>
          <w:b/>
          <w:color w:val="17365D"/>
          <w:sz w:val="24"/>
          <w:szCs w:val="24"/>
        </w:rPr>
        <w:t>ΥΠΟΛΟΓΙΣΤΩΝ ΤΟΜΕΑΣ ΗΛΕΚΤΡΟΝΙΚΗΣ ΚΑΙ ΥΠΟΛΟΓΙΣΤΩΝ</w:t>
      </w:r>
    </w:p>
    <w:p w:rsidR="0041797B" w:rsidRDefault="0041797B" w:rsidP="0041797B">
      <w:pPr>
        <w:rPr>
          <w:lang w:val="en-US"/>
        </w:rPr>
      </w:pPr>
    </w:p>
    <w:p w:rsidR="0041797B" w:rsidRDefault="0041797B" w:rsidP="0041797B">
      <w:pPr>
        <w:rPr>
          <w:lang w:val="en-US"/>
        </w:rPr>
      </w:pPr>
    </w:p>
    <w:p w:rsidR="0041797B" w:rsidRDefault="0041797B" w:rsidP="0041797B">
      <w:pPr>
        <w:rPr>
          <w:lang w:val="en-US"/>
        </w:rPr>
      </w:pPr>
    </w:p>
    <w:p w:rsidR="0041797B" w:rsidRDefault="00BB7CAB" w:rsidP="0041797B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67325" cy="4410075"/>
            <wp:effectExtent l="19050" t="0" r="9525" b="0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97B" w:rsidRDefault="0041797B" w:rsidP="0041797B">
      <w:pPr>
        <w:jc w:val="center"/>
        <w:rPr>
          <w:lang w:val="en-US"/>
        </w:rPr>
      </w:pPr>
    </w:p>
    <w:p w:rsidR="0041797B" w:rsidRDefault="0041797B" w:rsidP="0041797B">
      <w:pPr>
        <w:jc w:val="both"/>
        <w:rPr>
          <w:lang w:val="en-US"/>
        </w:rPr>
      </w:pPr>
    </w:p>
    <w:p w:rsidR="0041797B" w:rsidRPr="00556E31" w:rsidRDefault="0041797B" w:rsidP="0041797B">
      <w:pPr>
        <w:jc w:val="both"/>
        <w:rPr>
          <w:b/>
          <w:sz w:val="28"/>
          <w:szCs w:val="28"/>
        </w:rPr>
      </w:pPr>
      <w:r w:rsidRPr="00556E31">
        <w:rPr>
          <w:b/>
          <w:sz w:val="28"/>
          <w:szCs w:val="28"/>
        </w:rPr>
        <w:t xml:space="preserve">ΕΠΩΝΥΜΟ: </w:t>
      </w:r>
      <w:r w:rsidRPr="00556E31">
        <w:rPr>
          <w:b/>
          <w:sz w:val="28"/>
          <w:szCs w:val="28"/>
        </w:rPr>
        <w:tab/>
        <w:t>ΠΑΠΑΚΩΝΣΤΑΝΤΙΝΟΥ</w:t>
      </w:r>
    </w:p>
    <w:p w:rsidR="0041797B" w:rsidRPr="00556E31" w:rsidRDefault="0041797B" w:rsidP="0041797B">
      <w:pPr>
        <w:jc w:val="both"/>
        <w:rPr>
          <w:b/>
          <w:sz w:val="28"/>
          <w:szCs w:val="28"/>
        </w:rPr>
      </w:pPr>
      <w:r w:rsidRPr="00556E31">
        <w:rPr>
          <w:b/>
          <w:sz w:val="28"/>
          <w:szCs w:val="28"/>
        </w:rPr>
        <w:t>ΟΝΟΜΑ:</w:t>
      </w:r>
      <w:r w:rsidRPr="00556E31">
        <w:rPr>
          <w:b/>
          <w:sz w:val="28"/>
          <w:szCs w:val="28"/>
        </w:rPr>
        <w:tab/>
        <w:t>ΑΝΤΩΝΙΟΣ</w:t>
      </w:r>
    </w:p>
    <w:p w:rsidR="0041797B" w:rsidRPr="00931D4D" w:rsidRDefault="0041797B" w:rsidP="0041797B">
      <w:pPr>
        <w:rPr>
          <w:b/>
          <w:sz w:val="28"/>
          <w:szCs w:val="28"/>
        </w:rPr>
      </w:pPr>
      <w:r w:rsidRPr="00556E31">
        <w:rPr>
          <w:b/>
          <w:sz w:val="28"/>
          <w:szCs w:val="28"/>
        </w:rPr>
        <w:t>ΑΕΜ:</w:t>
      </w:r>
      <w:r w:rsidR="00800BB7" w:rsidRPr="00931D4D">
        <w:rPr>
          <w:b/>
          <w:sz w:val="28"/>
          <w:szCs w:val="28"/>
        </w:rPr>
        <w:tab/>
      </w:r>
      <w:r w:rsidR="00800BB7" w:rsidRPr="00931D4D">
        <w:rPr>
          <w:b/>
          <w:sz w:val="28"/>
          <w:szCs w:val="28"/>
        </w:rPr>
        <w:tab/>
        <w:t>8977</w:t>
      </w:r>
    </w:p>
    <w:p w:rsidR="0041797B" w:rsidRPr="0047461E" w:rsidRDefault="0041797B" w:rsidP="0041797B">
      <w:pPr>
        <w:pStyle w:val="Heading2"/>
        <w:ind w:right="594"/>
        <w:jc w:val="center"/>
        <w:rPr>
          <w:rFonts w:ascii="Times New Roman" w:hAnsi="Times New Roman"/>
        </w:rPr>
      </w:pPr>
    </w:p>
    <w:p w:rsidR="0041797B" w:rsidRPr="0047461E" w:rsidRDefault="0041797B" w:rsidP="0041797B">
      <w:pPr>
        <w:pStyle w:val="Heading2"/>
        <w:ind w:right="594"/>
        <w:jc w:val="center"/>
        <w:rPr>
          <w:rFonts w:ascii="Times New Roman" w:hAnsi="Times New Roman"/>
        </w:rPr>
      </w:pPr>
    </w:p>
    <w:p w:rsidR="0041797B" w:rsidRPr="0047461E" w:rsidRDefault="0041797B" w:rsidP="0041797B">
      <w:pPr>
        <w:pStyle w:val="Heading2"/>
        <w:ind w:right="594"/>
        <w:jc w:val="center"/>
        <w:rPr>
          <w:rFonts w:ascii="Times New Roman" w:hAnsi="Times New Roman"/>
        </w:rPr>
      </w:pPr>
    </w:p>
    <w:p w:rsidR="0041797B" w:rsidRPr="0008326D" w:rsidRDefault="0041797B" w:rsidP="0041797B">
      <w:pPr>
        <w:pStyle w:val="Heading2"/>
        <w:ind w:right="594"/>
        <w:jc w:val="center"/>
        <w:rPr>
          <w:rFonts w:ascii="Times New Roman" w:hAnsi="Times New Roman"/>
        </w:rPr>
      </w:pPr>
      <w:r w:rsidRPr="00315AC7">
        <w:rPr>
          <w:rFonts w:ascii="Times New Roman" w:hAnsi="Times New Roman"/>
        </w:rPr>
        <w:t>ΘΕΣΣΑΛΟΝΙΚΗ 2020</w:t>
      </w:r>
    </w:p>
    <w:p w:rsidR="0041797B" w:rsidRPr="003D5C5E" w:rsidRDefault="0041797B" w:rsidP="0041797B">
      <w:pPr>
        <w:sectPr w:rsidR="0041797B" w:rsidRPr="003D5C5E" w:rsidSect="004E4EFA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7645A5" w:rsidRPr="0047461E" w:rsidRDefault="007645A5" w:rsidP="007645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Για να έχουμε μηδενικό σφάλμα στη μόνιμη κατάσταση, επιλέγουμε έναν ελεγκτή αναλογικής – ολοκληρωτικής δράσης (</w:t>
      </w:r>
      <w:r>
        <w:rPr>
          <w:sz w:val="24"/>
          <w:szCs w:val="24"/>
          <w:lang w:val="en-US"/>
        </w:rPr>
        <w:t>PI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controller</w:t>
      </w:r>
      <w:r w:rsidRPr="007645A5">
        <w:rPr>
          <w:sz w:val="24"/>
          <w:szCs w:val="24"/>
        </w:rPr>
        <w:t>).</w:t>
      </w:r>
    </w:p>
    <w:p w:rsidR="007645A5" w:rsidRDefault="007645A5" w:rsidP="007645A5">
      <w:pPr>
        <w:jc w:val="both"/>
        <w:rPr>
          <w:rFonts w:eastAsiaTheme="minorEastAsia"/>
          <w:lang w:val="en-US"/>
        </w:rPr>
      </w:pPr>
      <w:r w:rsidRPr="007645A5">
        <w:rPr>
          <w:sz w:val="24"/>
          <w:szCs w:val="24"/>
        </w:rP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7645A5" w:rsidRPr="00B46D66" w:rsidRDefault="007645A5" w:rsidP="007645A5">
      <w:pPr>
        <w:jc w:val="both"/>
      </w:pPr>
      <w:r>
        <w:rPr>
          <w:rFonts w:eastAsiaTheme="minorEastAsia"/>
        </w:rPr>
        <w:t>όπου</w:t>
      </w:r>
    </w:p>
    <w:p w:rsidR="00B46D66" w:rsidRPr="007645A5" w:rsidRDefault="007645A5" w:rsidP="007645A5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B46D66" w:rsidRDefault="00B46D66"/>
    <w:p w:rsidR="00741FFF" w:rsidRDefault="00741FFF" w:rsidP="00741FFF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Η τάση τροφοδοσίας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A16B2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είναι η είσοδος ελέγχου στο σύστημα, ενώ η ροπή είναι ένα</w:t>
      </w:r>
      <w:r w:rsidRPr="00626F8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είδος διαταραχής. Σκοπός της διαδικασίας ελέγχου του συστήματος είναι η γωνιακή ταχύτητα του δρομέα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sub>
        </m:sSub>
      </m:oMath>
      <w:r>
        <w:rPr>
          <w:rFonts w:eastAsiaTheme="minorEastAsia"/>
          <w:sz w:val="24"/>
          <w:szCs w:val="24"/>
        </w:rPr>
        <w:t xml:space="preserve"> να διατηρείται σταθερή ή να επηρεάζεται λίγο από τη ροπή φορτίου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</m:sub>
        </m:sSub>
      </m:oMath>
      <w:r w:rsidRPr="00A16B20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>Στην ανάλυση του γραμμικού ελέγχου του μοντέλου τέθηκαν οι παρακάτω προδιαγραφές ανάλυσης:</w:t>
      </w:r>
    </w:p>
    <w:p w:rsidR="00741FFF" w:rsidRPr="00A16B20" w:rsidRDefault="00741FFF" w:rsidP="00741FFF">
      <w:pPr>
        <w:pStyle w:val="a5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Απόρριψη διαταραχών. Για κυκλική συχνότητα διαταραχής μικρότερη από </w:t>
      </w:r>
      <m:oMath>
        <m:r>
          <w:rPr>
            <w:rFonts w:ascii="Cambria Math" w:hAnsi="Cambria Math"/>
            <w:sz w:val="24"/>
            <w:szCs w:val="24"/>
          </w:rPr>
          <m:t xml:space="preserve">1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rad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sec</m:t>
            </m:r>
          </m:den>
        </m:f>
      </m:oMath>
      <w:r>
        <w:rPr>
          <w:rFonts w:eastAsiaTheme="minorEastAsia"/>
          <w:sz w:val="24"/>
          <w:szCs w:val="24"/>
        </w:rPr>
        <w:t xml:space="preserve"> να υπάρχει κέρδος διαταραχής το πολύ 20 </w:t>
      </w:r>
      <w:r>
        <w:rPr>
          <w:rFonts w:eastAsiaTheme="minorEastAsia"/>
          <w:sz w:val="24"/>
          <w:szCs w:val="24"/>
          <w:lang w:val="en-US"/>
        </w:rPr>
        <w:t>dB</w:t>
      </w:r>
      <w:r>
        <w:rPr>
          <w:rFonts w:eastAsiaTheme="minorEastAsia"/>
          <w:sz w:val="24"/>
          <w:szCs w:val="24"/>
        </w:rPr>
        <w:t xml:space="preserve">. Επιπλέον, θέλουμε να υπάρξει μεταβολή της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, 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sub>
        </m:sSub>
      </m:oMath>
      <w:r>
        <w:rPr>
          <w:rFonts w:eastAsiaTheme="minorEastAsia"/>
          <w:sz w:val="24"/>
          <w:szCs w:val="24"/>
        </w:rPr>
        <w:t xml:space="preserve"> να μεταβληθεί παροδικά και μετά να επιστρέψει (με καλή προσέγγιση) στην τιμή που είχε πριν από τη διαταραχή.</w:t>
      </w:r>
    </w:p>
    <w:p w:rsidR="00741FFF" w:rsidRDefault="00741FFF" w:rsidP="00741FFF">
      <w:pPr>
        <w:pStyle w:val="a5"/>
        <w:numPr>
          <w:ilvl w:val="0"/>
          <w:numId w:val="3"/>
        </w:numPr>
        <w:jc w:val="both"/>
      </w:pPr>
      <w:r>
        <w:t xml:space="preserve">Υπερύψωση για </w:t>
      </w:r>
      <w:proofErr w:type="spellStart"/>
      <w:r>
        <w:t>βηματική</w:t>
      </w:r>
      <w:proofErr w:type="spellEnd"/>
      <w:r>
        <w:t xml:space="preserve"> είσοδο μικρότερη από 5%.</w:t>
      </w:r>
    </w:p>
    <w:p w:rsidR="00741FFF" w:rsidRDefault="00741FFF" w:rsidP="00741FFF">
      <w:pPr>
        <w:pStyle w:val="a5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Μηδενικό σφάλμα θέσης.</w:t>
      </w:r>
    </w:p>
    <w:p w:rsidR="00741FFF" w:rsidRPr="00542FCA" w:rsidRDefault="00741FFF" w:rsidP="00741FFF">
      <w:pPr>
        <w:pStyle w:val="a5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Χρόνος ανόδου το πολύ 160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msec</w:t>
      </w:r>
      <w:proofErr w:type="spellEnd"/>
    </w:p>
    <w:p w:rsidR="00741FFF" w:rsidRPr="00542FCA" w:rsidRDefault="00A152D4" w:rsidP="00741FFF">
      <w:pPr>
        <w:pStyle w:val="a5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≤350 V</m:t>
        </m:r>
      </m:oMath>
      <w:r w:rsidR="00741FFF" w:rsidRPr="00542FCA">
        <w:rPr>
          <w:rFonts w:eastAsiaTheme="minorEastAsia"/>
          <w:sz w:val="24"/>
          <w:szCs w:val="24"/>
        </w:rPr>
        <w:t xml:space="preserve"> </w:t>
      </w:r>
      <w:r w:rsidR="00741FFF">
        <w:rPr>
          <w:rFonts w:eastAsiaTheme="minorEastAsia"/>
          <w:sz w:val="24"/>
          <w:szCs w:val="24"/>
        </w:rPr>
        <w:t xml:space="preserve">για κάθε </w:t>
      </w:r>
      <w:r w:rsidR="00741FFF">
        <w:rPr>
          <w:rFonts w:eastAsiaTheme="minorEastAsia"/>
          <w:sz w:val="24"/>
          <w:szCs w:val="24"/>
          <w:lang w:val="en-US"/>
        </w:rPr>
        <w:t>t</w:t>
      </w:r>
      <w:r w:rsidR="00741FFF" w:rsidRPr="00542FCA">
        <w:rPr>
          <w:rFonts w:eastAsiaTheme="minorEastAsia"/>
          <w:sz w:val="24"/>
          <w:szCs w:val="24"/>
        </w:rPr>
        <w:t xml:space="preserve"> &gt; 0.</w:t>
      </w:r>
    </w:p>
    <w:p w:rsidR="00741FFF" w:rsidRDefault="00741FFF" w:rsidP="00741FFF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Θεωρώντας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Pr="00542FCA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η συνάρτηση μεταφοράς είναι η:</w:t>
      </w:r>
    </w:p>
    <w:p w:rsidR="00741FFF" w:rsidRDefault="00A152D4" w:rsidP="00741FFF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18.69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s+12.064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741FFF" w:rsidRDefault="00741FFF" w:rsidP="00D92F85">
      <w:pPr>
        <w:spacing w:line="360" w:lineRule="auto"/>
        <w:jc w:val="both"/>
        <w:rPr>
          <w:sz w:val="24"/>
          <w:szCs w:val="24"/>
          <w:lang w:val="en-US"/>
        </w:rPr>
      </w:pPr>
    </w:p>
    <w:p w:rsidR="00D86DD8" w:rsidRPr="00A16B20" w:rsidRDefault="00D86DD8" w:rsidP="00D92F85">
      <w:pPr>
        <w:spacing w:line="360" w:lineRule="auto"/>
        <w:jc w:val="both"/>
        <w:rPr>
          <w:sz w:val="24"/>
          <w:szCs w:val="24"/>
        </w:rPr>
      </w:pPr>
      <w:r w:rsidRPr="00A16B20">
        <w:rPr>
          <w:sz w:val="24"/>
          <w:szCs w:val="24"/>
        </w:rPr>
        <w:t>Για τον καθορισμό του παρα</w:t>
      </w:r>
      <w:r w:rsidR="00D92F85" w:rsidRPr="00A16B20">
        <w:rPr>
          <w:sz w:val="24"/>
          <w:szCs w:val="24"/>
        </w:rPr>
        <w:t>πάνω ελεγκ</w:t>
      </w:r>
      <w:r w:rsidRPr="00A16B20">
        <w:rPr>
          <w:sz w:val="24"/>
          <w:szCs w:val="24"/>
        </w:rPr>
        <w:t>τή</w:t>
      </w:r>
      <w:r w:rsidR="00D92F85" w:rsidRPr="00A16B20">
        <w:rPr>
          <w:sz w:val="24"/>
          <w:szCs w:val="24"/>
        </w:rPr>
        <w:t xml:space="preserve"> καλούμαστε να ικανοποιήσουμε τις παρακάτω προδιαγραφές:</w:t>
      </w:r>
      <w:r w:rsidRPr="00A16B20">
        <w:rPr>
          <w:sz w:val="24"/>
          <w:szCs w:val="24"/>
        </w:rPr>
        <w:t xml:space="preserve"> </w:t>
      </w:r>
    </w:p>
    <w:p w:rsidR="00B46D66" w:rsidRPr="00A16B20" w:rsidRDefault="00B46D66" w:rsidP="00B46D66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A16B20">
        <w:rPr>
          <w:sz w:val="24"/>
          <w:szCs w:val="24"/>
        </w:rPr>
        <w:t xml:space="preserve">Υπερύψωση για </w:t>
      </w:r>
      <w:proofErr w:type="spellStart"/>
      <w:r w:rsidRPr="00A16B20">
        <w:rPr>
          <w:sz w:val="24"/>
          <w:szCs w:val="24"/>
        </w:rPr>
        <w:t>βηματική</w:t>
      </w:r>
      <w:proofErr w:type="spellEnd"/>
      <w:r w:rsidRPr="00A16B20">
        <w:rPr>
          <w:sz w:val="24"/>
          <w:szCs w:val="24"/>
        </w:rPr>
        <w:t xml:space="preserve"> είσοδο μικρότερη από </w:t>
      </w:r>
      <w:r w:rsidR="0047461E" w:rsidRPr="00A16B20">
        <w:rPr>
          <w:sz w:val="24"/>
          <w:szCs w:val="24"/>
        </w:rPr>
        <w:t>5</w:t>
      </w:r>
      <w:r w:rsidRPr="00A16B20">
        <w:rPr>
          <w:sz w:val="24"/>
          <w:szCs w:val="24"/>
        </w:rPr>
        <w:t>%</w:t>
      </w:r>
    </w:p>
    <w:p w:rsidR="00B46D66" w:rsidRDefault="00B46D66" w:rsidP="00B46D66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 xml:space="preserve">0.05 &lt;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π∙ζ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  <m:r>
            <w:rPr>
              <w:rFonts w:ascii="Cambria Math" w:hAnsi="Cambria Math"/>
            </w:rPr>
            <m:t xml:space="preserve"> ⇒0.90929∙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1- 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ζ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⇒</m:t>
          </m:r>
          <m:r>
            <w:rPr>
              <w:rFonts w:ascii="Cambria Math" w:eastAsiaTheme="minorEastAsia" w:hAnsi="Cambria Math"/>
            </w:rPr>
            <m:t>ζ&gt;0.69</m:t>
          </m:r>
        </m:oMath>
      </m:oMathPara>
    </w:p>
    <w:p w:rsidR="00B46D66" w:rsidRDefault="00B46D66" w:rsidP="00D92F85">
      <w:pPr>
        <w:jc w:val="both"/>
      </w:pPr>
    </w:p>
    <w:p w:rsidR="00B46D66" w:rsidRPr="00A16B20" w:rsidRDefault="00C36BF4" w:rsidP="00B46D66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A16B20">
        <w:rPr>
          <w:sz w:val="24"/>
          <w:szCs w:val="24"/>
        </w:rPr>
        <w:t>Χρόνος ανόδου μικρότερος από 0.</w:t>
      </w:r>
      <w:r w:rsidR="0047461E" w:rsidRPr="00A16B20">
        <w:rPr>
          <w:sz w:val="24"/>
          <w:szCs w:val="24"/>
        </w:rPr>
        <w:t>1</w:t>
      </w:r>
      <w:r w:rsidRPr="00A16B20">
        <w:rPr>
          <w:sz w:val="24"/>
          <w:szCs w:val="24"/>
        </w:rPr>
        <w:t xml:space="preserve">6 </w:t>
      </w:r>
      <w:r w:rsidRPr="00A16B20">
        <w:rPr>
          <w:sz w:val="24"/>
          <w:szCs w:val="24"/>
          <w:lang w:val="en-US"/>
        </w:rPr>
        <w:t>sec</w:t>
      </w:r>
    </w:p>
    <w:p w:rsidR="00C36BF4" w:rsidRPr="00D92F85" w:rsidRDefault="00C36BF4" w:rsidP="00C36BF4">
      <w:pPr>
        <w:pStyle w:val="a5"/>
        <w:jc w:val="both"/>
      </w:pPr>
    </w:p>
    <w:p w:rsidR="00A16B20" w:rsidRDefault="00A152D4" w:rsidP="00626F8F">
      <w:pPr>
        <w:pStyle w:val="a5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&lt;0.16 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2.16∙ζ</m:t>
              </m:r>
              <m:r>
                <w:rPr>
                  <w:rFonts w:ascii="Cambria Math" w:hAnsi="Cambria Math"/>
                  <w:lang w:val="en-US"/>
                </w:rPr>
                <m:t>+0.6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&lt;0.16 </m:t>
          </m:r>
          <m:r>
            <w:rPr>
              <w:rFonts w:ascii="Cambria Math" w:hAnsi="Cambria Math"/>
            </w:rPr>
            <m:t xml:space="preserve">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&gt;13.065</m:t>
          </m:r>
        </m:oMath>
      </m:oMathPara>
    </w:p>
    <w:p w:rsidR="00626F8F" w:rsidRDefault="008B390E" w:rsidP="008B390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Η συνάρτηση μεταφοράς ανοιχτού βρόχου είναι η:</w:t>
      </w:r>
    </w:p>
    <w:p w:rsidR="008B390E" w:rsidRDefault="008B390E" w:rsidP="008B390E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18.69∙K∙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s+c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s(s+12.064)</m:t>
              </m:r>
            </m:den>
          </m:f>
        </m:oMath>
      </m:oMathPara>
    </w:p>
    <w:p w:rsidR="008B390E" w:rsidRDefault="008B390E" w:rsidP="008B390E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ενώ το χαρακτηριστικό πολυώνυμο είναι το:</w:t>
      </w:r>
    </w:p>
    <w:p w:rsidR="008B390E" w:rsidRDefault="008B390E" w:rsidP="008B390E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1+Α=0 </m:t>
          </m:r>
          <m:r>
            <w:rPr>
              <w:rFonts w:ascii="Cambria Math" w:hAnsi="Cambria Math"/>
            </w:rPr>
            <m:t xml:space="preserve">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12.064+18.69∙K</m:t>
              </m:r>
            </m:e>
          </m:d>
          <m:r>
            <w:rPr>
              <w:rFonts w:ascii="Cambria Math" w:hAnsi="Cambria Math"/>
            </w:rPr>
            <m:t>s+c∙K∙18.69=0</m:t>
          </m:r>
        </m:oMath>
      </m:oMathPara>
    </w:p>
    <w:p w:rsidR="008B390E" w:rsidRDefault="008B390E" w:rsidP="008B390E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Από τις προδιαγραφές 1(ποσοστό υπερύψωσης) και 2 (χρόνος ανόδου) επιλέγουμε:</w:t>
      </w:r>
    </w:p>
    <w:p w:rsidR="008B390E" w:rsidRDefault="00A152D4" w:rsidP="008B390E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=15 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sec</m:t>
              </m:r>
            </m:den>
          </m:f>
        </m:oMath>
      </m:oMathPara>
    </w:p>
    <w:p w:rsidR="008B390E" w:rsidRDefault="008B390E" w:rsidP="008B390E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και</w:t>
      </w:r>
    </w:p>
    <w:p w:rsidR="008B390E" w:rsidRDefault="008B390E" w:rsidP="008B390E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ζ=0.7</m:t>
          </m:r>
        </m:oMath>
      </m:oMathPara>
    </w:p>
    <w:p w:rsidR="008B390E" w:rsidRDefault="008B390E" w:rsidP="008B390E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Οπότε το επιθυμητό πολυώνυμο είναι το:</w:t>
      </w:r>
    </w:p>
    <w:p w:rsidR="008B390E" w:rsidRDefault="008B390E" w:rsidP="008B390E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2∙ζ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:rsidR="008B390E" w:rsidRDefault="008B390E" w:rsidP="008B390E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8B390E">
        <w:rPr>
          <w:rFonts w:eastAsiaTheme="minorEastAsia"/>
          <w:sz w:val="24"/>
          <w:szCs w:val="24"/>
        </w:rPr>
        <w:t xml:space="preserve">Από </w:t>
      </w:r>
      <w:r>
        <w:rPr>
          <w:rFonts w:eastAsiaTheme="minorEastAsia"/>
          <w:sz w:val="24"/>
          <w:szCs w:val="24"/>
        </w:rPr>
        <w:t>τη σύγκριση των δύο παραπάνω πολυωνύμων έχουμε:</w:t>
      </w:r>
    </w:p>
    <w:p w:rsidR="008B390E" w:rsidRDefault="008B390E" w:rsidP="008B390E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Κ=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2∙ζ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- 12.064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18.69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=0.6386</m:t>
          </m:r>
        </m:oMath>
      </m:oMathPara>
    </w:p>
    <w:p w:rsidR="008B390E" w:rsidRPr="008B390E" w:rsidRDefault="008B390E" w:rsidP="008B390E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και</w:t>
      </w:r>
    </w:p>
    <w:p w:rsidR="008B390E" w:rsidRDefault="008B390E" w:rsidP="00EE3BDA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18.69∙K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=18.8505</m:t>
          </m:r>
        </m:oMath>
      </m:oMathPara>
    </w:p>
    <w:p w:rsidR="008B390E" w:rsidRPr="00741FFF" w:rsidRDefault="008B390E" w:rsidP="00EE3BDA">
      <w:pPr>
        <w:spacing w:line="360" w:lineRule="auto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Στο παράρτημα Α παρουσιάζεται ένας κώδικας σε </w:t>
      </w:r>
      <w:proofErr w:type="spellStart"/>
      <w:r>
        <w:rPr>
          <w:rFonts w:eastAsiaTheme="minorEastAsia"/>
          <w:sz w:val="24"/>
          <w:szCs w:val="24"/>
          <w:lang w:val="en-US"/>
        </w:rPr>
        <w:t>Matlab</w:t>
      </w:r>
      <w:proofErr w:type="spellEnd"/>
      <w:r>
        <w:rPr>
          <w:rFonts w:eastAsiaTheme="minorEastAsia"/>
          <w:sz w:val="24"/>
          <w:szCs w:val="24"/>
        </w:rPr>
        <w:t xml:space="preserve"> με το οποίο υπολογίζονται οι τιμές </w:t>
      </w:r>
      <w:r w:rsidR="00741FFF">
        <w:rPr>
          <w:rFonts w:eastAsiaTheme="minorEastAsia"/>
          <w:sz w:val="24"/>
          <w:szCs w:val="24"/>
        </w:rPr>
        <w:t xml:space="preserve">των Κ και </w:t>
      </w:r>
      <w:r w:rsidR="00741FFF">
        <w:rPr>
          <w:rFonts w:eastAsiaTheme="minorEastAsia"/>
          <w:sz w:val="24"/>
          <w:szCs w:val="24"/>
          <w:lang w:val="en-US"/>
        </w:rPr>
        <w:t>c</w:t>
      </w:r>
      <w:r w:rsidR="00741FFF" w:rsidRPr="00741FFF">
        <w:rPr>
          <w:rFonts w:eastAsiaTheme="minorEastAsia"/>
          <w:sz w:val="24"/>
          <w:szCs w:val="24"/>
        </w:rPr>
        <w:t>.</w:t>
      </w:r>
    </w:p>
    <w:p w:rsidR="00DA2736" w:rsidRDefault="00DA2736" w:rsidP="00542FCA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Τα κέρδη του γραμμικού ελεγκτή που βρέθηκαν σύμφωνα με τις παραπάνω προδιαγραφές είναι:</w:t>
      </w:r>
    </w:p>
    <w:p w:rsidR="00DA2736" w:rsidRDefault="00A152D4" w:rsidP="00542FCA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K=0.6386</m:t>
          </m:r>
        </m:oMath>
      </m:oMathPara>
    </w:p>
    <w:p w:rsidR="00DA2736" w:rsidRPr="00DA2736" w:rsidRDefault="00A152D4" w:rsidP="00542FCA">
      <w:pPr>
        <w:spacing w:line="360" w:lineRule="auto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val="en-US"/>
            </w:rPr>
            <m:t>K∙C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12.0385</m:t>
          </m:r>
        </m:oMath>
      </m:oMathPara>
    </w:p>
    <w:p w:rsidR="00A16B20" w:rsidRDefault="00A152D4" w:rsidP="00EE3BDA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0.053</m:t>
          </m:r>
        </m:oMath>
      </m:oMathPara>
    </w:p>
    <w:p w:rsidR="00626F8F" w:rsidRPr="00626F8F" w:rsidRDefault="00626F8F" w:rsidP="00EE3BDA">
      <w:pPr>
        <w:spacing w:line="360" w:lineRule="auto"/>
        <w:jc w:val="both"/>
        <w:rPr>
          <w:sz w:val="23"/>
          <w:szCs w:val="23"/>
          <w:lang w:val="en-US"/>
        </w:rPr>
      </w:pPr>
      <w:r>
        <w:rPr>
          <w:sz w:val="23"/>
          <w:szCs w:val="23"/>
        </w:rPr>
        <w:t>Επειδή το σήμα αναφοράς είναι 150</w:t>
      </w:r>
      <w:r w:rsidRPr="00626F8F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rad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sec</w:t>
      </w:r>
      <w:proofErr w:type="spellEnd"/>
      <w:r>
        <w:rPr>
          <w:sz w:val="23"/>
          <w:szCs w:val="23"/>
        </w:rPr>
        <w:t xml:space="preserve">, σε πρώτη φάση το </w:t>
      </w:r>
      <w:proofErr w:type="spellStart"/>
      <w:r>
        <w:rPr>
          <w:sz w:val="23"/>
          <w:szCs w:val="23"/>
        </w:rPr>
        <w:t>κανονικοποιούμε</w:t>
      </w:r>
      <w:proofErr w:type="spellEnd"/>
      <w:r>
        <w:rPr>
          <w:sz w:val="23"/>
          <w:szCs w:val="23"/>
        </w:rPr>
        <w:t xml:space="preserve"> στο διάστημα [-1,1], διαιρώντας το με 150. Αντικαθιστώντας στις εξισώσεις</w:t>
      </w:r>
      <w:r w:rsidRPr="00626F8F">
        <w:rPr>
          <w:sz w:val="23"/>
          <w:szCs w:val="23"/>
        </w:rPr>
        <w:t>:</w:t>
      </w:r>
      <w:r>
        <w:rPr>
          <w:sz w:val="23"/>
          <w:szCs w:val="23"/>
        </w:rPr>
        <w:t xml:space="preserve"> </w:t>
      </w:r>
    </w:p>
    <w:p w:rsidR="00626F8F" w:rsidRDefault="00626F8F" w:rsidP="00EE3BDA">
      <w:pPr>
        <w:spacing w:line="360" w:lineRule="auto"/>
        <w:jc w:val="both"/>
        <w:rPr>
          <w:rFonts w:eastAsiaTheme="minorEastAsia"/>
          <w:sz w:val="23"/>
          <w:szCs w:val="23"/>
          <w:lang w:val="en-US"/>
        </w:rPr>
      </w:pPr>
      <m:oMathPara>
        <m:oMath>
          <m:r>
            <w:rPr>
              <w:rFonts w:ascii="Cambria Math" w:hAnsi="Cambria Math"/>
              <w:sz w:val="23"/>
              <w:szCs w:val="23"/>
              <w:lang w:val="en-US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F{a∙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}</m:t>
              </m:r>
            </m:den>
          </m:f>
          <m:r>
            <w:rPr>
              <w:rFonts w:ascii="Cambria Math" w:hAnsi="Cambria Math"/>
              <w:sz w:val="23"/>
              <w:szCs w:val="23"/>
              <w:lang w:val="en-US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p</m:t>
              </m:r>
            </m:sub>
          </m:sSub>
        </m:oMath>
      </m:oMathPara>
    </w:p>
    <w:p w:rsidR="00626F8F" w:rsidRDefault="00626F8F" w:rsidP="00EE3BDA">
      <w:pPr>
        <w:spacing w:line="360" w:lineRule="auto"/>
        <w:jc w:val="both"/>
        <w:rPr>
          <w:rFonts w:eastAsiaTheme="minorEastAsia"/>
          <w:sz w:val="23"/>
          <w:szCs w:val="23"/>
          <w:lang w:val="en-US"/>
        </w:rPr>
      </w:pPr>
      <m:oMathPara>
        <m:oMath>
          <m:r>
            <w:rPr>
              <w:rFonts w:ascii="Cambria Math" w:hAnsi="Cambria Math"/>
              <w:sz w:val="23"/>
              <w:szCs w:val="23"/>
              <w:lang w:val="en-US"/>
            </w:rPr>
            <m:t>a≈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i</m:t>
              </m:r>
            </m:sub>
          </m:sSub>
        </m:oMath>
      </m:oMathPara>
    </w:p>
    <w:p w:rsidR="00626F8F" w:rsidRDefault="00A152D4" w:rsidP="00EE3BDA">
      <w:pPr>
        <w:spacing w:line="360" w:lineRule="auto"/>
        <w:jc w:val="both"/>
        <w:rPr>
          <w:sz w:val="23"/>
          <w:szCs w:val="2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3"/>
              <w:szCs w:val="23"/>
              <w:lang w:val="en-US"/>
            </w:rPr>
            <m:t>=1</m:t>
          </m:r>
        </m:oMath>
      </m:oMathPara>
    </w:p>
    <w:p w:rsidR="00A16B20" w:rsidRPr="003D5C5E" w:rsidRDefault="00626F8F" w:rsidP="00EE3BDA">
      <w:pPr>
        <w:spacing w:line="360" w:lineRule="auto"/>
        <w:jc w:val="both"/>
        <w:rPr>
          <w:sz w:val="24"/>
          <w:szCs w:val="24"/>
        </w:rPr>
      </w:pPr>
      <w:r>
        <w:rPr>
          <w:sz w:val="23"/>
          <w:szCs w:val="23"/>
        </w:rPr>
        <w:t xml:space="preserve">βρίσκουμε τα αρχικά κέρδη </w:t>
      </w:r>
      <w:proofErr w:type="spellStart"/>
      <w:r>
        <w:rPr>
          <w:sz w:val="23"/>
          <w:szCs w:val="23"/>
        </w:rPr>
        <w:t>κλιμακοποίησης</w:t>
      </w:r>
      <w:proofErr w:type="spellEnd"/>
      <w:r>
        <w:rPr>
          <w:sz w:val="23"/>
          <w:szCs w:val="23"/>
        </w:rPr>
        <w:t xml:space="preserve"> του FZ-PI ελεγκτή:</w:t>
      </w:r>
    </w:p>
    <w:p w:rsidR="00626F8F" w:rsidRDefault="00626F8F" w:rsidP="00626F8F">
      <w:pPr>
        <w:spacing w:line="360" w:lineRule="auto"/>
        <w:jc w:val="both"/>
        <w:rPr>
          <w:rFonts w:eastAsiaTheme="minorEastAsia"/>
          <w:sz w:val="23"/>
          <w:szCs w:val="23"/>
          <w:lang w:val="en-US"/>
        </w:rPr>
      </w:pPr>
      <m:oMathPara>
        <m:oMath>
          <m:r>
            <w:rPr>
              <w:rFonts w:ascii="Cambria Math" w:hAnsi="Cambria Math"/>
              <w:sz w:val="23"/>
              <w:szCs w:val="23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3"/>
              <w:szCs w:val="23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⇒a= </m:t>
          </m:r>
          <m:r>
            <w:rPr>
              <w:rFonts w:ascii="Cambria Math" w:hAnsi="Cambria Math"/>
            </w:rPr>
            <m:t>18.8505</m:t>
          </m:r>
          <m:r>
            <w:rPr>
              <w:rFonts w:ascii="Cambria Math" w:hAnsi="Cambria Math"/>
              <w:sz w:val="23"/>
              <w:szCs w:val="23"/>
              <w:lang w:val="en-US"/>
            </w:rPr>
            <m:t xml:space="preserve"> </m:t>
          </m:r>
        </m:oMath>
      </m:oMathPara>
    </w:p>
    <w:p w:rsidR="00626F8F" w:rsidRDefault="00626F8F" w:rsidP="00626F8F">
      <w:pPr>
        <w:spacing w:line="360" w:lineRule="auto"/>
        <w:jc w:val="both"/>
        <w:rPr>
          <w:rFonts w:eastAsiaTheme="minorEastAsia"/>
          <w:sz w:val="23"/>
          <w:szCs w:val="23"/>
          <w:lang w:val="en-US"/>
        </w:rPr>
      </w:pPr>
      <m:oMathPara>
        <m:oMath>
          <m:r>
            <w:rPr>
              <w:rFonts w:ascii="Cambria Math" w:hAnsi="Cambria Math"/>
              <w:sz w:val="23"/>
              <w:szCs w:val="23"/>
              <w:lang w:val="en-US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F{a∙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}</m:t>
              </m:r>
            </m:den>
          </m:f>
          <m:r>
            <w:rPr>
              <w:rFonts w:ascii="Cambria Math" w:hAnsi="Cambria Math"/>
              <w:sz w:val="23"/>
              <w:szCs w:val="23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⇒ </m:t>
          </m:r>
          <m:r>
            <w:rPr>
              <w:rFonts w:ascii="Cambria Math" w:hAnsi="Cambria Math"/>
              <w:sz w:val="23"/>
              <w:szCs w:val="23"/>
              <w:lang w:val="en-US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0.6386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F{</m:t>
              </m:r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0.053</m:t>
              </m:r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∙1}</m:t>
              </m:r>
            </m:den>
          </m:f>
          <m:r>
            <w:rPr>
              <w:rFonts w:ascii="Cambria Math" w:hAnsi="Cambria Math"/>
              <w:sz w:val="23"/>
              <w:szCs w:val="23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0.6386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0.053</m:t>
              </m:r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∙1</m:t>
              </m:r>
            </m:den>
          </m:f>
          <m:r>
            <w:rPr>
              <w:rFonts w:ascii="Cambria Math" w:hAnsi="Cambria Math"/>
              <w:sz w:val="23"/>
              <w:szCs w:val="23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⇒ </m:t>
          </m:r>
          <m:r>
            <w:rPr>
              <w:rFonts w:ascii="Cambria Math" w:hAnsi="Cambria Math"/>
              <w:sz w:val="23"/>
              <w:szCs w:val="23"/>
              <w:lang w:val="en-US"/>
            </w:rPr>
            <m:t xml:space="preserve">K= </m:t>
          </m:r>
          <m:r>
            <w:rPr>
              <w:rFonts w:ascii="Cambria Math" w:hAnsi="Cambria Math"/>
              <w:sz w:val="24"/>
              <w:szCs w:val="24"/>
              <w:lang w:val="en-US"/>
            </w:rPr>
            <m:t>12.0385</m:t>
          </m:r>
        </m:oMath>
      </m:oMathPara>
    </w:p>
    <w:p w:rsidR="00626F8F" w:rsidRPr="00626F8F" w:rsidRDefault="00626F8F" w:rsidP="001A0B4E">
      <w:pPr>
        <w:pStyle w:val="Default"/>
        <w:rPr>
          <w:lang w:val="en-US"/>
        </w:rPr>
      </w:pPr>
    </w:p>
    <w:p w:rsidR="00A16B20" w:rsidRPr="008B7FAD" w:rsidRDefault="001A0B4E" w:rsidP="001A0B4E">
      <w:pPr>
        <w:spacing w:line="360" w:lineRule="auto"/>
        <w:jc w:val="both"/>
        <w:rPr>
          <w:sz w:val="23"/>
          <w:szCs w:val="23"/>
        </w:rPr>
      </w:pPr>
      <w:r>
        <w:t xml:space="preserve"> </w:t>
      </w:r>
      <w:r w:rsidR="00626F8F">
        <w:rPr>
          <w:sz w:val="23"/>
          <w:szCs w:val="23"/>
        </w:rPr>
        <w:t xml:space="preserve">Συγκρίνοντας την απόκριση του FZ-PI με τις αρχικές τιμές των κερδών </w:t>
      </w:r>
      <w:proofErr w:type="spellStart"/>
      <w:r w:rsidR="00626F8F">
        <w:rPr>
          <w:sz w:val="23"/>
          <w:szCs w:val="23"/>
        </w:rPr>
        <w:t>κλιμακοποίησης</w:t>
      </w:r>
      <w:proofErr w:type="spellEnd"/>
      <w:r w:rsidR="00626F8F">
        <w:rPr>
          <w:sz w:val="23"/>
          <w:szCs w:val="23"/>
        </w:rPr>
        <w:t xml:space="preserve"> με την απόκριση του γραμμικού ελεγκτή, παρατηρούμε ότι είναι πιο αργή και γι’ αυτό χρειάζεται επιπλέον ρύθμιση.</w:t>
      </w:r>
    </w:p>
    <w:p w:rsidR="00626F8F" w:rsidRPr="00626F8F" w:rsidRDefault="00626F8F" w:rsidP="00626F8F">
      <w:pPr>
        <w:spacing w:line="360" w:lineRule="auto"/>
        <w:jc w:val="both"/>
      </w:pPr>
      <w:r w:rsidRPr="00626F8F">
        <w:t xml:space="preserve">Εφαρμόζοντας την συγκριτική μέθοδο ρύθμισης των κερδών, έχουμε: </w:t>
      </w:r>
    </w:p>
    <w:p w:rsidR="00626F8F" w:rsidRPr="00626F8F" w:rsidRDefault="00626F8F" w:rsidP="00626F8F">
      <w:pPr>
        <w:spacing w:line="360" w:lineRule="auto"/>
        <w:jc w:val="both"/>
      </w:pPr>
      <w:r w:rsidRPr="00626F8F">
        <w:t>a) Ρυθμίζουμε τα Ke / K για γρηγορότερη απόκριση. Έτσι έχουμε Ke = 1.5 και K =</w:t>
      </w:r>
      <w:r w:rsidR="009F355C" w:rsidRPr="00ED0D06">
        <w:t>2</w:t>
      </w:r>
      <w:r w:rsidR="00E70936">
        <w:t>0</w:t>
      </w:r>
      <w:r w:rsidR="009F355C" w:rsidRPr="00ED0D06">
        <w:t>0</w:t>
      </w:r>
      <w:r w:rsidRPr="00626F8F">
        <w:t xml:space="preserve">. </w:t>
      </w:r>
    </w:p>
    <w:p w:rsidR="00626F8F" w:rsidRPr="00626F8F" w:rsidRDefault="00626F8F" w:rsidP="00626F8F">
      <w:pPr>
        <w:spacing w:line="360" w:lineRule="auto"/>
        <w:jc w:val="both"/>
      </w:pPr>
      <w:r w:rsidRPr="00626F8F">
        <w:t xml:space="preserve">b) Ρυθμίζουμε το α για ακόμα πιο γρήγορη απόκριση και παίρνουμε σαν τιμή α = 0.06. </w:t>
      </w:r>
    </w:p>
    <w:p w:rsidR="00626F8F" w:rsidRPr="00626F8F" w:rsidRDefault="00626F8F" w:rsidP="00626F8F">
      <w:pPr>
        <w:spacing w:line="360" w:lineRule="auto"/>
        <w:jc w:val="both"/>
      </w:pPr>
      <w:r w:rsidRPr="00626F8F">
        <w:t xml:space="preserve">Στην παραπάνω εφαρμογή, επιλέχθηκε χρόνος δειγματοληψίας Τ = 0.01 </w:t>
      </w:r>
      <w:proofErr w:type="spellStart"/>
      <w:r w:rsidRPr="00626F8F">
        <w:t>sec</w:t>
      </w:r>
      <w:proofErr w:type="spellEnd"/>
      <w:r w:rsidR="00742D74" w:rsidRPr="00742D74">
        <w:t>.</w:t>
      </w:r>
      <w:r w:rsidRPr="00626F8F">
        <w:t xml:space="preserve"> </w:t>
      </w:r>
    </w:p>
    <w:p w:rsidR="00EE3BDA" w:rsidRPr="00626F8F" w:rsidRDefault="00626F8F" w:rsidP="00EE3BDA">
      <w:pPr>
        <w:spacing w:line="360" w:lineRule="auto"/>
        <w:jc w:val="both"/>
        <w:rPr>
          <w:sz w:val="24"/>
          <w:szCs w:val="24"/>
        </w:rPr>
      </w:pPr>
      <w:r>
        <w:rPr>
          <w:sz w:val="23"/>
          <w:szCs w:val="23"/>
        </w:rPr>
        <w:t xml:space="preserve">Το διάγραμμα προσομοίωσης στο περιβάλλον </w:t>
      </w:r>
      <w:proofErr w:type="spellStart"/>
      <w:r>
        <w:rPr>
          <w:sz w:val="23"/>
          <w:szCs w:val="23"/>
        </w:rPr>
        <w:t>Simulink</w:t>
      </w:r>
      <w:proofErr w:type="spellEnd"/>
      <w:r>
        <w:rPr>
          <w:sz w:val="23"/>
          <w:szCs w:val="23"/>
        </w:rPr>
        <w:t xml:space="preserve"> δίνεται στ</w:t>
      </w:r>
      <w:r w:rsidR="00E70936">
        <w:rPr>
          <w:sz w:val="23"/>
          <w:szCs w:val="23"/>
        </w:rPr>
        <w:t>ην εικόνα 8</w:t>
      </w:r>
      <w:r>
        <w:rPr>
          <w:sz w:val="23"/>
          <w:szCs w:val="23"/>
        </w:rPr>
        <w:t xml:space="preserve">. Θα πρέπει να τονίσουμε ότι λόγω της </w:t>
      </w:r>
      <w:proofErr w:type="spellStart"/>
      <w:r>
        <w:rPr>
          <w:sz w:val="23"/>
          <w:szCs w:val="23"/>
        </w:rPr>
        <w:t>κανονικοποίησης</w:t>
      </w:r>
      <w:proofErr w:type="spellEnd"/>
      <w:r>
        <w:rPr>
          <w:sz w:val="23"/>
          <w:szCs w:val="23"/>
        </w:rPr>
        <w:t xml:space="preserve">, μετά το κέρδος εξόδου </w:t>
      </w:r>
      <w:r>
        <w:rPr>
          <w:i/>
          <w:iCs/>
          <w:sz w:val="23"/>
          <w:szCs w:val="23"/>
        </w:rPr>
        <w:t xml:space="preserve">K </w:t>
      </w:r>
      <w:r>
        <w:rPr>
          <w:sz w:val="23"/>
          <w:szCs w:val="23"/>
        </w:rPr>
        <w:t xml:space="preserve">του </w:t>
      </w:r>
      <w:r>
        <w:rPr>
          <w:sz w:val="23"/>
          <w:szCs w:val="23"/>
        </w:rPr>
        <w:lastRenderedPageBreak/>
        <w:t xml:space="preserve">ελεγκτή, </w:t>
      </w:r>
      <w:proofErr w:type="spellStart"/>
      <w:r>
        <w:rPr>
          <w:sz w:val="23"/>
          <w:szCs w:val="23"/>
        </w:rPr>
        <w:t>απο</w:t>
      </w:r>
      <w:proofErr w:type="spell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κανονικοποιούμε</w:t>
      </w:r>
      <w:proofErr w:type="spellEnd"/>
      <w:r>
        <w:rPr>
          <w:sz w:val="23"/>
          <w:szCs w:val="23"/>
        </w:rPr>
        <w:t xml:space="preserve"> την έξοδο, πολλαπλασιάζοντας την με 150. Οι </w:t>
      </w:r>
      <w:proofErr w:type="spellStart"/>
      <w:r>
        <w:rPr>
          <w:sz w:val="23"/>
          <w:szCs w:val="23"/>
        </w:rPr>
        <w:t>βηματικές</w:t>
      </w:r>
      <w:proofErr w:type="spellEnd"/>
      <w:r>
        <w:rPr>
          <w:sz w:val="23"/>
          <w:szCs w:val="23"/>
        </w:rPr>
        <w:t xml:space="preserve"> αποκρίσεις τ</w:t>
      </w:r>
      <w:r w:rsidR="00E70936">
        <w:rPr>
          <w:sz w:val="23"/>
          <w:szCs w:val="23"/>
        </w:rPr>
        <w:t>ου ελεγκτή δίνεται στην</w:t>
      </w:r>
      <w:r>
        <w:rPr>
          <w:sz w:val="23"/>
          <w:szCs w:val="23"/>
        </w:rPr>
        <w:t xml:space="preserve"> </w:t>
      </w:r>
      <w:r w:rsidR="00E70936" w:rsidRPr="00E70936">
        <w:rPr>
          <w:sz w:val="23"/>
          <w:szCs w:val="23"/>
        </w:rPr>
        <w:t>εικόνα 9.</w:t>
      </w:r>
      <w:r>
        <w:rPr>
          <w:sz w:val="23"/>
          <w:szCs w:val="23"/>
        </w:rPr>
        <w:t xml:space="preserve"> </w:t>
      </w:r>
    </w:p>
    <w:p w:rsidR="00D96B9D" w:rsidRPr="00533BF0" w:rsidRDefault="00EE3BDA" w:rsidP="00C36BF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Επίσης, </w:t>
      </w:r>
      <w:r>
        <w:rPr>
          <w:sz w:val="24"/>
          <w:szCs w:val="24"/>
        </w:rPr>
        <w:t>σ</w:t>
      </w:r>
      <w:r w:rsidR="00975680" w:rsidRPr="00D92F85">
        <w:rPr>
          <w:sz w:val="24"/>
          <w:szCs w:val="24"/>
        </w:rPr>
        <w:t>τ</w:t>
      </w:r>
      <w:r w:rsidR="00D96B9D" w:rsidRPr="00D92F85">
        <w:rPr>
          <w:sz w:val="24"/>
          <w:szCs w:val="24"/>
        </w:rPr>
        <w:t>ις εικόνες</w:t>
      </w:r>
      <w:r>
        <w:rPr>
          <w:sz w:val="24"/>
          <w:szCs w:val="24"/>
        </w:rPr>
        <w:t xml:space="preserve"> που ακολουθούν</w:t>
      </w:r>
      <w:r w:rsidR="00742D74">
        <w:rPr>
          <w:sz w:val="24"/>
          <w:szCs w:val="24"/>
        </w:rPr>
        <w:t xml:space="preserve"> (Εικόνα </w:t>
      </w:r>
      <w:r w:rsidR="00742D74" w:rsidRPr="00742D74">
        <w:rPr>
          <w:sz w:val="24"/>
          <w:szCs w:val="24"/>
        </w:rPr>
        <w:t>1</w:t>
      </w:r>
      <w:r w:rsidR="00742D74">
        <w:rPr>
          <w:sz w:val="24"/>
          <w:szCs w:val="24"/>
        </w:rPr>
        <w:t xml:space="preserve"> και </w:t>
      </w:r>
      <w:r w:rsidR="00742D74" w:rsidRPr="00742D74">
        <w:rPr>
          <w:sz w:val="24"/>
          <w:szCs w:val="24"/>
        </w:rPr>
        <w:t>1</w:t>
      </w:r>
      <w:r w:rsidR="00D96B9D" w:rsidRPr="00D92F85">
        <w:rPr>
          <w:sz w:val="24"/>
          <w:szCs w:val="24"/>
        </w:rPr>
        <w:t>)</w:t>
      </w:r>
      <w:r w:rsidR="00975680" w:rsidRPr="00D92F85">
        <w:rPr>
          <w:sz w:val="24"/>
          <w:szCs w:val="24"/>
        </w:rPr>
        <w:t xml:space="preserve"> παρουσιάζονται τα αποτελέσματα</w:t>
      </w:r>
      <w:r>
        <w:rPr>
          <w:sz w:val="24"/>
          <w:szCs w:val="24"/>
        </w:rPr>
        <w:t xml:space="preserve"> σε μορφή γραφικών παραστάσεων</w:t>
      </w:r>
      <w:r w:rsidR="00975680" w:rsidRPr="00D92F85">
        <w:rPr>
          <w:sz w:val="24"/>
          <w:szCs w:val="24"/>
        </w:rPr>
        <w:t xml:space="preserve"> της </w:t>
      </w:r>
      <w:proofErr w:type="spellStart"/>
      <w:r w:rsidR="00975680" w:rsidRPr="00D92F85">
        <w:rPr>
          <w:sz w:val="24"/>
          <w:szCs w:val="24"/>
          <w:lang w:val="en-US"/>
        </w:rPr>
        <w:t>Matlab</w:t>
      </w:r>
      <w:proofErr w:type="spellEnd"/>
      <w:r w:rsidR="00975680" w:rsidRPr="00D92F85">
        <w:rPr>
          <w:sz w:val="24"/>
          <w:szCs w:val="24"/>
        </w:rPr>
        <w:t>.</w:t>
      </w:r>
      <w:r w:rsidR="00D96B9D" w:rsidRPr="00D92F85">
        <w:rPr>
          <w:sz w:val="24"/>
          <w:szCs w:val="24"/>
        </w:rPr>
        <w:t xml:space="preserve"> Παρατηρούμε ότι η υπε</w:t>
      </w:r>
      <w:r w:rsidR="00130E4C" w:rsidRPr="00D92F85">
        <w:rPr>
          <w:sz w:val="24"/>
          <w:szCs w:val="24"/>
        </w:rPr>
        <w:t>ρύψωση (Ει</w:t>
      </w:r>
      <w:r w:rsidR="00AD5149">
        <w:rPr>
          <w:sz w:val="24"/>
          <w:szCs w:val="24"/>
        </w:rPr>
        <w:t xml:space="preserve">κόνα 2) είναι ίση με </w:t>
      </w:r>
      <w:r w:rsidR="00E70936" w:rsidRPr="00E70936">
        <w:rPr>
          <w:sz w:val="24"/>
          <w:szCs w:val="24"/>
        </w:rPr>
        <w:t>4</w:t>
      </w:r>
      <w:r w:rsidR="00AD5149">
        <w:rPr>
          <w:sz w:val="24"/>
          <w:szCs w:val="24"/>
        </w:rPr>
        <w:t>.</w:t>
      </w:r>
      <w:r w:rsidR="00E70936">
        <w:rPr>
          <w:sz w:val="24"/>
          <w:szCs w:val="24"/>
          <w:lang w:val="en-US"/>
        </w:rPr>
        <w:t>34</w:t>
      </w:r>
      <w:r w:rsidR="00AD5149">
        <w:rPr>
          <w:sz w:val="24"/>
          <w:szCs w:val="24"/>
        </w:rPr>
        <w:t xml:space="preserve">% &lt; </w:t>
      </w:r>
      <w:r w:rsidR="00AD5149" w:rsidRPr="00AD5149">
        <w:rPr>
          <w:sz w:val="24"/>
          <w:szCs w:val="24"/>
        </w:rPr>
        <w:t>5</w:t>
      </w:r>
      <w:r w:rsidR="00D96B9D" w:rsidRPr="00D92F85">
        <w:rPr>
          <w:sz w:val="24"/>
          <w:szCs w:val="24"/>
        </w:rPr>
        <w:t>%. Άρα η πρώτη προδιαγραφή ικανοποιείται. Επίσης, παρατηρούμε ότι ο χρόνος ανόδου είναι ίσος με 0.</w:t>
      </w:r>
      <w:r w:rsidR="003208D6" w:rsidRPr="003208D6">
        <w:rPr>
          <w:sz w:val="24"/>
          <w:szCs w:val="24"/>
        </w:rPr>
        <w:t>0646</w:t>
      </w:r>
      <w:r w:rsidR="00130E4C" w:rsidRPr="00D92F85">
        <w:rPr>
          <w:sz w:val="24"/>
          <w:szCs w:val="24"/>
        </w:rPr>
        <w:t xml:space="preserve"> </w:t>
      </w:r>
      <w:r w:rsidR="00D96B9D" w:rsidRPr="00D92F85">
        <w:rPr>
          <w:sz w:val="24"/>
          <w:szCs w:val="24"/>
          <w:lang w:val="en-US"/>
        </w:rPr>
        <w:t>sec</w:t>
      </w:r>
      <w:r w:rsidR="00D96B9D" w:rsidRPr="00D92F85">
        <w:rPr>
          <w:sz w:val="24"/>
          <w:szCs w:val="24"/>
        </w:rPr>
        <w:t>, μικρότερος του 0.</w:t>
      </w:r>
      <w:r w:rsidR="00AD5149" w:rsidRPr="00AD5149">
        <w:rPr>
          <w:sz w:val="24"/>
          <w:szCs w:val="24"/>
        </w:rPr>
        <w:t>16</w:t>
      </w:r>
      <w:r w:rsidR="00D96B9D" w:rsidRPr="00D92F85">
        <w:rPr>
          <w:sz w:val="24"/>
          <w:szCs w:val="24"/>
        </w:rPr>
        <w:t xml:space="preserve"> </w:t>
      </w:r>
      <w:r w:rsidR="00D96B9D" w:rsidRPr="00D92F85">
        <w:rPr>
          <w:sz w:val="24"/>
          <w:szCs w:val="24"/>
          <w:lang w:val="en-US"/>
        </w:rPr>
        <w:t>sec</w:t>
      </w:r>
      <w:r w:rsidR="00D96B9D" w:rsidRPr="00D92F85">
        <w:rPr>
          <w:sz w:val="24"/>
          <w:szCs w:val="24"/>
        </w:rPr>
        <w:t>, γεγονός που ικανοποιεί και τη δεύτερη προδιαγραφή του συστήματος.</w:t>
      </w:r>
    </w:p>
    <w:p w:rsidR="00975680" w:rsidRDefault="00E70936" w:rsidP="00AD5149">
      <w:pPr>
        <w:jc w:val="center"/>
      </w:pPr>
      <w:r>
        <w:rPr>
          <w:noProof/>
          <w:lang w:eastAsia="el-GR"/>
        </w:rPr>
        <w:drawing>
          <wp:inline distT="0" distB="0" distL="0" distR="0">
            <wp:extent cx="5267325" cy="2943225"/>
            <wp:effectExtent l="19050" t="0" r="9525" b="0"/>
            <wp:docPr id="8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B9D" w:rsidRPr="00931D4D" w:rsidRDefault="00742D74" w:rsidP="00D96B9D">
      <w:pPr>
        <w:jc w:val="center"/>
      </w:pPr>
      <w:r>
        <w:rPr>
          <w:b/>
        </w:rPr>
        <w:t xml:space="preserve">Εικόνα </w:t>
      </w:r>
      <w:r>
        <w:rPr>
          <w:b/>
          <w:lang w:val="en-US"/>
        </w:rPr>
        <w:t>1</w:t>
      </w:r>
      <w:r w:rsidR="00D96B9D" w:rsidRPr="00D96B9D">
        <w:rPr>
          <w:b/>
        </w:rPr>
        <w:t>:</w:t>
      </w:r>
      <w:r w:rsidR="00D96B9D">
        <w:t xml:space="preserve"> Αποτελέσματα </w:t>
      </w:r>
      <w:proofErr w:type="spellStart"/>
      <w:r w:rsidR="00D96B9D">
        <w:rPr>
          <w:lang w:val="en-US"/>
        </w:rPr>
        <w:t>Matlab</w:t>
      </w:r>
      <w:proofErr w:type="spellEnd"/>
      <w:r w:rsidR="00D96B9D" w:rsidRPr="00931D4D">
        <w:t xml:space="preserve"> (</w:t>
      </w:r>
      <w:r w:rsidR="00D96B9D">
        <w:t>υπερύψωση).</w:t>
      </w:r>
    </w:p>
    <w:p w:rsidR="00D96B9D" w:rsidRPr="00931D4D" w:rsidRDefault="003208D6" w:rsidP="00D96B9D">
      <w:pPr>
        <w:jc w:val="center"/>
      </w:pPr>
      <w:r>
        <w:rPr>
          <w:noProof/>
          <w:lang w:eastAsia="el-GR"/>
        </w:rPr>
        <w:drawing>
          <wp:inline distT="0" distB="0" distL="0" distR="0">
            <wp:extent cx="5267325" cy="2962275"/>
            <wp:effectExtent l="19050" t="0" r="9525" b="0"/>
            <wp:docPr id="10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B9D" w:rsidRDefault="00D96B9D" w:rsidP="00D96B9D">
      <w:pPr>
        <w:jc w:val="center"/>
      </w:pPr>
      <w:r w:rsidRPr="00D96B9D">
        <w:rPr>
          <w:b/>
        </w:rPr>
        <w:t>Εικό</w:t>
      </w:r>
      <w:r w:rsidR="00742D74">
        <w:rPr>
          <w:b/>
        </w:rPr>
        <w:t xml:space="preserve">να </w:t>
      </w:r>
      <w:r w:rsidR="00742D74" w:rsidRPr="00742D74">
        <w:rPr>
          <w:b/>
        </w:rPr>
        <w:t>2</w:t>
      </w:r>
      <w:r w:rsidRPr="00D96B9D">
        <w:rPr>
          <w:b/>
        </w:rPr>
        <w:t>:</w:t>
      </w:r>
      <w:r>
        <w:t xml:space="preserve"> Αποτελέσματα </w:t>
      </w:r>
      <w:proofErr w:type="spellStart"/>
      <w:r>
        <w:rPr>
          <w:lang w:val="en-US"/>
        </w:rPr>
        <w:t>Matlab</w:t>
      </w:r>
      <w:proofErr w:type="spellEnd"/>
      <w:r w:rsidRPr="00D96B9D">
        <w:t xml:space="preserve"> (</w:t>
      </w:r>
      <w:r>
        <w:t>Χρόνος ανόδου).</w:t>
      </w:r>
    </w:p>
    <w:p w:rsidR="00182DB4" w:rsidRPr="005E46C8" w:rsidRDefault="00182DB4" w:rsidP="00182DB4">
      <w:pPr>
        <w:jc w:val="center"/>
        <w:rPr>
          <w:sz w:val="24"/>
          <w:szCs w:val="24"/>
        </w:rPr>
      </w:pPr>
    </w:p>
    <w:p w:rsidR="00EE3BDA" w:rsidRDefault="005E46C8" w:rsidP="005E46C8">
      <w:pPr>
        <w:spacing w:line="360" w:lineRule="auto"/>
        <w:jc w:val="both"/>
        <w:rPr>
          <w:sz w:val="24"/>
          <w:szCs w:val="24"/>
        </w:rPr>
      </w:pPr>
      <w:r w:rsidRPr="005E46C8">
        <w:rPr>
          <w:sz w:val="24"/>
          <w:szCs w:val="24"/>
        </w:rPr>
        <w:t>Το</w:t>
      </w:r>
      <w:r>
        <w:rPr>
          <w:sz w:val="24"/>
          <w:szCs w:val="24"/>
        </w:rPr>
        <w:t xml:space="preserve"> επόμενο στάδιο είναι η δημιουργία του ασαφούς συστήματος, του οποίου το </w:t>
      </w:r>
      <w:r>
        <w:rPr>
          <w:sz w:val="24"/>
          <w:szCs w:val="24"/>
          <w:lang w:val="en-US"/>
        </w:rPr>
        <w:t>block</w:t>
      </w:r>
      <w:r w:rsidRPr="005E46C8">
        <w:rPr>
          <w:sz w:val="24"/>
          <w:szCs w:val="24"/>
        </w:rPr>
        <w:t xml:space="preserve"> </w:t>
      </w:r>
      <w:r>
        <w:rPr>
          <w:sz w:val="24"/>
          <w:szCs w:val="24"/>
        </w:rPr>
        <w:t>διάγρ</w:t>
      </w:r>
      <w:r w:rsidR="0047461E">
        <w:rPr>
          <w:sz w:val="24"/>
          <w:szCs w:val="24"/>
        </w:rPr>
        <w:t>αμμα παρουσιάζεται στην εικόνα 3</w:t>
      </w:r>
      <w:r>
        <w:rPr>
          <w:sz w:val="24"/>
          <w:szCs w:val="24"/>
        </w:rPr>
        <w:t>.</w:t>
      </w:r>
    </w:p>
    <w:p w:rsidR="005E46C8" w:rsidRPr="005E46C8" w:rsidRDefault="002E7AEB" w:rsidP="002E7AEB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5274310" cy="1629186"/>
            <wp:effectExtent l="19050" t="0" r="2540" b="0"/>
            <wp:docPr id="9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9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8" w:rsidRPr="0047461E" w:rsidRDefault="005E46C8" w:rsidP="005E46C8">
      <w:pPr>
        <w:jc w:val="center"/>
      </w:pPr>
      <w:r w:rsidRPr="00D96B9D">
        <w:rPr>
          <w:b/>
        </w:rPr>
        <w:t>Εικό</w:t>
      </w:r>
      <w:r w:rsidR="0047461E">
        <w:rPr>
          <w:b/>
        </w:rPr>
        <w:t>να 3</w:t>
      </w:r>
      <w:r w:rsidRPr="00D96B9D">
        <w:rPr>
          <w:b/>
        </w:rPr>
        <w:t>:</w:t>
      </w:r>
      <w:r>
        <w:t xml:space="preserve"> Το </w:t>
      </w:r>
      <w:r>
        <w:rPr>
          <w:lang w:val="en-US"/>
        </w:rPr>
        <w:t>block</w:t>
      </w:r>
      <w:r w:rsidRPr="00D2294E">
        <w:t xml:space="preserve"> </w:t>
      </w:r>
      <w:r>
        <w:t>διάγραμμα του ασαφούς συστήματος.</w:t>
      </w:r>
    </w:p>
    <w:p w:rsidR="00D2294E" w:rsidRPr="0047461E" w:rsidRDefault="00D2294E" w:rsidP="00D2294E">
      <w:pPr>
        <w:spacing w:line="360" w:lineRule="auto"/>
        <w:jc w:val="both"/>
        <w:rPr>
          <w:sz w:val="24"/>
          <w:szCs w:val="24"/>
        </w:rPr>
      </w:pPr>
    </w:p>
    <w:p w:rsidR="00D2294E" w:rsidRDefault="00D2294E" w:rsidP="00D2294E">
      <w:pPr>
        <w:spacing w:line="360" w:lineRule="auto"/>
        <w:jc w:val="both"/>
        <w:rPr>
          <w:sz w:val="24"/>
          <w:szCs w:val="24"/>
        </w:rPr>
      </w:pPr>
      <w:r w:rsidRPr="00713EBF">
        <w:rPr>
          <w:sz w:val="24"/>
          <w:szCs w:val="24"/>
        </w:rPr>
        <w:t xml:space="preserve">Για το λόγο αυτό, στο περιβάλλον της </w:t>
      </w:r>
      <w:proofErr w:type="spellStart"/>
      <w:r w:rsidRPr="00713EBF">
        <w:rPr>
          <w:sz w:val="24"/>
          <w:szCs w:val="24"/>
          <w:lang w:val="en-US"/>
        </w:rPr>
        <w:t>Matlab</w:t>
      </w:r>
      <w:proofErr w:type="spellEnd"/>
      <w:r w:rsidRPr="00713EBF">
        <w:rPr>
          <w:sz w:val="24"/>
          <w:szCs w:val="24"/>
        </w:rPr>
        <w:t xml:space="preserve"> δημιουργήθηκε ένας </w:t>
      </w:r>
      <w:r w:rsidRPr="00713EBF">
        <w:rPr>
          <w:sz w:val="24"/>
          <w:szCs w:val="24"/>
          <w:lang w:val="en-US"/>
        </w:rPr>
        <w:t>Fuzzy</w:t>
      </w:r>
      <w:r w:rsidRPr="00713EBF">
        <w:rPr>
          <w:sz w:val="24"/>
          <w:szCs w:val="24"/>
        </w:rPr>
        <w:t xml:space="preserve"> </w:t>
      </w:r>
      <w:r w:rsidRPr="00713EBF">
        <w:rPr>
          <w:sz w:val="24"/>
          <w:szCs w:val="24"/>
          <w:lang w:val="en-US"/>
        </w:rPr>
        <w:t>Control</w:t>
      </w:r>
      <w:r w:rsidRPr="00713EBF">
        <w:rPr>
          <w:sz w:val="24"/>
          <w:szCs w:val="24"/>
        </w:rPr>
        <w:t xml:space="preserve"> </w:t>
      </w:r>
      <w:r w:rsidRPr="00713EBF">
        <w:rPr>
          <w:sz w:val="24"/>
          <w:szCs w:val="24"/>
          <w:lang w:val="en-US"/>
        </w:rPr>
        <w:t>Logic</w:t>
      </w:r>
      <w:r w:rsidRPr="00713EBF">
        <w:rPr>
          <w:sz w:val="24"/>
          <w:szCs w:val="24"/>
        </w:rPr>
        <w:t xml:space="preserve"> (</w:t>
      </w:r>
      <w:r w:rsidRPr="00713EBF">
        <w:rPr>
          <w:sz w:val="24"/>
          <w:szCs w:val="24"/>
          <w:lang w:val="en-US"/>
        </w:rPr>
        <w:t>FLC</w:t>
      </w:r>
      <w:r w:rsidRPr="00713EBF">
        <w:rPr>
          <w:sz w:val="24"/>
          <w:szCs w:val="24"/>
        </w:rPr>
        <w:t xml:space="preserve">) με το όνομα </w:t>
      </w:r>
      <w:r>
        <w:rPr>
          <w:sz w:val="24"/>
          <w:szCs w:val="24"/>
          <w:lang w:val="en-US"/>
        </w:rPr>
        <w:t>work</w:t>
      </w:r>
      <w:r w:rsidRPr="00D2294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table</w:t>
      </w:r>
      <w:r w:rsidRPr="00713EBF">
        <w:rPr>
          <w:sz w:val="24"/>
          <w:szCs w:val="24"/>
        </w:rPr>
        <w:t>.</w:t>
      </w:r>
      <w:proofErr w:type="spellStart"/>
      <w:r w:rsidRPr="00713EBF">
        <w:rPr>
          <w:sz w:val="24"/>
          <w:szCs w:val="24"/>
          <w:lang w:val="en-US"/>
        </w:rPr>
        <w:t>fis</w:t>
      </w:r>
      <w:proofErr w:type="spellEnd"/>
      <w:r>
        <w:rPr>
          <w:sz w:val="24"/>
          <w:szCs w:val="24"/>
        </w:rPr>
        <w:t xml:space="preserve">, όπως φαίνεται στην εικόνα </w:t>
      </w:r>
      <w:r w:rsidR="00742D74" w:rsidRPr="00742D74">
        <w:rPr>
          <w:sz w:val="24"/>
          <w:szCs w:val="24"/>
        </w:rPr>
        <w:t>4</w:t>
      </w:r>
      <w:r w:rsidRPr="00713EBF">
        <w:rPr>
          <w:sz w:val="24"/>
          <w:szCs w:val="24"/>
        </w:rPr>
        <w:t>.</w:t>
      </w:r>
    </w:p>
    <w:p w:rsidR="00D2294E" w:rsidRPr="00D2294E" w:rsidRDefault="00D2294E" w:rsidP="00D2294E">
      <w:pPr>
        <w:jc w:val="both"/>
      </w:pPr>
    </w:p>
    <w:p w:rsidR="00EE3BDA" w:rsidRDefault="00BB7CAB" w:rsidP="00BB7CAB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3902144" cy="3267075"/>
            <wp:effectExtent l="19050" t="0" r="3106" b="0"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011" cy="326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4E" w:rsidRPr="004E2F7D" w:rsidRDefault="00D2294E" w:rsidP="00D2294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Εικόνα </w:t>
      </w:r>
      <w:r w:rsidR="00742D74" w:rsidRPr="00742D74">
        <w:rPr>
          <w:b/>
          <w:sz w:val="24"/>
          <w:szCs w:val="24"/>
        </w:rPr>
        <w:t>4</w:t>
      </w:r>
      <w:r w:rsidRPr="004E2F7D">
        <w:rPr>
          <w:b/>
          <w:sz w:val="24"/>
          <w:szCs w:val="24"/>
        </w:rPr>
        <w:t>:</w:t>
      </w:r>
      <w:r w:rsidRPr="004E2F7D">
        <w:rPr>
          <w:sz w:val="24"/>
          <w:szCs w:val="24"/>
        </w:rPr>
        <w:t xml:space="preserve"> Ο </w:t>
      </w:r>
      <w:r w:rsidRPr="004E2F7D">
        <w:rPr>
          <w:sz w:val="24"/>
          <w:szCs w:val="24"/>
          <w:lang w:val="en-US"/>
        </w:rPr>
        <w:t>FLC</w:t>
      </w:r>
    </w:p>
    <w:p w:rsidR="0057519B" w:rsidRDefault="0057519B" w:rsidP="0057519B">
      <w:pPr>
        <w:spacing w:line="360" w:lineRule="auto"/>
        <w:jc w:val="both"/>
        <w:rPr>
          <w:sz w:val="24"/>
          <w:szCs w:val="24"/>
        </w:rPr>
      </w:pPr>
      <w:r w:rsidRPr="00CA1568">
        <w:rPr>
          <w:sz w:val="24"/>
          <w:szCs w:val="24"/>
        </w:rPr>
        <w:t xml:space="preserve">Οι </w:t>
      </w:r>
      <w:r>
        <w:rPr>
          <w:sz w:val="24"/>
          <w:szCs w:val="24"/>
        </w:rPr>
        <w:t>δύο είσοδοι</w:t>
      </w:r>
      <w:r w:rsidRPr="00CA156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</m:oMath>
      <w:r>
        <w:rPr>
          <w:rFonts w:eastAsiaTheme="minorEastAsia"/>
          <w:sz w:val="24"/>
          <w:szCs w:val="24"/>
        </w:rPr>
        <w:t xml:space="preserve"> και</w:t>
      </w:r>
      <w:r w:rsidRPr="00CA156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de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παρουσιάζονται στις εικόνες </w:t>
      </w:r>
      <w:r w:rsidR="00742D74" w:rsidRPr="00742D74">
        <w:rPr>
          <w:sz w:val="24"/>
          <w:szCs w:val="24"/>
        </w:rPr>
        <w:t>5</w:t>
      </w:r>
      <w:r>
        <w:rPr>
          <w:sz w:val="24"/>
          <w:szCs w:val="24"/>
        </w:rPr>
        <w:t xml:space="preserve"> και </w:t>
      </w:r>
      <w:r w:rsidR="00742D74" w:rsidRPr="00742D74">
        <w:rPr>
          <w:sz w:val="24"/>
          <w:szCs w:val="24"/>
        </w:rPr>
        <w:t>6</w:t>
      </w:r>
      <w:r>
        <w:rPr>
          <w:sz w:val="24"/>
          <w:szCs w:val="24"/>
        </w:rPr>
        <w:t xml:space="preserve"> αντίστοιχα.</w:t>
      </w:r>
    </w:p>
    <w:p w:rsidR="00D2294E" w:rsidRDefault="00BB7CAB" w:rsidP="0057519B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67325" cy="4391025"/>
            <wp:effectExtent l="19050" t="0" r="9525" b="0"/>
            <wp:docPr id="4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19B" w:rsidRPr="0057519B" w:rsidRDefault="0057519B" w:rsidP="0057519B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4E2F7D">
        <w:rPr>
          <w:b/>
          <w:sz w:val="24"/>
          <w:szCs w:val="24"/>
        </w:rPr>
        <w:t xml:space="preserve">Εικόνα </w:t>
      </w:r>
      <w:r w:rsidR="00742D74">
        <w:rPr>
          <w:b/>
          <w:sz w:val="24"/>
          <w:szCs w:val="24"/>
          <w:lang w:val="en-US"/>
        </w:rPr>
        <w:t>5</w:t>
      </w:r>
      <w:r w:rsidRPr="004E2F7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Η είσοδος </w:t>
      </w: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</m:oMath>
    </w:p>
    <w:p w:rsidR="0057519B" w:rsidRDefault="00BB7CAB" w:rsidP="0057519B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67325" cy="4448175"/>
            <wp:effectExtent l="19050" t="0" r="9525" b="0"/>
            <wp:docPr id="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19B" w:rsidRDefault="0057519B" w:rsidP="0057519B">
      <w:pPr>
        <w:spacing w:line="360" w:lineRule="auto"/>
        <w:jc w:val="center"/>
        <w:rPr>
          <w:rFonts w:eastAsiaTheme="minorEastAsia"/>
          <w:sz w:val="24"/>
          <w:szCs w:val="24"/>
        </w:rPr>
      </w:pPr>
      <w:r w:rsidRPr="004E2F7D">
        <w:rPr>
          <w:b/>
          <w:sz w:val="24"/>
          <w:szCs w:val="24"/>
        </w:rPr>
        <w:t xml:space="preserve">Εικόνα </w:t>
      </w:r>
      <w:r w:rsidR="00742D74" w:rsidRPr="00742D74">
        <w:rPr>
          <w:b/>
          <w:sz w:val="24"/>
          <w:szCs w:val="24"/>
        </w:rPr>
        <w:t>6</w:t>
      </w:r>
      <w:r w:rsidRPr="004E2F7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Η είσοδος </w:t>
      </w:r>
      <m:oMath>
        <m:r>
          <w:rPr>
            <w:rFonts w:ascii="Cambria Math" w:hAnsi="Cambria Math"/>
            <w:sz w:val="24"/>
            <w:szCs w:val="24"/>
            <w:lang w:val="en-US"/>
          </w:rPr>
          <m:t>de</m:t>
        </m:r>
      </m:oMath>
    </w:p>
    <w:p w:rsidR="00D842F2" w:rsidRDefault="00D842F2" w:rsidP="0057519B">
      <w:pPr>
        <w:spacing w:line="360" w:lineRule="auto"/>
        <w:jc w:val="center"/>
        <w:rPr>
          <w:rFonts w:eastAsiaTheme="minorEastAsia"/>
          <w:sz w:val="24"/>
          <w:szCs w:val="24"/>
        </w:rPr>
      </w:pPr>
    </w:p>
    <w:p w:rsidR="00D842F2" w:rsidRDefault="00D842F2" w:rsidP="00D842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Η έξοδος</w:t>
      </w:r>
      <w:r w:rsidRPr="00CA1568">
        <w:rPr>
          <w:sz w:val="24"/>
          <w:szCs w:val="24"/>
        </w:rPr>
        <w:t xml:space="preserve"> </w:t>
      </w:r>
      <w:r>
        <w:rPr>
          <w:sz w:val="24"/>
          <w:szCs w:val="24"/>
        </w:rPr>
        <w:t>Δ</w:t>
      </w:r>
      <w:r>
        <w:rPr>
          <w:rFonts w:eastAsiaTheme="minorEastAsia"/>
          <w:sz w:val="24"/>
          <w:szCs w:val="24"/>
          <w:lang w:val="en-US"/>
        </w:rPr>
        <w:t>u</w:t>
      </w:r>
      <w:r>
        <w:rPr>
          <w:sz w:val="24"/>
          <w:szCs w:val="24"/>
        </w:rPr>
        <w:t xml:space="preserve"> παρουσιάζεται στην εικόνα </w:t>
      </w:r>
      <w:r w:rsidR="00742D74" w:rsidRPr="00742D74">
        <w:rPr>
          <w:sz w:val="24"/>
          <w:szCs w:val="24"/>
        </w:rPr>
        <w:t>7</w:t>
      </w:r>
      <w:r>
        <w:rPr>
          <w:sz w:val="24"/>
          <w:szCs w:val="24"/>
        </w:rPr>
        <w:t>.</w:t>
      </w:r>
    </w:p>
    <w:p w:rsidR="00D842F2" w:rsidRPr="00D842F2" w:rsidRDefault="00D842F2" w:rsidP="00D842F2">
      <w:pPr>
        <w:spacing w:line="360" w:lineRule="auto"/>
        <w:jc w:val="both"/>
        <w:rPr>
          <w:i/>
          <w:sz w:val="24"/>
          <w:szCs w:val="24"/>
        </w:rPr>
      </w:pPr>
    </w:p>
    <w:p w:rsidR="0057519B" w:rsidRDefault="00BB7CAB" w:rsidP="00D842F2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6850" cy="4457700"/>
            <wp:effectExtent l="19050" t="0" r="0" b="0"/>
            <wp:docPr id="6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2F2" w:rsidRPr="00CA1568" w:rsidRDefault="00D842F2" w:rsidP="00D842F2">
      <w:pPr>
        <w:spacing w:line="360" w:lineRule="auto"/>
        <w:jc w:val="center"/>
        <w:rPr>
          <w:sz w:val="24"/>
          <w:szCs w:val="24"/>
        </w:rPr>
      </w:pPr>
      <w:r w:rsidRPr="004E2F7D">
        <w:rPr>
          <w:b/>
          <w:sz w:val="24"/>
          <w:szCs w:val="24"/>
        </w:rPr>
        <w:t xml:space="preserve">Εικόνα </w:t>
      </w:r>
      <w:r w:rsidR="00742D74" w:rsidRPr="003D5C5E">
        <w:rPr>
          <w:b/>
          <w:sz w:val="24"/>
          <w:szCs w:val="24"/>
        </w:rPr>
        <w:t>7</w:t>
      </w:r>
      <w:r w:rsidRPr="004E2F7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Η έξοδος </w:t>
      </w:r>
      <m:oMath>
        <m:r>
          <w:rPr>
            <w:rFonts w:ascii="Cambria Math" w:hAnsi="Cambria Math"/>
            <w:sz w:val="24"/>
            <w:szCs w:val="24"/>
          </w:rPr>
          <m:t>Δu</m:t>
        </m:r>
      </m:oMath>
    </w:p>
    <w:p w:rsidR="003B11E6" w:rsidRPr="0047461E" w:rsidRDefault="003B11E6" w:rsidP="003B11E6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:rsidR="00D842F2" w:rsidRPr="003B11E6" w:rsidRDefault="003B11E6" w:rsidP="003B11E6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Στον πίνακα που ακολουθεί, Πίνακας 1, παρουσιάζονται οι κανόνες του </w:t>
      </w:r>
      <w:r>
        <w:rPr>
          <w:rFonts w:eastAsiaTheme="minorEastAsia"/>
          <w:sz w:val="24"/>
          <w:szCs w:val="24"/>
          <w:lang w:val="en-US"/>
        </w:rPr>
        <w:t>FLC</w:t>
      </w:r>
      <w:r w:rsidRPr="00785D44">
        <w:rPr>
          <w:rFonts w:eastAsiaTheme="minorEastAsia"/>
          <w:sz w:val="24"/>
          <w:szCs w:val="24"/>
        </w:rPr>
        <w:t>.</w:t>
      </w:r>
    </w:p>
    <w:p w:rsidR="00D96B9D" w:rsidRPr="003B11E6" w:rsidRDefault="00182DB4" w:rsidP="00182DB4">
      <w:pPr>
        <w:jc w:val="center"/>
      </w:pPr>
      <w:r w:rsidRPr="00182DB4">
        <w:rPr>
          <w:b/>
        </w:rPr>
        <w:t>Πίνακας 1:</w:t>
      </w:r>
      <w:r>
        <w:t xml:space="preserve"> </w:t>
      </w:r>
      <w:r w:rsidR="003B11E6">
        <w:rPr>
          <w:rFonts w:eastAsiaTheme="minorEastAsia"/>
          <w:sz w:val="24"/>
          <w:szCs w:val="24"/>
        </w:rPr>
        <w:t xml:space="preserve">Οι κανόνες του </w:t>
      </w:r>
      <w:r w:rsidR="003B11E6">
        <w:rPr>
          <w:rFonts w:eastAsiaTheme="minorEastAsia"/>
          <w:sz w:val="24"/>
          <w:szCs w:val="24"/>
          <w:lang w:val="en-US"/>
        </w:rPr>
        <w:t>Fuzzy</w:t>
      </w:r>
      <w:r w:rsidR="003B11E6" w:rsidRPr="003B11E6">
        <w:rPr>
          <w:rFonts w:eastAsiaTheme="minorEastAsia"/>
          <w:sz w:val="24"/>
          <w:szCs w:val="24"/>
        </w:rPr>
        <w:t xml:space="preserve"> </w:t>
      </w:r>
      <w:r w:rsidR="003B11E6">
        <w:rPr>
          <w:rFonts w:eastAsiaTheme="minorEastAsia"/>
          <w:sz w:val="24"/>
          <w:szCs w:val="24"/>
          <w:lang w:val="en-US"/>
        </w:rPr>
        <w:t>Logic</w:t>
      </w:r>
      <w:r w:rsidR="003B11E6" w:rsidRPr="003B11E6">
        <w:rPr>
          <w:rFonts w:eastAsiaTheme="minorEastAsia"/>
          <w:sz w:val="24"/>
          <w:szCs w:val="24"/>
        </w:rPr>
        <w:t xml:space="preserve"> </w:t>
      </w:r>
      <w:r w:rsidR="003B11E6">
        <w:rPr>
          <w:rFonts w:eastAsiaTheme="minorEastAsia"/>
          <w:sz w:val="24"/>
          <w:szCs w:val="24"/>
          <w:lang w:val="en-US"/>
        </w:rPr>
        <w:t>Control</w:t>
      </w:r>
    </w:p>
    <w:tbl>
      <w:tblPr>
        <w:tblStyle w:val="a7"/>
        <w:tblW w:w="0" w:type="auto"/>
        <w:tblLook w:val="04A0"/>
      </w:tblPr>
      <w:tblGrid>
        <w:gridCol w:w="724"/>
        <w:gridCol w:w="789"/>
        <w:gridCol w:w="730"/>
        <w:gridCol w:w="796"/>
        <w:gridCol w:w="820"/>
        <w:gridCol w:w="799"/>
        <w:gridCol w:w="795"/>
        <w:gridCol w:w="782"/>
        <w:gridCol w:w="775"/>
        <w:gridCol w:w="789"/>
        <w:gridCol w:w="723"/>
      </w:tblGrid>
      <w:tr w:rsidR="000960DF" w:rsidRPr="007278F9" w:rsidTr="000960DF">
        <w:trPr>
          <w:cnfStyle w:val="100000000000"/>
        </w:trPr>
        <w:tc>
          <w:tcPr>
            <w:cnfStyle w:val="001000000000"/>
            <w:tcW w:w="724" w:type="dxa"/>
            <w:vAlign w:val="center"/>
          </w:tcPr>
          <w:p w:rsidR="000960DF" w:rsidRPr="00D554EF" w:rsidRDefault="000960DF" w:rsidP="000960DF">
            <w:pPr>
              <w:jc w:val="center"/>
              <w:rPr>
                <w:b w:val="0"/>
              </w:rPr>
            </w:pPr>
          </w:p>
        </w:tc>
        <w:tc>
          <w:tcPr>
            <w:tcW w:w="7798" w:type="dxa"/>
            <w:gridSpan w:val="10"/>
            <w:vAlign w:val="center"/>
          </w:tcPr>
          <w:p w:rsidR="000960DF" w:rsidRPr="007278F9" w:rsidRDefault="000960DF" w:rsidP="000960DF">
            <w:pPr>
              <w:jc w:val="center"/>
              <w:cnfStyle w:val="100000000000"/>
              <w:rPr>
                <w:lang w:val="en-US"/>
              </w:rPr>
            </w:pPr>
            <w:r w:rsidRPr="007278F9">
              <w:rPr>
                <w:lang w:val="en-US"/>
              </w:rPr>
              <w:t>ERROR (e)</w:t>
            </w:r>
          </w:p>
        </w:tc>
      </w:tr>
      <w:tr w:rsidR="000960DF" w:rsidTr="000960DF">
        <w:trPr>
          <w:cnfStyle w:val="000000100000"/>
        </w:trPr>
        <w:tc>
          <w:tcPr>
            <w:cnfStyle w:val="001000000000"/>
            <w:tcW w:w="724" w:type="dxa"/>
            <w:vMerge w:val="restart"/>
            <w:vAlign w:val="center"/>
          </w:tcPr>
          <w:p w:rsidR="000960DF" w:rsidRPr="003B11E6" w:rsidRDefault="00A152D4" w:rsidP="000960DF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89" w:type="dxa"/>
            <w:vAlign w:val="center"/>
          </w:tcPr>
          <w:p w:rsidR="000960DF" w:rsidRPr="007278F9" w:rsidRDefault="000960DF" w:rsidP="000960DF">
            <w:pPr>
              <w:jc w:val="center"/>
              <w:cnfStyle w:val="000000100000"/>
              <w:rPr>
                <w:color w:val="FF0000"/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0960DF" w:rsidRPr="007278F9" w:rsidRDefault="000960DF" w:rsidP="000960DF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NV</w:t>
            </w:r>
          </w:p>
        </w:tc>
        <w:tc>
          <w:tcPr>
            <w:tcW w:w="796" w:type="dxa"/>
            <w:vAlign w:val="center"/>
          </w:tcPr>
          <w:p w:rsidR="000960DF" w:rsidRPr="007278F9" w:rsidRDefault="000960DF" w:rsidP="000960DF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NL</w:t>
            </w:r>
          </w:p>
        </w:tc>
        <w:tc>
          <w:tcPr>
            <w:tcW w:w="820" w:type="dxa"/>
            <w:vAlign w:val="center"/>
          </w:tcPr>
          <w:p w:rsidR="000960DF" w:rsidRPr="007278F9" w:rsidRDefault="000960DF" w:rsidP="000960DF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NM</w:t>
            </w:r>
          </w:p>
        </w:tc>
        <w:tc>
          <w:tcPr>
            <w:tcW w:w="799" w:type="dxa"/>
            <w:vAlign w:val="center"/>
          </w:tcPr>
          <w:p w:rsidR="000960DF" w:rsidRPr="007278F9" w:rsidRDefault="000960DF" w:rsidP="000960DF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NS</w:t>
            </w:r>
          </w:p>
        </w:tc>
        <w:tc>
          <w:tcPr>
            <w:tcW w:w="795" w:type="dxa"/>
            <w:vAlign w:val="center"/>
          </w:tcPr>
          <w:p w:rsidR="000960DF" w:rsidRPr="007278F9" w:rsidRDefault="000960DF" w:rsidP="000960DF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ZR</w:t>
            </w:r>
          </w:p>
        </w:tc>
        <w:tc>
          <w:tcPr>
            <w:tcW w:w="782" w:type="dxa"/>
            <w:vAlign w:val="center"/>
          </w:tcPr>
          <w:p w:rsidR="000960DF" w:rsidRPr="007278F9" w:rsidRDefault="000960DF" w:rsidP="000960DF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PS</w:t>
            </w:r>
          </w:p>
        </w:tc>
        <w:tc>
          <w:tcPr>
            <w:tcW w:w="775" w:type="dxa"/>
            <w:vAlign w:val="center"/>
          </w:tcPr>
          <w:p w:rsidR="000960DF" w:rsidRPr="007278F9" w:rsidRDefault="000960DF" w:rsidP="000960DF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PM</w:t>
            </w:r>
          </w:p>
        </w:tc>
        <w:tc>
          <w:tcPr>
            <w:tcW w:w="789" w:type="dxa"/>
            <w:vAlign w:val="center"/>
          </w:tcPr>
          <w:p w:rsidR="000960DF" w:rsidRPr="007278F9" w:rsidRDefault="000960DF" w:rsidP="000960DF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PL</w:t>
            </w:r>
          </w:p>
        </w:tc>
        <w:tc>
          <w:tcPr>
            <w:tcW w:w="723" w:type="dxa"/>
            <w:vAlign w:val="center"/>
          </w:tcPr>
          <w:p w:rsidR="000960DF" w:rsidRPr="007278F9" w:rsidRDefault="000960DF" w:rsidP="000960DF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PV</w:t>
            </w:r>
          </w:p>
        </w:tc>
      </w:tr>
      <w:tr w:rsidR="000960DF" w:rsidTr="000960DF">
        <w:tc>
          <w:tcPr>
            <w:cnfStyle w:val="001000000000"/>
            <w:tcW w:w="724" w:type="dxa"/>
            <w:vMerge/>
            <w:vAlign w:val="center"/>
          </w:tcPr>
          <w:p w:rsidR="000960DF" w:rsidRDefault="000960DF" w:rsidP="000960DF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0960DF" w:rsidRPr="007278F9" w:rsidRDefault="000960DF" w:rsidP="000960DF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N</w:t>
            </w:r>
            <w:r>
              <w:rPr>
                <w:b/>
                <w:color w:val="FF0000"/>
                <w:lang w:val="en-US"/>
              </w:rPr>
              <w:t>V</w:t>
            </w:r>
          </w:p>
        </w:tc>
        <w:tc>
          <w:tcPr>
            <w:tcW w:w="730" w:type="dxa"/>
            <w:vAlign w:val="center"/>
          </w:tcPr>
          <w:p w:rsidR="000960D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96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0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99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95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82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75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NM</w:t>
            </w:r>
          </w:p>
        </w:tc>
        <w:tc>
          <w:tcPr>
            <w:tcW w:w="789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723" w:type="dxa"/>
            <w:vAlign w:val="center"/>
          </w:tcPr>
          <w:p w:rsidR="000960D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ZR</w:t>
            </w:r>
          </w:p>
        </w:tc>
      </w:tr>
      <w:tr w:rsidR="000960DF" w:rsidTr="000960DF">
        <w:trPr>
          <w:cnfStyle w:val="000000100000"/>
        </w:trPr>
        <w:tc>
          <w:tcPr>
            <w:cnfStyle w:val="001000000000"/>
            <w:tcW w:w="724" w:type="dxa"/>
            <w:vMerge/>
            <w:vAlign w:val="center"/>
          </w:tcPr>
          <w:p w:rsidR="000960DF" w:rsidRDefault="000960DF" w:rsidP="000960DF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0960DF" w:rsidRPr="007278F9" w:rsidRDefault="000960DF" w:rsidP="000960DF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NL</w:t>
            </w:r>
          </w:p>
        </w:tc>
        <w:tc>
          <w:tcPr>
            <w:tcW w:w="730" w:type="dxa"/>
            <w:vAlign w:val="center"/>
          </w:tcPr>
          <w:p w:rsidR="000960D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96" w:type="dxa"/>
            <w:vAlign w:val="center"/>
          </w:tcPr>
          <w:p w:rsidR="000960D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0" w:type="dxa"/>
            <w:vAlign w:val="center"/>
          </w:tcPr>
          <w:p w:rsidR="000960D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99" w:type="dxa"/>
            <w:vAlign w:val="center"/>
          </w:tcPr>
          <w:p w:rsidR="000960D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95" w:type="dxa"/>
            <w:vAlign w:val="center"/>
          </w:tcPr>
          <w:p w:rsidR="000960D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82" w:type="dxa"/>
            <w:vAlign w:val="center"/>
          </w:tcPr>
          <w:p w:rsidR="000960D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NM</w:t>
            </w:r>
          </w:p>
        </w:tc>
        <w:tc>
          <w:tcPr>
            <w:tcW w:w="775" w:type="dxa"/>
            <w:vAlign w:val="center"/>
          </w:tcPr>
          <w:p w:rsidR="000960D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789" w:type="dxa"/>
            <w:vAlign w:val="center"/>
          </w:tcPr>
          <w:p w:rsidR="000960D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ZR</w:t>
            </w:r>
          </w:p>
        </w:tc>
        <w:tc>
          <w:tcPr>
            <w:tcW w:w="723" w:type="dxa"/>
            <w:vAlign w:val="center"/>
          </w:tcPr>
          <w:p w:rsidR="000960D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</w:tr>
      <w:tr w:rsidR="000960DF" w:rsidTr="000960DF">
        <w:tc>
          <w:tcPr>
            <w:cnfStyle w:val="001000000000"/>
            <w:tcW w:w="724" w:type="dxa"/>
            <w:vMerge/>
            <w:vAlign w:val="center"/>
          </w:tcPr>
          <w:p w:rsidR="000960DF" w:rsidRDefault="000960DF" w:rsidP="000960DF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0960DF" w:rsidRPr="007278F9" w:rsidRDefault="000960DF" w:rsidP="000960DF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NM</w:t>
            </w:r>
          </w:p>
        </w:tc>
        <w:tc>
          <w:tcPr>
            <w:tcW w:w="730" w:type="dxa"/>
            <w:vAlign w:val="center"/>
          </w:tcPr>
          <w:p w:rsidR="000960D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96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0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99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95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NM</w:t>
            </w:r>
          </w:p>
        </w:tc>
        <w:tc>
          <w:tcPr>
            <w:tcW w:w="782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775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ZR</w:t>
            </w:r>
          </w:p>
        </w:tc>
        <w:tc>
          <w:tcPr>
            <w:tcW w:w="789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723" w:type="dxa"/>
            <w:vAlign w:val="center"/>
          </w:tcPr>
          <w:p w:rsidR="000960D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</w:tr>
      <w:tr w:rsidR="000960DF" w:rsidTr="000960DF">
        <w:trPr>
          <w:cnfStyle w:val="000000100000"/>
        </w:trPr>
        <w:tc>
          <w:tcPr>
            <w:cnfStyle w:val="001000000000"/>
            <w:tcW w:w="724" w:type="dxa"/>
            <w:vMerge/>
            <w:vAlign w:val="center"/>
          </w:tcPr>
          <w:p w:rsidR="000960DF" w:rsidRDefault="000960DF" w:rsidP="000960DF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0960DF" w:rsidRPr="007278F9" w:rsidRDefault="000960DF" w:rsidP="000960DF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NS</w:t>
            </w:r>
          </w:p>
        </w:tc>
        <w:tc>
          <w:tcPr>
            <w:tcW w:w="730" w:type="dxa"/>
            <w:vAlign w:val="center"/>
          </w:tcPr>
          <w:p w:rsidR="000960D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96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0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99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NM</w:t>
            </w:r>
          </w:p>
        </w:tc>
        <w:tc>
          <w:tcPr>
            <w:tcW w:w="795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782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ZR</w:t>
            </w:r>
          </w:p>
        </w:tc>
        <w:tc>
          <w:tcPr>
            <w:tcW w:w="775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789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723" w:type="dxa"/>
            <w:vAlign w:val="center"/>
          </w:tcPr>
          <w:p w:rsidR="000960D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</w:tr>
      <w:tr w:rsidR="000960DF" w:rsidTr="000960DF">
        <w:tc>
          <w:tcPr>
            <w:cnfStyle w:val="001000000000"/>
            <w:tcW w:w="724" w:type="dxa"/>
            <w:vMerge/>
            <w:vAlign w:val="center"/>
          </w:tcPr>
          <w:p w:rsidR="000960DF" w:rsidRDefault="000960DF" w:rsidP="000960DF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0960DF" w:rsidRPr="007278F9" w:rsidRDefault="000960DF" w:rsidP="000960DF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ZR</w:t>
            </w:r>
          </w:p>
        </w:tc>
        <w:tc>
          <w:tcPr>
            <w:tcW w:w="730" w:type="dxa"/>
            <w:vAlign w:val="center"/>
          </w:tcPr>
          <w:p w:rsidR="000960D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96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820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NM</w:t>
            </w:r>
          </w:p>
        </w:tc>
        <w:tc>
          <w:tcPr>
            <w:tcW w:w="799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795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ZR</w:t>
            </w:r>
          </w:p>
        </w:tc>
        <w:tc>
          <w:tcPr>
            <w:tcW w:w="782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775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789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723" w:type="dxa"/>
            <w:vAlign w:val="center"/>
          </w:tcPr>
          <w:p w:rsidR="000960D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</w:tr>
      <w:tr w:rsidR="000960DF" w:rsidTr="000960DF">
        <w:trPr>
          <w:cnfStyle w:val="000000100000"/>
        </w:trPr>
        <w:tc>
          <w:tcPr>
            <w:cnfStyle w:val="001000000000"/>
            <w:tcW w:w="724" w:type="dxa"/>
            <w:vMerge/>
            <w:vAlign w:val="center"/>
          </w:tcPr>
          <w:p w:rsidR="000960DF" w:rsidRDefault="000960DF" w:rsidP="000960DF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0960DF" w:rsidRPr="007278F9" w:rsidRDefault="000960DF" w:rsidP="000960DF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PS</w:t>
            </w:r>
          </w:p>
        </w:tc>
        <w:tc>
          <w:tcPr>
            <w:tcW w:w="730" w:type="dxa"/>
            <w:vAlign w:val="center"/>
          </w:tcPr>
          <w:p w:rsidR="000960D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796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NM</w:t>
            </w:r>
          </w:p>
        </w:tc>
        <w:tc>
          <w:tcPr>
            <w:tcW w:w="820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799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ZR</w:t>
            </w:r>
          </w:p>
        </w:tc>
        <w:tc>
          <w:tcPr>
            <w:tcW w:w="795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782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775" w:type="dxa"/>
            <w:vAlign w:val="center"/>
          </w:tcPr>
          <w:p w:rsidR="000960DF" w:rsidRDefault="000960DF" w:rsidP="000960DF">
            <w:pPr>
              <w:jc w:val="center"/>
              <w:cnfStyle w:val="000000100000"/>
            </w:pPr>
            <w:r w:rsidRPr="0071095B">
              <w:rPr>
                <w:lang w:val="en-US"/>
              </w:rPr>
              <w:t>PL</w:t>
            </w:r>
          </w:p>
        </w:tc>
        <w:tc>
          <w:tcPr>
            <w:tcW w:w="789" w:type="dxa"/>
            <w:vAlign w:val="center"/>
          </w:tcPr>
          <w:p w:rsidR="000960DF" w:rsidRDefault="000960DF" w:rsidP="000960DF">
            <w:pPr>
              <w:jc w:val="center"/>
              <w:cnfStyle w:val="000000100000"/>
            </w:pPr>
            <w:r w:rsidRPr="0071095B">
              <w:rPr>
                <w:lang w:val="en-US"/>
              </w:rPr>
              <w:t>PL</w:t>
            </w:r>
          </w:p>
        </w:tc>
        <w:tc>
          <w:tcPr>
            <w:tcW w:w="723" w:type="dxa"/>
            <w:vAlign w:val="center"/>
          </w:tcPr>
          <w:p w:rsidR="000960DF" w:rsidRDefault="000960DF" w:rsidP="000960DF">
            <w:pPr>
              <w:jc w:val="center"/>
              <w:cnfStyle w:val="000000100000"/>
            </w:pPr>
            <w:r w:rsidRPr="0071095B">
              <w:rPr>
                <w:lang w:val="en-US"/>
              </w:rPr>
              <w:t>PL</w:t>
            </w:r>
          </w:p>
        </w:tc>
      </w:tr>
      <w:tr w:rsidR="000960DF" w:rsidTr="000960DF">
        <w:tc>
          <w:tcPr>
            <w:cnfStyle w:val="001000000000"/>
            <w:tcW w:w="724" w:type="dxa"/>
            <w:vMerge/>
            <w:vAlign w:val="center"/>
          </w:tcPr>
          <w:p w:rsidR="000960DF" w:rsidRDefault="000960DF" w:rsidP="000960DF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0960DF" w:rsidRPr="007278F9" w:rsidRDefault="000960DF" w:rsidP="000960DF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PM</w:t>
            </w:r>
          </w:p>
        </w:tc>
        <w:tc>
          <w:tcPr>
            <w:tcW w:w="730" w:type="dxa"/>
            <w:vAlign w:val="center"/>
          </w:tcPr>
          <w:p w:rsidR="000960D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NM</w:t>
            </w:r>
          </w:p>
        </w:tc>
        <w:tc>
          <w:tcPr>
            <w:tcW w:w="796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820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ZR</w:t>
            </w:r>
          </w:p>
        </w:tc>
        <w:tc>
          <w:tcPr>
            <w:tcW w:w="799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795" w:type="dxa"/>
            <w:vAlign w:val="center"/>
          </w:tcPr>
          <w:p w:rsidR="000960DF" w:rsidRPr="00D554E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782" w:type="dxa"/>
            <w:vAlign w:val="center"/>
          </w:tcPr>
          <w:p w:rsidR="000960DF" w:rsidRDefault="000960DF" w:rsidP="000960DF">
            <w:pPr>
              <w:jc w:val="center"/>
              <w:cnfStyle w:val="000000000000"/>
            </w:pPr>
            <w:r w:rsidRPr="002C4EF1">
              <w:rPr>
                <w:lang w:val="en-US"/>
              </w:rPr>
              <w:t>PL</w:t>
            </w:r>
          </w:p>
        </w:tc>
        <w:tc>
          <w:tcPr>
            <w:tcW w:w="775" w:type="dxa"/>
            <w:vAlign w:val="center"/>
          </w:tcPr>
          <w:p w:rsidR="000960DF" w:rsidRDefault="000960DF" w:rsidP="000960DF">
            <w:pPr>
              <w:jc w:val="center"/>
              <w:cnfStyle w:val="000000000000"/>
            </w:pPr>
            <w:r w:rsidRPr="002C4EF1">
              <w:rPr>
                <w:lang w:val="en-US"/>
              </w:rPr>
              <w:t>PL</w:t>
            </w:r>
          </w:p>
        </w:tc>
        <w:tc>
          <w:tcPr>
            <w:tcW w:w="789" w:type="dxa"/>
            <w:vAlign w:val="center"/>
          </w:tcPr>
          <w:p w:rsidR="000960DF" w:rsidRDefault="000960DF" w:rsidP="000960DF">
            <w:pPr>
              <w:jc w:val="center"/>
              <w:cnfStyle w:val="000000000000"/>
            </w:pPr>
            <w:r w:rsidRPr="002C4EF1">
              <w:rPr>
                <w:lang w:val="en-US"/>
              </w:rPr>
              <w:t>PL</w:t>
            </w:r>
          </w:p>
        </w:tc>
        <w:tc>
          <w:tcPr>
            <w:tcW w:w="723" w:type="dxa"/>
            <w:vAlign w:val="center"/>
          </w:tcPr>
          <w:p w:rsidR="000960DF" w:rsidRDefault="000960DF" w:rsidP="000960DF">
            <w:pPr>
              <w:jc w:val="center"/>
              <w:cnfStyle w:val="000000000000"/>
            </w:pPr>
            <w:r w:rsidRPr="002C4EF1">
              <w:rPr>
                <w:lang w:val="en-US"/>
              </w:rPr>
              <w:t>PL</w:t>
            </w:r>
          </w:p>
        </w:tc>
      </w:tr>
      <w:tr w:rsidR="000960DF" w:rsidTr="000960DF">
        <w:trPr>
          <w:cnfStyle w:val="000000100000"/>
        </w:trPr>
        <w:tc>
          <w:tcPr>
            <w:cnfStyle w:val="001000000000"/>
            <w:tcW w:w="724" w:type="dxa"/>
            <w:vMerge/>
            <w:vAlign w:val="center"/>
          </w:tcPr>
          <w:p w:rsidR="000960DF" w:rsidRDefault="000960DF" w:rsidP="000960DF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0960DF" w:rsidRPr="007278F9" w:rsidRDefault="000960DF" w:rsidP="000960DF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7278F9">
              <w:rPr>
                <w:b/>
                <w:color w:val="FF0000"/>
                <w:lang w:val="en-US"/>
              </w:rPr>
              <w:t>PL</w:t>
            </w:r>
          </w:p>
        </w:tc>
        <w:tc>
          <w:tcPr>
            <w:tcW w:w="730" w:type="dxa"/>
            <w:vAlign w:val="center"/>
          </w:tcPr>
          <w:p w:rsidR="000960D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796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ZR</w:t>
            </w:r>
          </w:p>
        </w:tc>
        <w:tc>
          <w:tcPr>
            <w:tcW w:w="820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799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795" w:type="dxa"/>
            <w:vAlign w:val="center"/>
          </w:tcPr>
          <w:p w:rsidR="000960DF" w:rsidRPr="00D554EF" w:rsidRDefault="000960DF" w:rsidP="000960D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782" w:type="dxa"/>
            <w:vAlign w:val="center"/>
          </w:tcPr>
          <w:p w:rsidR="000960DF" w:rsidRDefault="000960DF" w:rsidP="000960DF">
            <w:pPr>
              <w:jc w:val="center"/>
              <w:cnfStyle w:val="000000100000"/>
            </w:pPr>
            <w:r w:rsidRPr="003A301C">
              <w:rPr>
                <w:lang w:val="en-US"/>
              </w:rPr>
              <w:t>PL</w:t>
            </w:r>
          </w:p>
        </w:tc>
        <w:tc>
          <w:tcPr>
            <w:tcW w:w="775" w:type="dxa"/>
            <w:vAlign w:val="center"/>
          </w:tcPr>
          <w:p w:rsidR="000960DF" w:rsidRDefault="000960DF" w:rsidP="000960DF">
            <w:pPr>
              <w:jc w:val="center"/>
              <w:cnfStyle w:val="000000100000"/>
            </w:pPr>
            <w:r w:rsidRPr="003A301C">
              <w:rPr>
                <w:lang w:val="en-US"/>
              </w:rPr>
              <w:t>PL</w:t>
            </w:r>
          </w:p>
        </w:tc>
        <w:tc>
          <w:tcPr>
            <w:tcW w:w="789" w:type="dxa"/>
            <w:vAlign w:val="center"/>
          </w:tcPr>
          <w:p w:rsidR="000960DF" w:rsidRDefault="000960DF" w:rsidP="000960DF">
            <w:pPr>
              <w:jc w:val="center"/>
              <w:cnfStyle w:val="000000100000"/>
            </w:pPr>
            <w:r w:rsidRPr="003A301C">
              <w:rPr>
                <w:lang w:val="en-US"/>
              </w:rPr>
              <w:t>PL</w:t>
            </w:r>
          </w:p>
        </w:tc>
        <w:tc>
          <w:tcPr>
            <w:tcW w:w="723" w:type="dxa"/>
            <w:vAlign w:val="center"/>
          </w:tcPr>
          <w:p w:rsidR="000960DF" w:rsidRDefault="000960DF" w:rsidP="000960DF">
            <w:pPr>
              <w:jc w:val="center"/>
              <w:cnfStyle w:val="000000100000"/>
            </w:pPr>
            <w:r w:rsidRPr="003A301C">
              <w:rPr>
                <w:lang w:val="en-US"/>
              </w:rPr>
              <w:t>PL</w:t>
            </w:r>
          </w:p>
        </w:tc>
      </w:tr>
      <w:tr w:rsidR="000960DF" w:rsidTr="000960DF">
        <w:tc>
          <w:tcPr>
            <w:cnfStyle w:val="001000000000"/>
            <w:tcW w:w="724" w:type="dxa"/>
            <w:vMerge/>
            <w:vAlign w:val="center"/>
          </w:tcPr>
          <w:p w:rsidR="000960DF" w:rsidRDefault="000960DF" w:rsidP="000960DF">
            <w:pPr>
              <w:jc w:val="center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0960DF" w:rsidRPr="007278F9" w:rsidRDefault="000960DF" w:rsidP="000960DF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PV</w:t>
            </w:r>
          </w:p>
        </w:tc>
        <w:tc>
          <w:tcPr>
            <w:tcW w:w="730" w:type="dxa"/>
            <w:vAlign w:val="center"/>
          </w:tcPr>
          <w:p w:rsidR="000960D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ZR</w:t>
            </w:r>
          </w:p>
        </w:tc>
        <w:tc>
          <w:tcPr>
            <w:tcW w:w="796" w:type="dxa"/>
            <w:vAlign w:val="center"/>
          </w:tcPr>
          <w:p w:rsidR="000960D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20" w:type="dxa"/>
            <w:vAlign w:val="center"/>
          </w:tcPr>
          <w:p w:rsidR="000960DF" w:rsidRDefault="000960DF" w:rsidP="000960D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799" w:type="dxa"/>
            <w:vAlign w:val="center"/>
          </w:tcPr>
          <w:p w:rsidR="000960DF" w:rsidRDefault="000960DF" w:rsidP="000960DF">
            <w:pPr>
              <w:jc w:val="center"/>
              <w:cnfStyle w:val="000000000000"/>
            </w:pPr>
            <w:r w:rsidRPr="00980DA8">
              <w:rPr>
                <w:lang w:val="en-US"/>
              </w:rPr>
              <w:t>PL</w:t>
            </w:r>
          </w:p>
        </w:tc>
        <w:tc>
          <w:tcPr>
            <w:tcW w:w="795" w:type="dxa"/>
            <w:vAlign w:val="center"/>
          </w:tcPr>
          <w:p w:rsidR="000960DF" w:rsidRDefault="000960DF" w:rsidP="000960DF">
            <w:pPr>
              <w:jc w:val="center"/>
              <w:cnfStyle w:val="000000000000"/>
            </w:pPr>
            <w:r w:rsidRPr="00980DA8">
              <w:rPr>
                <w:lang w:val="en-US"/>
              </w:rPr>
              <w:t>PL</w:t>
            </w:r>
          </w:p>
        </w:tc>
        <w:tc>
          <w:tcPr>
            <w:tcW w:w="782" w:type="dxa"/>
            <w:vAlign w:val="center"/>
          </w:tcPr>
          <w:p w:rsidR="000960DF" w:rsidRDefault="000960DF" w:rsidP="000960DF">
            <w:pPr>
              <w:jc w:val="center"/>
              <w:cnfStyle w:val="000000000000"/>
            </w:pPr>
            <w:r w:rsidRPr="00980DA8">
              <w:rPr>
                <w:lang w:val="en-US"/>
              </w:rPr>
              <w:t>PL</w:t>
            </w:r>
          </w:p>
        </w:tc>
        <w:tc>
          <w:tcPr>
            <w:tcW w:w="775" w:type="dxa"/>
            <w:vAlign w:val="center"/>
          </w:tcPr>
          <w:p w:rsidR="000960DF" w:rsidRDefault="000960DF" w:rsidP="000960DF">
            <w:pPr>
              <w:jc w:val="center"/>
              <w:cnfStyle w:val="000000000000"/>
            </w:pPr>
            <w:r w:rsidRPr="00980DA8">
              <w:rPr>
                <w:lang w:val="en-US"/>
              </w:rPr>
              <w:t>PL</w:t>
            </w:r>
          </w:p>
        </w:tc>
        <w:tc>
          <w:tcPr>
            <w:tcW w:w="789" w:type="dxa"/>
            <w:vAlign w:val="center"/>
          </w:tcPr>
          <w:p w:rsidR="000960DF" w:rsidRDefault="000960DF" w:rsidP="000960DF">
            <w:pPr>
              <w:jc w:val="center"/>
              <w:cnfStyle w:val="000000000000"/>
            </w:pPr>
            <w:r w:rsidRPr="00980DA8">
              <w:rPr>
                <w:lang w:val="en-US"/>
              </w:rPr>
              <w:t>PL</w:t>
            </w:r>
          </w:p>
        </w:tc>
        <w:tc>
          <w:tcPr>
            <w:tcW w:w="723" w:type="dxa"/>
            <w:vAlign w:val="center"/>
          </w:tcPr>
          <w:p w:rsidR="000960DF" w:rsidRDefault="000960DF" w:rsidP="000960DF">
            <w:pPr>
              <w:jc w:val="center"/>
              <w:cnfStyle w:val="000000000000"/>
            </w:pPr>
            <w:r w:rsidRPr="00980DA8">
              <w:rPr>
                <w:lang w:val="en-US"/>
              </w:rPr>
              <w:t>PL</w:t>
            </w:r>
          </w:p>
        </w:tc>
      </w:tr>
    </w:tbl>
    <w:p w:rsidR="0036147B" w:rsidRDefault="0036147B" w:rsidP="00D96B9D">
      <w:pPr>
        <w:jc w:val="both"/>
        <w:rPr>
          <w:lang w:val="en-US"/>
        </w:rPr>
      </w:pPr>
    </w:p>
    <w:p w:rsidR="00AE27A9" w:rsidRPr="002A4D62" w:rsidRDefault="002A4D62" w:rsidP="002A4D62">
      <w:pPr>
        <w:spacing w:line="360" w:lineRule="auto"/>
        <w:jc w:val="both"/>
        <w:rPr>
          <w:sz w:val="24"/>
          <w:szCs w:val="24"/>
        </w:rPr>
      </w:pPr>
      <w:r w:rsidRPr="002A4D62">
        <w:rPr>
          <w:sz w:val="24"/>
          <w:szCs w:val="24"/>
        </w:rPr>
        <w:lastRenderedPageBreak/>
        <w:t xml:space="preserve">Στη συνέχεια στο περιβάλλον του </w:t>
      </w:r>
      <w:proofErr w:type="spellStart"/>
      <w:r w:rsidRPr="002A4D62">
        <w:rPr>
          <w:sz w:val="24"/>
          <w:szCs w:val="24"/>
          <w:lang w:val="en-US"/>
        </w:rPr>
        <w:t>Simulink</w:t>
      </w:r>
      <w:proofErr w:type="spellEnd"/>
      <w:r w:rsidRPr="002A4D62">
        <w:rPr>
          <w:sz w:val="24"/>
          <w:szCs w:val="24"/>
        </w:rPr>
        <w:t xml:space="preserve"> δημιουργήσαμε το </w:t>
      </w:r>
      <w:r w:rsidRPr="002A4D62">
        <w:rPr>
          <w:sz w:val="24"/>
          <w:szCs w:val="24"/>
          <w:lang w:val="en-US"/>
        </w:rPr>
        <w:t>block</w:t>
      </w:r>
      <w:r w:rsidRPr="002A4D62">
        <w:rPr>
          <w:sz w:val="24"/>
          <w:szCs w:val="24"/>
        </w:rPr>
        <w:t xml:space="preserve"> διάγραμμα της</w:t>
      </w:r>
      <w:r w:rsidR="00742D74">
        <w:rPr>
          <w:sz w:val="24"/>
          <w:szCs w:val="24"/>
        </w:rPr>
        <w:t xml:space="preserve"> εικόνας που ακολουθεί, εικόνα </w:t>
      </w:r>
      <w:r w:rsidR="00742D74" w:rsidRPr="00742D74">
        <w:rPr>
          <w:sz w:val="24"/>
          <w:szCs w:val="24"/>
        </w:rPr>
        <w:t>8</w:t>
      </w:r>
      <w:r w:rsidRPr="002A4D62">
        <w:rPr>
          <w:sz w:val="24"/>
          <w:szCs w:val="24"/>
        </w:rPr>
        <w:t>.</w:t>
      </w:r>
    </w:p>
    <w:p w:rsidR="00AE27A9" w:rsidRDefault="008A1CCF" w:rsidP="006F7044">
      <w:pPr>
        <w:jc w:val="center"/>
      </w:pPr>
      <w:r>
        <w:rPr>
          <w:noProof/>
          <w:lang w:eastAsia="el-GR"/>
        </w:rPr>
        <w:drawing>
          <wp:inline distT="0" distB="0" distL="0" distR="0">
            <wp:extent cx="5267325" cy="2295525"/>
            <wp:effectExtent l="19050" t="0" r="9525" b="0"/>
            <wp:docPr id="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D62" w:rsidRPr="002A4D62" w:rsidRDefault="00742D74" w:rsidP="002A4D62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Εικόνα </w:t>
      </w:r>
      <w:r w:rsidRPr="00742D74">
        <w:rPr>
          <w:b/>
          <w:sz w:val="24"/>
          <w:szCs w:val="24"/>
        </w:rPr>
        <w:t>8</w:t>
      </w:r>
      <w:r w:rsidR="002A4D62" w:rsidRPr="002A4D62">
        <w:rPr>
          <w:b/>
          <w:sz w:val="24"/>
          <w:szCs w:val="24"/>
        </w:rPr>
        <w:t>:</w:t>
      </w:r>
      <w:r w:rsidR="002A4D62">
        <w:rPr>
          <w:sz w:val="24"/>
          <w:szCs w:val="24"/>
        </w:rPr>
        <w:t xml:space="preserve"> Το </w:t>
      </w:r>
      <w:r w:rsidR="002A4D62">
        <w:rPr>
          <w:sz w:val="24"/>
          <w:szCs w:val="24"/>
          <w:lang w:val="en-US"/>
        </w:rPr>
        <w:t>Block</w:t>
      </w:r>
      <w:r w:rsidR="002A4D62">
        <w:rPr>
          <w:sz w:val="24"/>
          <w:szCs w:val="24"/>
        </w:rPr>
        <w:t xml:space="preserve"> διάγραμμα του </w:t>
      </w:r>
      <w:proofErr w:type="spellStart"/>
      <w:r w:rsidR="002A4D62">
        <w:rPr>
          <w:sz w:val="24"/>
          <w:szCs w:val="24"/>
          <w:lang w:val="en-US"/>
        </w:rPr>
        <w:t>Simulink</w:t>
      </w:r>
      <w:proofErr w:type="spellEnd"/>
    </w:p>
    <w:p w:rsidR="002A4D62" w:rsidRDefault="00200631" w:rsidP="0020063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</w:t>
      </w:r>
      <w:r>
        <w:rPr>
          <w:sz w:val="24"/>
          <w:szCs w:val="24"/>
          <w:lang w:val="en-US"/>
        </w:rPr>
        <w:t>block</w:t>
      </w:r>
      <w:r w:rsidRPr="00200631">
        <w:rPr>
          <w:sz w:val="24"/>
          <w:szCs w:val="24"/>
        </w:rPr>
        <w:t xml:space="preserve"> </w:t>
      </w:r>
      <w:r>
        <w:rPr>
          <w:sz w:val="24"/>
          <w:szCs w:val="24"/>
        </w:rPr>
        <w:t>διάγραμμα που φαίνεται στην εικόνα 9</w:t>
      </w:r>
      <w:r w:rsidRPr="002006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ως είσοδο τοποθετήσαμε μία </w:t>
      </w:r>
      <w:proofErr w:type="spellStart"/>
      <w:r>
        <w:rPr>
          <w:sz w:val="24"/>
          <w:szCs w:val="24"/>
        </w:rPr>
        <w:t>βηματική</w:t>
      </w:r>
      <w:proofErr w:type="spellEnd"/>
      <w:r>
        <w:rPr>
          <w:sz w:val="24"/>
          <w:szCs w:val="24"/>
        </w:rPr>
        <w:t xml:space="preserve"> συνάρτηση με πλάτος </w:t>
      </w:r>
      <w:r w:rsidR="00AD5149" w:rsidRPr="00AD5149">
        <w:rPr>
          <w:sz w:val="24"/>
          <w:szCs w:val="24"/>
        </w:rPr>
        <w:t xml:space="preserve">150 </w:t>
      </w:r>
      <w:r w:rsidR="00AD5149"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 xml:space="preserve">, το οποίο και </w:t>
      </w:r>
      <w:proofErr w:type="spellStart"/>
      <w:r>
        <w:rPr>
          <w:sz w:val="24"/>
          <w:szCs w:val="24"/>
        </w:rPr>
        <w:t>κανονικοποιήθηκε</w:t>
      </w:r>
      <w:proofErr w:type="spellEnd"/>
      <w:r>
        <w:rPr>
          <w:sz w:val="24"/>
          <w:szCs w:val="24"/>
        </w:rPr>
        <w:t>. Στη συνέχεια το σήμα πέρασε μέσα από το ασαφές σύστημα, αφού υπέστη δειγματοληψία με περίοδο:</w:t>
      </w:r>
    </w:p>
    <w:p w:rsidR="00200631" w:rsidRDefault="00200631" w:rsidP="00200631">
      <w:pPr>
        <w:spacing w:line="36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Τ=0.01 </m:t>
          </m:r>
          <m:r>
            <w:rPr>
              <w:rFonts w:ascii="Cambria Math" w:hAnsi="Cambria Math"/>
              <w:sz w:val="24"/>
              <w:szCs w:val="24"/>
              <w:lang w:val="en-US"/>
            </w:rPr>
            <m:t>sec</m:t>
          </m:r>
        </m:oMath>
      </m:oMathPara>
    </w:p>
    <w:p w:rsidR="00200631" w:rsidRDefault="00200631" w:rsidP="00200631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Τέλος η έξοδος του ασαφούς συστήματος </w:t>
      </w:r>
      <w:proofErr w:type="spellStart"/>
      <w:r>
        <w:rPr>
          <w:rFonts w:eastAsiaTheme="minorEastAsia"/>
          <w:sz w:val="24"/>
          <w:szCs w:val="24"/>
        </w:rPr>
        <w:t>αποκανονικοποιήθηκε</w:t>
      </w:r>
      <w:proofErr w:type="spellEnd"/>
      <w:r>
        <w:rPr>
          <w:rFonts w:eastAsiaTheme="minorEastAsia"/>
          <w:sz w:val="24"/>
          <w:szCs w:val="24"/>
        </w:rPr>
        <w:t xml:space="preserve"> και εισήχθη στον ελεγκτή με συνάρτηση μεταφοράς:</w:t>
      </w:r>
    </w:p>
    <w:p w:rsidR="00200631" w:rsidRDefault="00200631" w:rsidP="00200631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1.936</m:t>
              </m:r>
              <m:r>
                <w:rPr>
                  <w:rFonts w:ascii="Cambria Math" w:hAnsi="Cambria Math"/>
                  <w:sz w:val="24"/>
                  <w:szCs w:val="24"/>
                </w:rPr>
                <m:t>∙s+</m:t>
              </m:r>
              <m:r>
                <w:rPr>
                  <w:rFonts w:ascii="Cambria Math" w:hAnsi="Cambria Math"/>
                  <w:sz w:val="24"/>
                  <w:szCs w:val="24"/>
                </w:rPr>
                <m:t>225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  <m:r>
                <w:rPr>
                  <w:rFonts w:ascii="Cambria Math" w:hAnsi="Cambria Math"/>
                  <w:sz w:val="24"/>
                  <w:szCs w:val="24"/>
                </w:rPr>
                <m:t>∙s+</m:t>
              </m:r>
              <m:r>
                <w:rPr>
                  <w:rFonts w:ascii="Cambria Math" w:hAnsi="Cambria Math"/>
                  <w:sz w:val="24"/>
                  <w:szCs w:val="24"/>
                </w:rPr>
                <m:t>225</m:t>
              </m:r>
            </m:den>
          </m:f>
        </m:oMath>
      </m:oMathPara>
    </w:p>
    <w:p w:rsidR="00200631" w:rsidRDefault="00200631" w:rsidP="00200631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και το αποτέλεσμα που προέκυψε παρουσιάζεται στο διάγραμμα της εικόνας που ακολουθεί, εικόνα </w:t>
      </w:r>
      <w:r w:rsidR="00742D74" w:rsidRPr="00742D74">
        <w:rPr>
          <w:rFonts w:eastAsiaTheme="minorEastAsia"/>
          <w:sz w:val="24"/>
          <w:szCs w:val="24"/>
        </w:rPr>
        <w:t>9</w:t>
      </w:r>
      <w:r>
        <w:rPr>
          <w:rFonts w:eastAsiaTheme="minorEastAsia"/>
          <w:sz w:val="24"/>
          <w:szCs w:val="24"/>
        </w:rPr>
        <w:t>.</w:t>
      </w:r>
    </w:p>
    <w:p w:rsidR="00200631" w:rsidRDefault="008A1CCF" w:rsidP="006F704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6850" cy="24955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97B" w:rsidRPr="00742D74" w:rsidRDefault="006F7044" w:rsidP="002847F2">
      <w:pPr>
        <w:spacing w:line="360" w:lineRule="auto"/>
        <w:jc w:val="center"/>
        <w:rPr>
          <w:sz w:val="24"/>
          <w:szCs w:val="24"/>
        </w:rPr>
      </w:pPr>
      <w:r w:rsidRPr="006F7044">
        <w:rPr>
          <w:b/>
          <w:sz w:val="24"/>
          <w:szCs w:val="24"/>
        </w:rPr>
        <w:t xml:space="preserve">Εικόνα </w:t>
      </w:r>
      <w:r w:rsidR="00742D74" w:rsidRPr="00742D74">
        <w:rPr>
          <w:b/>
          <w:sz w:val="24"/>
          <w:szCs w:val="24"/>
        </w:rPr>
        <w:t>9</w:t>
      </w:r>
      <w:r w:rsidRPr="006F7044">
        <w:rPr>
          <w:b/>
          <w:sz w:val="24"/>
          <w:szCs w:val="24"/>
        </w:rPr>
        <w:t xml:space="preserve">: </w:t>
      </w:r>
      <w:r w:rsidRPr="006F7044">
        <w:rPr>
          <w:sz w:val="24"/>
          <w:szCs w:val="24"/>
        </w:rPr>
        <w:t>Η είσοδος (κίτρινη καμπύλη) και η έξοδος (μπλε καμπύλη) του συστήματος</w:t>
      </w:r>
    </w:p>
    <w:p w:rsidR="00BD21FF" w:rsidRPr="00742D74" w:rsidRDefault="00BD21FF" w:rsidP="002847F2">
      <w:pPr>
        <w:spacing w:line="360" w:lineRule="auto"/>
        <w:jc w:val="center"/>
        <w:rPr>
          <w:sz w:val="24"/>
          <w:szCs w:val="24"/>
        </w:rPr>
      </w:pPr>
    </w:p>
    <w:p w:rsidR="00BD21FF" w:rsidRPr="00742D74" w:rsidRDefault="00BD21FF" w:rsidP="002847F2">
      <w:pPr>
        <w:spacing w:line="360" w:lineRule="auto"/>
        <w:jc w:val="center"/>
        <w:rPr>
          <w:sz w:val="24"/>
          <w:szCs w:val="24"/>
        </w:rPr>
      </w:pPr>
    </w:p>
    <w:p w:rsidR="00BD21FF" w:rsidRPr="00BD21FF" w:rsidRDefault="00BD21FF" w:rsidP="002847F2">
      <w:pPr>
        <w:spacing w:line="360" w:lineRule="auto"/>
        <w:jc w:val="center"/>
        <w:rPr>
          <w:sz w:val="24"/>
          <w:szCs w:val="24"/>
          <w:lang w:val="en-US"/>
        </w:rPr>
        <w:sectPr w:rsidR="00BD21FF" w:rsidRPr="00BD21FF" w:rsidSect="004E4EFA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41797B" w:rsidRPr="002847F2" w:rsidRDefault="0041797B" w:rsidP="00D96B9D">
      <w:pPr>
        <w:jc w:val="both"/>
      </w:pPr>
      <w:r w:rsidRPr="0041797B">
        <w:rPr>
          <w:b/>
          <w:sz w:val="32"/>
          <w:szCs w:val="32"/>
        </w:rPr>
        <w:lastRenderedPageBreak/>
        <w:t>ΠΑΡΑΡΤΗΜΑ Α:</w:t>
      </w:r>
      <w:r>
        <w:t xml:space="preserve"> </w:t>
      </w:r>
      <w:r w:rsidRPr="0041797B">
        <w:rPr>
          <w:b/>
          <w:sz w:val="24"/>
          <w:szCs w:val="24"/>
        </w:rPr>
        <w:t>Ο ΚΩΔΙΚΑΣ MATLAB</w:t>
      </w:r>
    </w:p>
    <w:tbl>
      <w:tblPr>
        <w:tblStyle w:val="1"/>
        <w:tblW w:w="0" w:type="auto"/>
        <w:tblLook w:val="04A0"/>
      </w:tblPr>
      <w:tblGrid>
        <w:gridCol w:w="8522"/>
      </w:tblGrid>
      <w:tr w:rsidR="0041797B" w:rsidTr="00626F8F">
        <w:trPr>
          <w:cnfStyle w:val="100000000000"/>
        </w:trPr>
        <w:tc>
          <w:tcPr>
            <w:cnfStyle w:val="001000000000"/>
            <w:tcW w:w="8522" w:type="dxa"/>
          </w:tcPr>
          <w:p w:rsidR="0041797B" w:rsidRPr="00BF473F" w:rsidRDefault="0041797B" w:rsidP="00626F8F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41797B" w:rsidRPr="003D5C5E" w:rsidTr="00626F8F">
        <w:trPr>
          <w:cnfStyle w:val="000000100000"/>
        </w:trPr>
        <w:tc>
          <w:tcPr>
            <w:cnfStyle w:val="001000000000"/>
            <w:tcW w:w="8522" w:type="dxa"/>
          </w:tcPr>
          <w:p w:rsidR="007645A5" w:rsidRPr="00931D4D" w:rsidRDefault="007645A5" w:rsidP="007645A5">
            <w:pPr>
              <w:rPr>
                <w:lang w:val="en-US"/>
              </w:rPr>
            </w:pPr>
            <w:proofErr w:type="spellStart"/>
            <w:r w:rsidRPr="007645A5">
              <w:rPr>
                <w:lang w:val="en-US"/>
              </w:rPr>
              <w:t>wn</w:t>
            </w:r>
            <w:proofErr w:type="spellEnd"/>
            <w:r w:rsidRPr="00931D4D">
              <w:rPr>
                <w:lang w:val="en-US"/>
              </w:rPr>
              <w:t xml:space="preserve"> = </w:t>
            </w:r>
            <w:r w:rsidR="00AD5149">
              <w:rPr>
                <w:lang w:val="en-US"/>
              </w:rPr>
              <w:t>15</w:t>
            </w:r>
            <w:r w:rsidRPr="00931D4D">
              <w:rPr>
                <w:lang w:val="en-US"/>
              </w:rPr>
              <w:t>;</w:t>
            </w:r>
          </w:p>
          <w:p w:rsidR="007645A5" w:rsidRPr="00931D4D" w:rsidRDefault="007645A5" w:rsidP="007645A5">
            <w:pPr>
              <w:rPr>
                <w:lang w:val="en-US"/>
              </w:rPr>
            </w:pPr>
            <w:r w:rsidRPr="007645A5">
              <w:rPr>
                <w:lang w:val="en-US"/>
              </w:rPr>
              <w:t>z</w:t>
            </w:r>
            <w:r w:rsidR="008F32F0" w:rsidRPr="00931D4D">
              <w:rPr>
                <w:lang w:val="en-US"/>
              </w:rPr>
              <w:t xml:space="preserve"> = 0.</w:t>
            </w:r>
            <w:r w:rsidR="00533BF0">
              <w:rPr>
                <w:lang w:val="en-US"/>
              </w:rPr>
              <w:t>8</w:t>
            </w:r>
            <w:r w:rsidRPr="00931D4D">
              <w:rPr>
                <w:lang w:val="en-US"/>
              </w:rPr>
              <w:t>;</w:t>
            </w:r>
          </w:p>
          <w:p w:rsidR="007645A5" w:rsidRDefault="007645A5" w:rsidP="007645A5">
            <w:pPr>
              <w:rPr>
                <w:lang w:val="en-US"/>
              </w:rPr>
            </w:pPr>
          </w:p>
          <w:p w:rsidR="00633F29" w:rsidRDefault="00633F29" w:rsidP="007645A5">
            <w:pPr>
              <w:rPr>
                <w:lang w:val="en-US"/>
              </w:rPr>
            </w:pPr>
            <w:r>
              <w:rPr>
                <w:lang w:val="en-US"/>
              </w:rPr>
              <w:t xml:space="preserve">K = </w:t>
            </w:r>
            <w:r w:rsidR="00533BF0">
              <w:rPr>
                <w:lang w:val="en-US"/>
              </w:rPr>
              <w:t>(</w:t>
            </w:r>
            <w:r>
              <w:rPr>
                <w:lang w:val="en-US"/>
              </w:rPr>
              <w:t>2*z*</w:t>
            </w:r>
            <w:proofErr w:type="spellStart"/>
            <w:r>
              <w:rPr>
                <w:lang w:val="en-US"/>
              </w:rPr>
              <w:t>wn</w:t>
            </w:r>
            <w:proofErr w:type="spellEnd"/>
            <w:r>
              <w:rPr>
                <w:lang w:val="en-US"/>
              </w:rPr>
              <w:t xml:space="preserve"> </w:t>
            </w:r>
            <w:r w:rsidR="00056DAB">
              <w:rPr>
                <w:lang w:val="en-US"/>
              </w:rPr>
              <w:t>-</w:t>
            </w:r>
            <w:r>
              <w:rPr>
                <w:lang w:val="en-US"/>
              </w:rPr>
              <w:t xml:space="preserve"> 12.064</w:t>
            </w:r>
            <w:r w:rsidR="00533BF0">
              <w:rPr>
                <w:lang w:val="en-US"/>
              </w:rPr>
              <w:t>)/18.69</w:t>
            </w:r>
            <w:r>
              <w:rPr>
                <w:lang w:val="en-US"/>
              </w:rPr>
              <w:t>;</w:t>
            </w:r>
          </w:p>
          <w:p w:rsidR="00633F29" w:rsidRDefault="00633F29" w:rsidP="007645A5">
            <w:pPr>
              <w:rPr>
                <w:lang w:val="en-US"/>
              </w:rPr>
            </w:pPr>
          </w:p>
          <w:p w:rsidR="00633F29" w:rsidRPr="00931D4D" w:rsidRDefault="00633F29" w:rsidP="007645A5">
            <w:pPr>
              <w:rPr>
                <w:lang w:val="en-US"/>
              </w:rPr>
            </w:pPr>
            <w:r>
              <w:rPr>
                <w:lang w:val="en-US"/>
              </w:rPr>
              <w:t>C = (wn^2)</w:t>
            </w:r>
            <w:r w:rsidR="00AD5149">
              <w:rPr>
                <w:lang w:val="en-US"/>
              </w:rPr>
              <w:t>/</w:t>
            </w:r>
            <w:r w:rsidR="00533BF0">
              <w:rPr>
                <w:lang w:val="en-US"/>
              </w:rPr>
              <w:t>(</w:t>
            </w:r>
            <w:r w:rsidR="00AD5149">
              <w:rPr>
                <w:lang w:val="en-US"/>
              </w:rPr>
              <w:t>K</w:t>
            </w:r>
            <w:r w:rsidR="00533BF0">
              <w:rPr>
                <w:lang w:val="en-US"/>
              </w:rPr>
              <w:t>*18.69)</w:t>
            </w:r>
            <w:r>
              <w:rPr>
                <w:lang w:val="en-US"/>
              </w:rPr>
              <w:t>;</w:t>
            </w:r>
          </w:p>
          <w:p w:rsidR="007645A5" w:rsidRPr="007645A5" w:rsidRDefault="007645A5" w:rsidP="007645A5">
            <w:pPr>
              <w:rPr>
                <w:lang w:val="en-US"/>
              </w:rPr>
            </w:pPr>
          </w:p>
          <w:p w:rsidR="007645A5" w:rsidRPr="007645A5" w:rsidRDefault="007645A5" w:rsidP="007645A5">
            <w:pPr>
              <w:rPr>
                <w:lang w:val="en-US"/>
              </w:rPr>
            </w:pPr>
            <w:r w:rsidRPr="007645A5">
              <w:rPr>
                <w:lang w:val="en-US"/>
              </w:rPr>
              <w:t>num2=[</w:t>
            </w:r>
            <w:r w:rsidR="00633F29">
              <w:rPr>
                <w:lang w:val="en-US"/>
              </w:rPr>
              <w:t>18.69</w:t>
            </w:r>
            <w:r w:rsidR="00056DAB">
              <w:rPr>
                <w:lang w:val="en-US"/>
              </w:rPr>
              <w:t>*K 18.69*C*K</w:t>
            </w:r>
            <w:r w:rsidRPr="007645A5">
              <w:rPr>
                <w:lang w:val="en-US"/>
              </w:rPr>
              <w:t>];</w:t>
            </w:r>
          </w:p>
          <w:p w:rsidR="007645A5" w:rsidRPr="007645A5" w:rsidRDefault="007645A5" w:rsidP="007645A5">
            <w:pPr>
              <w:rPr>
                <w:lang w:val="en-US"/>
              </w:rPr>
            </w:pPr>
            <w:r w:rsidRPr="007645A5">
              <w:rPr>
                <w:lang w:val="en-US"/>
              </w:rPr>
              <w:t xml:space="preserve">den2=[1 </w:t>
            </w:r>
            <w:r w:rsidR="003D5C5E">
              <w:rPr>
                <w:lang w:val="en-US"/>
              </w:rPr>
              <w:t>(</w:t>
            </w:r>
            <w:r w:rsidR="00633F29">
              <w:rPr>
                <w:lang w:val="en-US"/>
              </w:rPr>
              <w:t>12.064</w:t>
            </w:r>
            <w:r w:rsidR="00056DAB">
              <w:rPr>
                <w:lang w:val="en-US"/>
              </w:rPr>
              <w:t>+</w:t>
            </w:r>
            <w:r w:rsidR="003D5C5E">
              <w:rPr>
                <w:lang w:val="en-US"/>
              </w:rPr>
              <w:t>18.69*</w:t>
            </w:r>
            <w:r w:rsidR="00056DAB">
              <w:rPr>
                <w:lang w:val="en-US"/>
              </w:rPr>
              <w:t>K</w:t>
            </w:r>
            <w:r w:rsidR="003D5C5E">
              <w:rPr>
                <w:lang w:val="en-US"/>
              </w:rPr>
              <w:t>)</w:t>
            </w:r>
            <w:r w:rsidR="00056DAB">
              <w:rPr>
                <w:lang w:val="en-US"/>
              </w:rPr>
              <w:t xml:space="preserve"> C*K</w:t>
            </w:r>
            <w:r w:rsidR="003D5C5E">
              <w:rPr>
                <w:lang w:val="en-US"/>
              </w:rPr>
              <w:t>*18.69</w:t>
            </w:r>
            <w:r w:rsidRPr="007645A5">
              <w:rPr>
                <w:lang w:val="en-US"/>
              </w:rPr>
              <w:t>];</w:t>
            </w:r>
          </w:p>
          <w:p w:rsidR="007645A5" w:rsidRPr="007645A5" w:rsidRDefault="007645A5" w:rsidP="007645A5">
            <w:pPr>
              <w:rPr>
                <w:lang w:val="en-US"/>
              </w:rPr>
            </w:pPr>
          </w:p>
          <w:p w:rsidR="007645A5" w:rsidRPr="007645A5" w:rsidRDefault="007645A5" w:rsidP="007645A5">
            <w:pPr>
              <w:rPr>
                <w:lang w:val="en-US"/>
              </w:rPr>
            </w:pPr>
            <w:r w:rsidRPr="007645A5">
              <w:rPr>
                <w:lang w:val="en-US"/>
              </w:rPr>
              <w:t>g=</w:t>
            </w:r>
            <w:proofErr w:type="spellStart"/>
            <w:r w:rsidRPr="007645A5">
              <w:rPr>
                <w:lang w:val="en-US"/>
              </w:rPr>
              <w:t>tf</w:t>
            </w:r>
            <w:proofErr w:type="spellEnd"/>
            <w:r w:rsidRPr="007645A5">
              <w:rPr>
                <w:lang w:val="en-US"/>
              </w:rPr>
              <w:t>(num2,den2);</w:t>
            </w:r>
          </w:p>
          <w:p w:rsidR="0041797B" w:rsidRPr="00BF473F" w:rsidRDefault="007645A5" w:rsidP="007645A5">
            <w:pPr>
              <w:rPr>
                <w:lang w:val="en-US"/>
              </w:rPr>
            </w:pPr>
            <w:proofErr w:type="spellStart"/>
            <w:r w:rsidRPr="007645A5">
              <w:rPr>
                <w:lang w:val="en-US"/>
              </w:rPr>
              <w:t>sisotool</w:t>
            </w:r>
            <w:proofErr w:type="spellEnd"/>
            <w:r w:rsidRPr="007645A5">
              <w:rPr>
                <w:lang w:val="en-US"/>
              </w:rPr>
              <w:t>(g)</w:t>
            </w:r>
          </w:p>
        </w:tc>
      </w:tr>
    </w:tbl>
    <w:p w:rsidR="0041797B" w:rsidRPr="0041797B" w:rsidRDefault="0041797B" w:rsidP="00D96B9D">
      <w:pPr>
        <w:jc w:val="both"/>
        <w:rPr>
          <w:lang w:val="en-US"/>
        </w:rPr>
      </w:pPr>
    </w:p>
    <w:sectPr w:rsidR="0041797B" w:rsidRPr="0041797B" w:rsidSect="004E4E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F2217"/>
    <w:multiLevelType w:val="hybridMultilevel"/>
    <w:tmpl w:val="8D660C66"/>
    <w:lvl w:ilvl="0" w:tplc="0F4675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92D02"/>
    <w:multiLevelType w:val="hybridMultilevel"/>
    <w:tmpl w:val="4470F65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204E1"/>
    <w:multiLevelType w:val="hybridMultilevel"/>
    <w:tmpl w:val="5A4A5E2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D66"/>
    <w:rsid w:val="00030799"/>
    <w:rsid w:val="00056DAB"/>
    <w:rsid w:val="000960DF"/>
    <w:rsid w:val="00117F97"/>
    <w:rsid w:val="00130E4C"/>
    <w:rsid w:val="001744D6"/>
    <w:rsid w:val="00182DB4"/>
    <w:rsid w:val="001A0B4E"/>
    <w:rsid w:val="00200631"/>
    <w:rsid w:val="002847F2"/>
    <w:rsid w:val="002A4D62"/>
    <w:rsid w:val="002D6498"/>
    <w:rsid w:val="002E7AEB"/>
    <w:rsid w:val="003208D6"/>
    <w:rsid w:val="0036147B"/>
    <w:rsid w:val="003B11E6"/>
    <w:rsid w:val="003D5C5E"/>
    <w:rsid w:val="0041797B"/>
    <w:rsid w:val="0047461E"/>
    <w:rsid w:val="004E4EFA"/>
    <w:rsid w:val="00510711"/>
    <w:rsid w:val="00533BF0"/>
    <w:rsid w:val="00542FCA"/>
    <w:rsid w:val="0057519B"/>
    <w:rsid w:val="005756DE"/>
    <w:rsid w:val="005E46C8"/>
    <w:rsid w:val="00626F8F"/>
    <w:rsid w:val="00633F29"/>
    <w:rsid w:val="006F7044"/>
    <w:rsid w:val="007278F9"/>
    <w:rsid w:val="00741FFF"/>
    <w:rsid w:val="00742D74"/>
    <w:rsid w:val="007645A5"/>
    <w:rsid w:val="00797728"/>
    <w:rsid w:val="00800BB7"/>
    <w:rsid w:val="0085514A"/>
    <w:rsid w:val="008A1CCF"/>
    <w:rsid w:val="008B390E"/>
    <w:rsid w:val="008B7FAD"/>
    <w:rsid w:val="008F32F0"/>
    <w:rsid w:val="00931D4D"/>
    <w:rsid w:val="0097074F"/>
    <w:rsid w:val="00975680"/>
    <w:rsid w:val="009E69F3"/>
    <w:rsid w:val="009F355C"/>
    <w:rsid w:val="00A152D4"/>
    <w:rsid w:val="00A16B20"/>
    <w:rsid w:val="00AD5149"/>
    <w:rsid w:val="00AE27A9"/>
    <w:rsid w:val="00B346B1"/>
    <w:rsid w:val="00B46D66"/>
    <w:rsid w:val="00B54532"/>
    <w:rsid w:val="00B941BC"/>
    <w:rsid w:val="00BB7CAB"/>
    <w:rsid w:val="00BD21FF"/>
    <w:rsid w:val="00C36BF4"/>
    <w:rsid w:val="00C82CC0"/>
    <w:rsid w:val="00C866D8"/>
    <w:rsid w:val="00D07954"/>
    <w:rsid w:val="00D2294E"/>
    <w:rsid w:val="00D554EF"/>
    <w:rsid w:val="00D842F2"/>
    <w:rsid w:val="00D86DD8"/>
    <w:rsid w:val="00D92F85"/>
    <w:rsid w:val="00D96B9D"/>
    <w:rsid w:val="00DA2736"/>
    <w:rsid w:val="00E35B88"/>
    <w:rsid w:val="00E70936"/>
    <w:rsid w:val="00E71C7D"/>
    <w:rsid w:val="00EA57D8"/>
    <w:rsid w:val="00ED0D06"/>
    <w:rsid w:val="00EE3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6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46D66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B46D66"/>
    <w:rPr>
      <w:color w:val="808080"/>
    </w:rPr>
  </w:style>
  <w:style w:type="paragraph" w:styleId="a5">
    <w:name w:val="List Paragraph"/>
    <w:basedOn w:val="a"/>
    <w:uiPriority w:val="34"/>
    <w:qFormat/>
    <w:rsid w:val="00B46D66"/>
    <w:pPr>
      <w:ind w:left="720"/>
      <w:contextualSpacing/>
    </w:pPr>
  </w:style>
  <w:style w:type="table" w:styleId="a6">
    <w:name w:val="Table Grid"/>
    <w:basedOn w:val="a1"/>
    <w:uiPriority w:val="59"/>
    <w:rsid w:val="00975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9756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7278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Heading2">
    <w:name w:val="Heading 2"/>
    <w:basedOn w:val="a"/>
    <w:uiPriority w:val="1"/>
    <w:qFormat/>
    <w:rsid w:val="0041797B"/>
    <w:pPr>
      <w:widowControl w:val="0"/>
      <w:autoSpaceDE w:val="0"/>
      <w:autoSpaceDN w:val="0"/>
      <w:spacing w:after="0" w:line="240" w:lineRule="auto"/>
      <w:outlineLvl w:val="2"/>
    </w:pPr>
    <w:rPr>
      <w:rFonts w:ascii="Bookman Old Style" w:eastAsia="Bookman Old Style" w:hAnsi="Bookman Old Style" w:cs="Bookman Old Style"/>
      <w:sz w:val="28"/>
      <w:szCs w:val="28"/>
      <w:lang w:eastAsia="el-GR" w:bidi="el-GR"/>
    </w:rPr>
  </w:style>
  <w:style w:type="table" w:customStyle="1" w:styleId="1">
    <w:name w:val="Ανοιχτόχρωμη λίστα1"/>
    <w:basedOn w:val="a1"/>
    <w:uiPriority w:val="61"/>
    <w:rsid w:val="004179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Light List"/>
    <w:basedOn w:val="a1"/>
    <w:uiPriority w:val="61"/>
    <w:rsid w:val="003B11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1A0B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934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2020-10-08T09:01:00Z</dcterms:created>
  <dcterms:modified xsi:type="dcterms:W3CDTF">2020-10-10T08:03:00Z</dcterms:modified>
</cp:coreProperties>
</file>