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Arial" w:cs="Arial" w:eastAsia="Arial" w:hAnsi="Arial"/>
          <w:b/>
          <w:bCs/>
          <w:color w:val="1a1a2e"/>
          <w:sz w:val="40"/>
          <w:szCs w:val="40"/>
        </w:rPr>
        <w:t xml:space="preserve">MIRIFICA STUDIO</w:t>
      </w:r>
    </w:p>
    <w:p>
      <w:pPr>
        <w:spacing w:after="200" w:before="0"/>
        <w:jc w:val="center"/>
      </w:pPr>
      <w:r>
        <w:rPr>
          <w:rFonts w:ascii="Arial" w:cs="Arial" w:eastAsia="Arial" w:hAnsi="Arial"/>
          <w:b/>
          <w:bCs/>
          <w:color w:val="00a86b"/>
          <w:sz w:val="28"/>
          <w:szCs w:val="28"/>
        </w:rPr>
        <w:t xml:space="preserve">Conditions Générales de Vente</w:t>
      </w:r>
    </w:p>
    <w:p>
      <w:pPr>
        <w:spacing w:after="600" w:before="0"/>
        <w:jc w:val="center"/>
      </w:pPr>
      <w:r>
        <w:rPr>
          <w:rFonts w:ascii="Arial" w:cs="Arial" w:eastAsia="Arial" w:hAnsi="Arial"/>
          <w:color w:val="888888"/>
          <w:sz w:val="20"/>
          <w:szCs w:val="20"/>
        </w:rPr>
        <w:t xml:space="preserve">Version 6.0 — 2026</w:t>
      </w:r>
    </w:p>
    <w:p>
      <w:pPr>
        <w:pBdr>
          <w:bottom w:val="single" w:color="CCCCCC" w:sz="4" w:space="1"/>
        </w:pBdr>
        <w:spacing w:after="200" w:before="200"/>
      </w:pPr>
    </w:p>
    <w:p>
      <w:pPr>
        <w:pStyle w:val="Heading1"/>
        <w:spacing w:after="200" w:before="400"/>
      </w:pPr>
      <w:r>
        <w:rPr>
          <w:rFonts w:ascii="Arial" w:cs="Arial" w:eastAsia="Arial" w:hAnsi="Arial"/>
          <w:b/>
          <w:bCs/>
          <w:sz w:val="28"/>
          <w:szCs w:val="28"/>
        </w:rPr>
        <w:t xml:space="preserve">Article 1 — Identification du prestataire</w:t>
      </w:r>
    </w:p>
    <w:p>
      <w:pPr>
        <w:spacing w:after="100" w:before="100"/>
        <w:jc w:val="both"/>
      </w:pPr>
      <w:r>
        <w:rPr>
          <w:rFonts w:ascii="Arial" w:cs="Arial" w:eastAsia="Arial" w:hAnsi="Arial"/>
          <w:sz w:val="22"/>
          <w:szCs w:val="22"/>
        </w:rPr>
        <w:t xml:space="preserve">Dénomination : Mirifica Studio</w:t>
      </w:r>
    </w:p>
    <w:p>
      <w:pPr>
        <w:spacing w:after="100" w:before="100"/>
        <w:jc w:val="both"/>
      </w:pPr>
      <w:r>
        <w:rPr>
          <w:rFonts w:ascii="Arial" w:cs="Arial" w:eastAsia="Arial" w:hAnsi="Arial"/>
          <w:sz w:val="22"/>
          <w:szCs w:val="22"/>
        </w:rPr>
        <w:t xml:space="preserve">Nom / Prénom : [À compléter]</w:t>
      </w:r>
    </w:p>
    <w:p>
      <w:pPr>
        <w:spacing w:after="100" w:before="100"/>
        <w:jc w:val="both"/>
      </w:pPr>
      <w:r>
        <w:rPr>
          <w:rFonts w:ascii="Arial" w:cs="Arial" w:eastAsia="Arial" w:hAnsi="Arial"/>
          <w:sz w:val="22"/>
          <w:szCs w:val="22"/>
        </w:rPr>
        <w:t xml:space="preserve">Statut juridique : [À compléter — ex : Micro-entrepreneur]</w:t>
      </w:r>
    </w:p>
    <w:p>
      <w:pPr>
        <w:spacing w:after="100" w:before="100"/>
        <w:jc w:val="both"/>
      </w:pPr>
      <w:r>
        <w:rPr>
          <w:rFonts w:ascii="Arial" w:cs="Arial" w:eastAsia="Arial" w:hAnsi="Arial"/>
          <w:sz w:val="22"/>
          <w:szCs w:val="22"/>
        </w:rPr>
        <w:t xml:space="preserve">Adresse du siège : [À compléter]</w:t>
      </w:r>
    </w:p>
    <w:p>
      <w:pPr>
        <w:spacing w:after="100" w:before="100"/>
        <w:jc w:val="both"/>
      </w:pPr>
      <w:r>
        <w:rPr>
          <w:rFonts w:ascii="Arial" w:cs="Arial" w:eastAsia="Arial" w:hAnsi="Arial"/>
          <w:sz w:val="22"/>
          <w:szCs w:val="22"/>
        </w:rPr>
        <w:t xml:space="preserve">SIRET / SIREN : [À compléter]</w:t>
      </w:r>
    </w:p>
    <w:p>
      <w:pPr>
        <w:spacing w:after="100" w:before="100"/>
        <w:jc w:val="both"/>
      </w:pPr>
      <w:r>
        <w:rPr>
          <w:rFonts w:ascii="Arial" w:cs="Arial" w:eastAsia="Arial" w:hAnsi="Arial"/>
          <w:sz w:val="22"/>
          <w:szCs w:val="22"/>
        </w:rPr>
        <w:t xml:space="preserve">RCS / RM : [À compléter si concerné]</w:t>
      </w:r>
    </w:p>
    <w:p>
      <w:pPr>
        <w:spacing w:after="100" w:before="100"/>
        <w:jc w:val="both"/>
      </w:pPr>
      <w:r>
        <w:rPr>
          <w:rFonts w:ascii="Arial" w:cs="Arial" w:eastAsia="Arial" w:hAnsi="Arial"/>
          <w:sz w:val="22"/>
          <w:szCs w:val="22"/>
        </w:rPr>
        <w:t xml:space="preserve">TVA : TVA non applicable, art. 293 B du CGI [À modifier si assujetti à la TVA]</w:t>
      </w:r>
    </w:p>
    <w:p>
      <w:pPr>
        <w:spacing w:after="100" w:before="100"/>
        <w:jc w:val="both"/>
      </w:pPr>
      <w:r>
        <w:rPr>
          <w:rFonts w:ascii="Arial" w:cs="Arial" w:eastAsia="Arial" w:hAnsi="Arial"/>
          <w:sz w:val="22"/>
          <w:szCs w:val="22"/>
        </w:rPr>
        <w:t xml:space="preserve">Email : mirificastudio@gmail.com — Site web : mirifica-studio.vercel.app</w:t>
      </w:r>
    </w:p>
    <w:p>
      <w:pPr>
        <w:spacing w:after="100" w:before="100"/>
        <w:jc w:val="both"/>
      </w:pPr>
      <w:r>
        <w:rPr>
          <w:rFonts w:ascii="Arial" w:cs="Arial" w:eastAsia="Arial" w:hAnsi="Arial"/>
          <w:sz w:val="22"/>
          <w:szCs w:val="22"/>
        </w:rPr>
        <w:t xml:space="preserve">Les présentes CGV s'appliquent exclusivement aux relations entre Mirifica Studio et des clients professionnels (B2B) : commerçants, artisans, auto-entrepreneurs, sociétés et associations.</w:t>
      </w:r>
    </w:p>
    <w:p>
      <w:pPr>
        <w:spacing w:after="100" w:before="100"/>
        <w:jc w:val="both"/>
      </w:pPr>
      <w:r>
        <w:rPr>
          <w:rFonts w:ascii="Arial" w:cs="Arial" w:eastAsia="Arial" w:hAnsi="Arial"/>
          <w:sz w:val="22"/>
          <w:szCs w:val="22"/>
        </w:rPr>
        <w:t xml:space="preserve">Exception — Droit de rétractation des petits professionnels : conformément à l'article L.221-3 du Code de la consommation, tout professionnel de moins de 5 salariés dont le contrat est conclu hors établissement (par téléphone, messagerie, Instagram, WhatsApp, etc.) bénéficie d'un délai de rétractation de 14 jours. Si le client souhaite que les travaux démarrent avant l'expiration de ce délai, il doit formuler par écrit la déclaration suivante : "Je demande expressément l'exécution immédiate de la prestation avant la fin du délai de rétractation et reconnais perdre mon droit de rétractation une fois la prestation pleinement exécutée." Cette déclaration doit être transmise par email ou message écrit avant tout démarrage des travaux.</w:t>
      </w:r>
    </w:p>
    <w:p>
      <w:pPr>
        <w:spacing w:after="100" w:before="100"/>
        <w:jc w:val="both"/>
      </w:pPr>
      <w:r>
        <w:rPr>
          <w:rFonts w:ascii="Arial" w:cs="Arial" w:eastAsia="Arial" w:hAnsi="Arial"/>
          <w:sz w:val="22"/>
          <w:szCs w:val="22"/>
        </w:rPr>
        <w:t xml:space="preserve">Ces CGV prévalent sur tout autre document du client.</w:t>
      </w:r>
    </w:p>
    <w:p>
      <w:pPr>
        <w:pBdr>
          <w:bottom w:val="single" w:color="CCCCCC" w:sz="4" w:space="1"/>
        </w:pBdr>
        <w:spacing w:after="200" w:before="200"/>
      </w:pPr>
    </w:p>
    <w:p>
      <w:pPr>
        <w:pStyle w:val="Heading1"/>
        <w:spacing w:after="200" w:before="400"/>
      </w:pPr>
      <w:r>
        <w:rPr>
          <w:rFonts w:ascii="Arial" w:cs="Arial" w:eastAsia="Arial" w:hAnsi="Arial"/>
          <w:b/>
          <w:bCs/>
          <w:sz w:val="28"/>
          <w:szCs w:val="28"/>
        </w:rPr>
        <w:t xml:space="preserve">Article 2 — Description des offres et livrables</w:t>
      </w:r>
    </w:p>
    <w:p>
      <w:pPr>
        <w:spacing w:after="100" w:before="100"/>
        <w:jc w:val="both"/>
      </w:pPr>
      <w:r>
        <w:rPr>
          <w:rFonts w:ascii="Arial" w:cs="Arial" w:eastAsia="Arial" w:hAnsi="Arial"/>
          <w:sz w:val="22"/>
          <w:szCs w:val="22"/>
        </w:rPr>
        <w:t xml:space="preserve">Le tableau ci-dessous récapitule précisément ce qui est inclus dans chaque offre. Toute fonctionnalité non mentionnée est exclue et fait l'objet d'un devis séparé.</w:t>
      </w:r>
    </w:p>
    <w:p>
      <w:pPr>
        <w:spacing w:after="20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713"/>
        <w:gridCol w:w="2713"/>
      </w:tblGrid>
      <w:tr>
        <w:tc>
          <w:tcPr>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Élément livré</w:t>
            </w:r>
          </w:p>
        </w:tc>
        <w:tc>
          <w:tcPr>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One-shot 700 €</w:t>
            </w:r>
          </w:p>
        </w:tc>
        <w:tc>
          <w:tcPr>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Abonnement 69 €/mois</w:t>
            </w:r>
          </w:p>
        </w:tc>
      </w:tr>
      <w:tr>
        <w:tc>
          <w:tcPr>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000000"/>
                <w:sz w:val="20"/>
                <w:szCs w:val="20"/>
              </w:rPr>
              <w:t xml:space="preserve">Frais de mise en service</w:t>
            </w:r>
          </w:p>
        </w:tc>
        <w:tc>
          <w:tcPr>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Inclus dans les 700 €</w:t>
            </w:r>
          </w:p>
        </w:tc>
        <w:tc>
          <w:tcPr>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Aucun — création incluse dans le premier mois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Design sur mesure responsive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Oui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Oui</w:t>
            </w:r>
          </w:p>
        </w:tc>
      </w:tr>
      <w:tr>
        <w:tc>
          <w:tcPr>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000000"/>
                <w:sz w:val="20"/>
                <w:szCs w:val="20"/>
              </w:rPr>
              <w:t xml:space="preserve">Nombre de pages incluses</w:t>
            </w:r>
          </w:p>
        </w:tc>
        <w:tc>
          <w:tcPr>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5 à 7 pages</w:t>
            </w:r>
          </w:p>
        </w:tc>
        <w:tc>
          <w:tcPr>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5 à 7 pages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Formulaire de contact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Oui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Oui</w:t>
            </w:r>
          </w:p>
        </w:tc>
      </w:tr>
      <w:tr>
        <w:tc>
          <w:tcPr>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000000"/>
                <w:sz w:val="20"/>
                <w:szCs w:val="20"/>
              </w:rPr>
              <w:t xml:space="preserve">Interface d'administration client</w:t>
            </w:r>
          </w:p>
        </w:tc>
        <w:tc>
          <w:tcPr>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Oui</w:t>
            </w:r>
          </w:p>
        </w:tc>
        <w:tc>
          <w:tcPr>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Oui</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Contenus modifiables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Textes, photos, horaires, coordonnées, couleurs et polices dans le cadre du design livré</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Textes, photos, horaires, coordonnées, couleurs et polices dans le cadre du design livré</w:t>
            </w:r>
          </w:p>
        </w:tc>
      </w:tr>
      <w:tr>
        <w:tc>
          <w:tcPr>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000000"/>
                <w:sz w:val="20"/>
                <w:szCs w:val="20"/>
              </w:rPr>
              <w:t xml:space="preserve">Mentions légales / confidentialité / cookies</w:t>
            </w:r>
          </w:p>
        </w:tc>
        <w:tc>
          <w:tcPr>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Inclus (sur base des infos client)</w:t>
            </w:r>
          </w:p>
        </w:tc>
        <w:tc>
          <w:tcPr>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Inclus (sur base des infos client)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Fichiers sources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Livrés après paiement intégral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 — transférables après 12 mois honorés et paiement intégral</w:t>
            </w:r>
          </w:p>
        </w:tc>
      </w:tr>
      <w:tr>
        <w:tc>
          <w:tcPr>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000000"/>
                <w:sz w:val="20"/>
                <w:szCs w:val="20"/>
              </w:rPr>
              <w:t xml:space="preserve">Hébergement</w:t>
            </w:r>
          </w:p>
        </w:tc>
        <w:tc>
          <w:tcPr>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Non inclus</w:t>
            </w:r>
          </w:p>
        </w:tc>
        <w:tc>
          <w:tcPr>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Inclus — jusqu'à 100 Go bande passante/mois (plan standard)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Nom de domaine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 inclus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Inclus — extensions .fr/.com/.net/.eu/.org jusqu'à 15 €/an</w:t>
            </w:r>
          </w:p>
        </w:tc>
      </w:tr>
      <w:tr>
        <w:tc>
          <w:tcPr>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000000"/>
                <w:sz w:val="20"/>
                <w:szCs w:val="20"/>
              </w:rPr>
              <w:t xml:space="preserve">Emails professionnels</w:t>
            </w:r>
          </w:p>
        </w:tc>
        <w:tc>
          <w:tcPr>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Non inclus — sur devis</w:t>
            </w:r>
          </w:p>
        </w:tc>
        <w:tc>
          <w:tcPr>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Non inclus — sur devis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Sauvegarde mensuelle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Oui — conservée 30 jours</w:t>
            </w:r>
          </w:p>
        </w:tc>
      </w:tr>
      <w:tr>
        <w:tc>
          <w:tcPr>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000000"/>
                <w:sz w:val="20"/>
                <w:szCs w:val="20"/>
              </w:rPr>
              <w:t xml:space="preserve">Formation prise en main</w:t>
            </w:r>
          </w:p>
        </w:tc>
        <w:tc>
          <w:tcPr>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Oui — 30 min à la livraison</w:t>
            </w:r>
          </w:p>
        </w:tc>
        <w:tc>
          <w:tcPr>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Non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Support WhatsApp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Jour de la livraison uniquement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Lun-Ven 9h-18h, hors jours fériés — urgences exclues</w:t>
            </w:r>
          </w:p>
        </w:tc>
      </w:tr>
      <w:tr>
        <w:tc>
          <w:tcPr>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000000"/>
                <w:sz w:val="20"/>
                <w:szCs w:val="20"/>
              </w:rPr>
              <w:t xml:space="preserve">Modifications de contenu</w:t>
            </w:r>
          </w:p>
        </w:tc>
        <w:tc>
          <w:tcPr>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2 révisions incluses, puis 50 €/h</w:t>
            </w:r>
          </w:p>
        </w:tc>
        <w:tc>
          <w:tcPr>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5 demandes/mois non reportables, puis 30 €/demande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SEO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Titres, metas, structure Hn, indexation, sitemap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Idem + optimisation régulière — sans garantie de position</w:t>
            </w:r>
          </w:p>
        </w:tc>
      </w:tr>
      <w:tr>
        <w:tc>
          <w:tcPr>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000000"/>
                <w:sz w:val="20"/>
                <w:szCs w:val="20"/>
              </w:rPr>
              <w:t xml:space="preserve">Système de réservation</w:t>
            </w:r>
          </w:p>
        </w:tc>
        <w:tc>
          <w:tcPr>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Non inclus — sur devis</w:t>
            </w:r>
          </w:p>
        </w:tc>
        <w:tc>
          <w:tcPr>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Non inclus — sur devis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Migration hébergeur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 applicable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Forfait 150 €</w:t>
            </w:r>
          </w:p>
        </w:tc>
      </w:tr>
      <w:tr>
        <w:tc>
          <w:tcPr>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000000"/>
                <w:sz w:val="20"/>
                <w:szCs w:val="20"/>
              </w:rPr>
              <w:t xml:space="preserve">Paiement en ligne / e-commerce</w:t>
            </w:r>
          </w:p>
        </w:tc>
        <w:tc>
          <w:tcPr>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Non — sur devis</w:t>
            </w:r>
          </w:p>
        </w:tc>
        <w:tc>
          <w:tcPr>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Non — sur devis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Espace membre / tunnel de vente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 — sur devis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 — sur devis</w:t>
            </w:r>
          </w:p>
        </w:tc>
      </w:tr>
    </w:tbl>
    <w:p>
      <w:pPr>
        <w:spacing w:after="200" w:before="200"/>
      </w:pPr>
    </w:p>
    <w:p>
      <w:pPr>
        <w:pStyle w:val="Heading2"/>
        <w:spacing w:after="160" w:before="300"/>
      </w:pPr>
      <w:r>
        <w:rPr>
          <w:rFonts w:ascii="Arial" w:cs="Arial" w:eastAsia="Arial" w:hAnsi="Arial"/>
          <w:b/>
          <w:bCs/>
          <w:sz w:val="24"/>
          <w:szCs w:val="24"/>
        </w:rPr>
        <w:t xml:space="preserve">2.1 — Offre One-shot (700 €)</w:t>
      </w:r>
    </w:p>
    <w:p>
      <w:pPr>
        <w:spacing w:after="100" w:before="100"/>
        <w:jc w:val="both"/>
      </w:pPr>
      <w:r>
        <w:rPr>
          <w:rFonts w:ascii="Arial" w:cs="Arial" w:eastAsia="Arial" w:hAnsi="Arial"/>
          <w:sz w:val="22"/>
          <w:szCs w:val="22"/>
        </w:rPr>
        <w:t xml:space="preserve">Création complète d'un site web vitrine sur mesure de 5 à 7 pages, paiement unique. Le client devient propriétaire du code et du design custom après paiement intégral, à l'exclusion des composants, librairies, polices et ressources tiers soumis à leurs propres licences open source ou Creative Commons.</w:t>
      </w:r>
    </w:p>
    <w:p>
      <w:pPr>
        <w:spacing w:after="100" w:before="100"/>
        <w:jc w:val="both"/>
      </w:pPr>
      <w:r>
        <w:rPr>
          <w:rFonts w:ascii="Arial" w:cs="Arial" w:eastAsia="Arial" w:hAnsi="Arial"/>
          <w:sz w:val="22"/>
          <w:szCs w:val="22"/>
        </w:rPr>
        <w:t xml:space="preserve">Les 2 révisions incluses sont définies comme des modifications simples portant sur un même élément ou une même page. Une révision = une demande portant sur un seul élément ou une seule page. Sont exclus : changement de direction artistique, ajout de pages ou fonctionnalités — sur devis séparé.</w:t>
      </w:r>
    </w:p>
    <w:p>
      <w:pPr>
        <w:spacing w:after="100" w:before="100"/>
        <w:jc w:val="both"/>
      </w:pPr>
      <w:r>
        <w:rPr>
          <w:rFonts w:ascii="Arial" w:cs="Arial" w:eastAsia="Arial" w:hAnsi="Arial"/>
          <w:sz w:val="22"/>
          <w:szCs w:val="22"/>
        </w:rPr>
        <w:t xml:space="preserve">Formation de 30 minutes incluse le jour de la livraison. Aucun support WhatsApp après ce jour.</w:t>
      </w:r>
    </w:p>
    <w:p>
      <w:pPr>
        <w:spacing w:after="100" w:before="100"/>
        <w:jc w:val="both"/>
      </w:pPr>
      <w:r>
        <w:rPr>
          <w:rFonts w:ascii="Arial" w:cs="Arial" w:eastAsia="Arial" w:hAnsi="Arial"/>
          <w:sz w:val="22"/>
          <w:szCs w:val="22"/>
        </w:rPr>
        <w:t xml:space="preserve">Mentions légales, politique de confidentialité et bandeau cookies inclus sur base des informations fournies par le client — aide documentaire et technique uniquement, pas un audit juridique.</w:t>
      </w:r>
    </w:p>
    <w:p>
      <w:pPr>
        <w:pStyle w:val="Heading2"/>
        <w:spacing w:after="160" w:before="300"/>
      </w:pPr>
      <w:r>
        <w:rPr>
          <w:rFonts w:ascii="Arial" w:cs="Arial" w:eastAsia="Arial" w:hAnsi="Arial"/>
          <w:b/>
          <w:bCs/>
          <w:sz w:val="24"/>
          <w:szCs w:val="24"/>
        </w:rPr>
        <w:t xml:space="preserve">2.2 — Offre Abonnement (69 €/mois — engagement 12 mois minimum)</w:t>
      </w:r>
    </w:p>
    <w:p>
      <w:pPr>
        <w:spacing w:after="100" w:before="100"/>
        <w:jc w:val="both"/>
      </w:pPr>
      <w:r>
        <w:rPr>
          <w:rFonts w:ascii="Arial" w:cs="Arial" w:eastAsia="Arial" w:hAnsi="Arial"/>
          <w:sz w:val="22"/>
          <w:szCs w:val="22"/>
        </w:rPr>
        <w:t xml:space="preserve">Aucun frais de mise en service. La création complète du site est incluse dans le premier mois. Le client paie 69 €/mois dès la signature, création incluse.</w:t>
      </w:r>
    </w:p>
    <w:p>
      <w:pPr>
        <w:spacing w:after="100" w:before="100"/>
        <w:jc w:val="both"/>
      </w:pPr>
      <w:r>
        <w:rPr>
          <w:rFonts w:ascii="Arial" w:cs="Arial" w:eastAsia="Arial" w:hAnsi="Arial"/>
          <w:sz w:val="22"/>
          <w:szCs w:val="22"/>
        </w:rPr>
        <w:t xml:space="preserve">Support WhatsApp disponible du lundi au vendredi de 9h à 18h, hors jours fériés. Interventions urgentes hors de ces horaires non incluses et facturables séparément.</w:t>
      </w:r>
    </w:p>
    <w:p>
      <w:pPr>
        <w:spacing w:after="100" w:before="100"/>
        <w:jc w:val="both"/>
      </w:pPr>
      <w:r>
        <w:rPr>
          <w:rFonts w:ascii="Arial" w:cs="Arial" w:eastAsia="Arial" w:hAnsi="Arial"/>
          <w:sz w:val="22"/>
          <w:szCs w:val="22"/>
        </w:rPr>
        <w:t xml:space="preserve">SEO de base : optimisation des titres, meta descriptions, structure Hn, indexation et sitemap XML. Sans garantie de positionnement Google.</w:t>
      </w:r>
    </w:p>
    <w:p>
      <w:pPr>
        <w:spacing w:after="100" w:before="100"/>
        <w:jc w:val="both"/>
      </w:pPr>
      <w:r>
        <w:rPr>
          <w:rFonts w:ascii="Arial" w:cs="Arial" w:eastAsia="Arial" w:hAnsi="Arial"/>
          <w:sz w:val="22"/>
          <w:szCs w:val="22"/>
        </w:rPr>
        <w:t xml:space="preserve">Demandes de modification : une demande = une modification simple portant sur un même élément ou une même page. Limite de 5 demandes par mois calendaire, non reportables au mois suivant. Les demandes non utilisées sont perdues. Au-delà : 30 € par demande supplémentaire.</w:t>
      </w:r>
    </w:p>
    <w:p>
      <w:pPr>
        <w:spacing w:after="100" w:before="100"/>
        <w:jc w:val="both"/>
      </w:pPr>
      <w:r>
        <w:rPr>
          <w:rFonts w:ascii="Arial" w:cs="Arial" w:eastAsia="Arial" w:hAnsi="Arial"/>
          <w:sz w:val="22"/>
          <w:szCs w:val="22"/>
        </w:rPr>
        <w:t xml:space="preserve">Hébergement inclus jusqu'à 100 Go de bande passante par mois (limites du plan technique standard). En cas de dépassement, Mirifica Studio se réserve le droit d'ajuster la facturation après information préalable du client.</w:t>
      </w:r>
    </w:p>
    <w:p>
      <w:pPr>
        <w:spacing w:after="100" w:before="100"/>
        <w:jc w:val="both"/>
      </w:pPr>
      <w:r>
        <w:rPr>
          <w:rFonts w:ascii="Arial" w:cs="Arial" w:eastAsia="Arial" w:hAnsi="Arial"/>
          <w:sz w:val="22"/>
          <w:szCs w:val="22"/>
        </w:rPr>
        <w:t xml:space="preserve">Nom de domaine inclus pour les extensions classiques (.fr, .com, .net, .eu, .org) jusqu'à 15 €/an. Toute extension premium ou tarif annuel supérieur fera l'objet d'une facturation complémentaire au client.</w:t>
      </w:r>
    </w:p>
    <w:p>
      <w:pPr>
        <w:spacing w:after="100" w:before="100"/>
        <w:jc w:val="both"/>
      </w:pPr>
      <w:r>
        <w:rPr>
          <w:rFonts w:ascii="Arial" w:cs="Arial" w:eastAsia="Arial" w:hAnsi="Arial"/>
          <w:sz w:val="22"/>
          <w:szCs w:val="22"/>
        </w:rPr>
        <w:t xml:space="preserve">Fichiers sources non livrés pendant l'abonnement. Transférables uniquement après 12 mois honorés et règlement intégral, dans un délai de 30 jours.</w:t>
      </w:r>
    </w:p>
    <w:p>
      <w:pPr>
        <w:spacing w:after="100" w:before="100"/>
        <w:jc w:val="both"/>
      </w:pPr>
      <w:r>
        <w:rPr>
          <w:rFonts w:ascii="Arial" w:cs="Arial" w:eastAsia="Arial" w:hAnsi="Arial"/>
          <w:sz w:val="22"/>
          <w:szCs w:val="22"/>
        </w:rPr>
        <w:t xml:space="preserve">En cas de résiliation avant 12 mois : site suspendu à la date de fin de contrat. Fichiers sources non disponibles avant la fin de la période d'engagement honorée. Nom de domaine transféré dans les 30 jours après règlement intégral.</w:t>
      </w:r>
    </w:p>
    <w:p>
      <w:pPr>
        <w:spacing w:after="100" w:before="100"/>
        <w:jc w:val="both"/>
      </w:pPr>
      <w:r>
        <w:rPr>
          <w:rFonts w:ascii="Arial" w:cs="Arial" w:eastAsia="Arial" w:hAnsi="Arial"/>
          <w:sz w:val="22"/>
          <w:szCs w:val="22"/>
        </w:rPr>
        <w:t xml:space="preserve">Emails professionnels non inclus — configuration possible sur devis.</w:t>
      </w:r>
    </w:p>
    <w:p>
      <w:pPr>
        <w:spacing w:after="100" w:before="100"/>
        <w:jc w:val="both"/>
      </w:pPr>
      <w:r>
        <w:rPr>
          <w:rFonts w:ascii="Arial" w:cs="Arial" w:eastAsia="Arial" w:hAnsi="Arial"/>
          <w:sz w:val="22"/>
          <w:szCs w:val="22"/>
        </w:rPr>
        <w:t xml:space="preserve">Migration vers autre hébergeur : forfait 150 €. L'hébergement après migration est à la charge exclusive du client.</w:t>
      </w:r>
    </w:p>
    <w:p>
      <w:pPr>
        <w:spacing w:after="100" w:before="100"/>
        <w:jc w:val="both"/>
      </w:pPr>
      <w:r>
        <w:rPr>
          <w:rFonts w:ascii="Arial" w:cs="Arial" w:eastAsia="Arial" w:hAnsi="Arial"/>
          <w:sz w:val="22"/>
          <w:szCs w:val="22"/>
        </w:rPr>
        <w:t xml:space="preserve">Sauvegarde mensuelle conservée 30 jours.</w:t>
      </w:r>
    </w:p>
    <w:p>
      <w:pPr>
        <w:spacing w:after="100" w:before="100"/>
        <w:jc w:val="both"/>
      </w:pPr>
      <w:r>
        <w:rPr>
          <w:rFonts w:ascii="Arial" w:cs="Arial" w:eastAsia="Arial" w:hAnsi="Arial"/>
          <w:sz w:val="22"/>
          <w:szCs w:val="22"/>
        </w:rPr>
        <w:t xml:space="preserve">Mentions légales, politique de confidentialité et bandeau cookies inclus sur base des informations fournies par le client — aide documentaire et technique uniquement.</w:t>
      </w:r>
    </w:p>
    <w:p>
      <w:pPr>
        <w:pBdr>
          <w:bottom w:val="single" w:color="CCCCCC" w:sz="4" w:space="1"/>
        </w:pBdr>
        <w:spacing w:after="200" w:before="200"/>
      </w:pPr>
    </w:p>
    <w:p>
      <w:pPr>
        <w:pStyle w:val="Heading1"/>
        <w:spacing w:after="200" w:before="400"/>
      </w:pPr>
      <w:r>
        <w:rPr>
          <w:rFonts w:ascii="Arial" w:cs="Arial" w:eastAsia="Arial" w:hAnsi="Arial"/>
          <w:b/>
          <w:bCs/>
          <w:sz w:val="28"/>
          <w:szCs w:val="28"/>
        </w:rPr>
        <w:t xml:space="preserve">Article 3 — Prestations hors périmètre</w:t>
      </w:r>
    </w:p>
    <w:p>
      <w:pPr>
        <w:spacing w:after="100" w:before="100"/>
        <w:jc w:val="both"/>
      </w:pPr>
      <w:r>
        <w:rPr>
          <w:rFonts w:ascii="Arial" w:cs="Arial" w:eastAsia="Arial" w:hAnsi="Arial"/>
          <w:sz w:val="22"/>
          <w:szCs w:val="22"/>
        </w:rPr>
        <w:t xml:space="preserve">Les prestations suivantes ne sont pas incluses dans les offres standard et font l'objet d'un devis séparé :</w:t>
      </w:r>
    </w:p>
    <w:p>
      <w:pPr>
        <w:pStyle w:val="ListParagraph"/>
        <w:numPr>
          <w:ilvl w:val="0"/>
          <w:numId w:val="2"/>
        </w:numPr>
        <w:spacing w:after="60" w:before="60"/>
      </w:pPr>
      <w:r>
        <w:rPr>
          <w:rFonts w:ascii="Arial" w:cs="Arial" w:eastAsia="Arial" w:hAnsi="Arial"/>
          <w:sz w:val="22"/>
          <w:szCs w:val="22"/>
        </w:rPr>
        <w:t xml:space="preserve">Système de réservation en ligne</w:t>
      </w:r>
    </w:p>
    <w:p>
      <w:pPr>
        <w:pStyle w:val="ListParagraph"/>
        <w:numPr>
          <w:ilvl w:val="0"/>
          <w:numId w:val="2"/>
        </w:numPr>
        <w:spacing w:after="60" w:before="60"/>
      </w:pPr>
      <w:r>
        <w:rPr>
          <w:rFonts w:ascii="Arial" w:cs="Arial" w:eastAsia="Arial" w:hAnsi="Arial"/>
          <w:sz w:val="22"/>
          <w:szCs w:val="22"/>
        </w:rPr>
        <w:t xml:space="preserve">Paiement en ligne et e-commerce</w:t>
      </w:r>
    </w:p>
    <w:p>
      <w:pPr>
        <w:pStyle w:val="ListParagraph"/>
        <w:numPr>
          <w:ilvl w:val="0"/>
          <w:numId w:val="2"/>
        </w:numPr>
        <w:spacing w:after="60" w:before="60"/>
      </w:pPr>
      <w:r>
        <w:rPr>
          <w:rFonts w:ascii="Arial" w:cs="Arial" w:eastAsia="Arial" w:hAnsi="Arial"/>
          <w:sz w:val="22"/>
          <w:szCs w:val="22"/>
        </w:rPr>
        <w:t xml:space="preserve">Tunnel de vente</w:t>
      </w:r>
    </w:p>
    <w:p>
      <w:pPr>
        <w:pStyle w:val="ListParagraph"/>
        <w:numPr>
          <w:ilvl w:val="0"/>
          <w:numId w:val="2"/>
        </w:numPr>
        <w:spacing w:after="60" w:before="60"/>
      </w:pPr>
      <w:r>
        <w:rPr>
          <w:rFonts w:ascii="Arial" w:cs="Arial" w:eastAsia="Arial" w:hAnsi="Arial"/>
          <w:sz w:val="22"/>
          <w:szCs w:val="22"/>
        </w:rPr>
        <w:t xml:space="preserve">Site multilingue</w:t>
      </w:r>
    </w:p>
    <w:p>
      <w:pPr>
        <w:pStyle w:val="ListParagraph"/>
        <w:numPr>
          <w:ilvl w:val="0"/>
          <w:numId w:val="2"/>
        </w:numPr>
        <w:spacing w:after="60" w:before="60"/>
      </w:pPr>
      <w:r>
        <w:rPr>
          <w:rFonts w:ascii="Arial" w:cs="Arial" w:eastAsia="Arial" w:hAnsi="Arial"/>
          <w:sz w:val="22"/>
          <w:szCs w:val="22"/>
        </w:rPr>
        <w:t xml:space="preserve">Espace membre</w:t>
      </w:r>
    </w:p>
    <w:p>
      <w:pPr>
        <w:pStyle w:val="ListParagraph"/>
        <w:numPr>
          <w:ilvl w:val="0"/>
          <w:numId w:val="2"/>
        </w:numPr>
        <w:spacing w:after="60" w:before="60"/>
      </w:pPr>
      <w:r>
        <w:rPr>
          <w:rFonts w:ascii="Arial" w:cs="Arial" w:eastAsia="Arial" w:hAnsi="Arial"/>
          <w:sz w:val="22"/>
          <w:szCs w:val="22"/>
        </w:rPr>
        <w:t xml:space="preserve">Automatisations et intégrations API complexes</w:t>
      </w:r>
    </w:p>
    <w:p>
      <w:pPr>
        <w:pStyle w:val="ListParagraph"/>
        <w:numPr>
          <w:ilvl w:val="0"/>
          <w:numId w:val="2"/>
        </w:numPr>
        <w:spacing w:after="60" w:before="60"/>
      </w:pPr>
      <w:r>
        <w:rPr>
          <w:rFonts w:ascii="Arial" w:cs="Arial" w:eastAsia="Arial" w:hAnsi="Arial"/>
          <w:sz w:val="22"/>
          <w:szCs w:val="22"/>
        </w:rPr>
        <w:t xml:space="preserve">Copywriting et rédaction de contenus</w:t>
      </w:r>
    </w:p>
    <w:p>
      <w:pPr>
        <w:pStyle w:val="ListParagraph"/>
        <w:numPr>
          <w:ilvl w:val="0"/>
          <w:numId w:val="2"/>
        </w:numPr>
        <w:spacing w:after="60" w:before="60"/>
      </w:pPr>
      <w:r>
        <w:rPr>
          <w:rFonts w:ascii="Arial" w:cs="Arial" w:eastAsia="Arial" w:hAnsi="Arial"/>
          <w:sz w:val="22"/>
          <w:szCs w:val="22"/>
        </w:rPr>
        <w:t xml:space="preserve">Création de logo et identité visuelle</w:t>
      </w:r>
    </w:p>
    <w:p>
      <w:pPr>
        <w:pStyle w:val="ListParagraph"/>
        <w:numPr>
          <w:ilvl w:val="0"/>
          <w:numId w:val="2"/>
        </w:numPr>
        <w:spacing w:after="60" w:before="60"/>
      </w:pPr>
      <w:r>
        <w:rPr>
          <w:rFonts w:ascii="Arial" w:cs="Arial" w:eastAsia="Arial" w:hAnsi="Arial"/>
          <w:sz w:val="22"/>
          <w:szCs w:val="22"/>
        </w:rPr>
        <w:t xml:space="preserve">Photographie et retouche d'images</w:t>
      </w:r>
    </w:p>
    <w:p>
      <w:pPr>
        <w:pStyle w:val="ListParagraph"/>
        <w:numPr>
          <w:ilvl w:val="0"/>
          <w:numId w:val="2"/>
        </w:numPr>
        <w:spacing w:after="60" w:before="60"/>
      </w:pPr>
      <w:r>
        <w:rPr>
          <w:rFonts w:ascii="Arial" w:cs="Arial" w:eastAsia="Arial" w:hAnsi="Arial"/>
          <w:sz w:val="22"/>
          <w:szCs w:val="22"/>
        </w:rPr>
        <w:t xml:space="preserve">Configuration d'emails professionnels</w:t>
      </w:r>
    </w:p>
    <w:p>
      <w:pPr>
        <w:pStyle w:val="ListParagraph"/>
        <w:numPr>
          <w:ilvl w:val="0"/>
          <w:numId w:val="2"/>
        </w:numPr>
        <w:spacing w:after="60" w:before="60"/>
      </w:pPr>
      <w:r>
        <w:rPr>
          <w:rFonts w:ascii="Arial" w:cs="Arial" w:eastAsia="Arial" w:hAnsi="Arial"/>
          <w:sz w:val="22"/>
          <w:szCs w:val="22"/>
        </w:rPr>
        <w:t xml:space="preserve">Publicité en ligne (Google Ads, Meta Ads)</w:t>
      </w:r>
    </w:p>
    <w:p>
      <w:pPr>
        <w:pStyle w:val="ListParagraph"/>
        <w:numPr>
          <w:ilvl w:val="0"/>
          <w:numId w:val="2"/>
        </w:numPr>
        <w:spacing w:after="60" w:before="60"/>
      </w:pPr>
      <w:r>
        <w:rPr>
          <w:rFonts w:ascii="Arial" w:cs="Arial" w:eastAsia="Arial" w:hAnsi="Arial"/>
          <w:sz w:val="22"/>
          <w:szCs w:val="22"/>
        </w:rPr>
        <w:t xml:space="preserve">Audit juridique RGPD complet</w:t>
      </w:r>
    </w:p>
    <w:p>
      <w:pPr>
        <w:pBdr>
          <w:bottom w:val="single" w:color="CCCCCC" w:sz="4" w:space="1"/>
        </w:pBdr>
        <w:spacing w:after="200" w:before="200"/>
      </w:pPr>
    </w:p>
    <w:p>
      <w:pPr>
        <w:pStyle w:val="Heading1"/>
        <w:spacing w:after="200" w:before="400"/>
      </w:pPr>
      <w:r>
        <w:rPr>
          <w:rFonts w:ascii="Arial" w:cs="Arial" w:eastAsia="Arial" w:hAnsi="Arial"/>
          <w:b/>
          <w:bCs/>
          <w:sz w:val="28"/>
          <w:szCs w:val="28"/>
        </w:rPr>
        <w:t xml:space="preserve">Article 4 — Accès et coopération client</w:t>
      </w:r>
    </w:p>
    <w:p>
      <w:pPr>
        <w:spacing w:after="100" w:before="100"/>
        <w:jc w:val="both"/>
      </w:pPr>
      <w:r>
        <w:rPr>
          <w:rFonts w:ascii="Arial" w:cs="Arial" w:eastAsia="Arial" w:hAnsi="Arial"/>
          <w:sz w:val="22"/>
          <w:szCs w:val="22"/>
        </w:rPr>
        <w:t xml:space="preserve">Pour certaines prestations, le client peut être amené à fournir des accès à des services tiers : registrar, hébergeur, Google Business Profile, réseaux sociaux, outils tiers, etc.</w:t>
      </w:r>
    </w:p>
    <w:p>
      <w:pPr>
        <w:spacing w:after="100" w:before="100"/>
        <w:jc w:val="both"/>
      </w:pPr>
      <w:r>
        <w:rPr>
          <w:rFonts w:ascii="Arial" w:cs="Arial" w:eastAsia="Arial" w:hAnsi="Arial"/>
          <w:sz w:val="22"/>
          <w:szCs w:val="22"/>
        </w:rPr>
        <w:t xml:space="preserve">Le client s'engage à fournir des accès valides, complets et fonctionnels dans les délais convenus. Mirifica Studio ne saurait être tenu responsable de tout retard ou dysfonctionnement résultant d'accès erronés, incomplets, expirés ou bloqués.</w:t>
      </w:r>
    </w:p>
    <w:p>
      <w:pPr>
        <w:spacing w:after="100" w:before="100"/>
        <w:jc w:val="both"/>
      </w:pPr>
      <w:r>
        <w:rPr>
          <w:rFonts w:ascii="Arial" w:cs="Arial" w:eastAsia="Arial" w:hAnsi="Arial"/>
          <w:sz w:val="22"/>
          <w:szCs w:val="22"/>
        </w:rPr>
        <w:t xml:space="preserve">Mirifica Studio s'engage à traiter ces accès avec confidentialité et à ne les utiliser que dans le cadre strict de la prestation commandée.</w:t>
      </w:r>
    </w:p>
    <w:p>
      <w:pPr>
        <w:pBdr>
          <w:bottom w:val="single" w:color="CCCCCC" w:sz="4" w:space="1"/>
        </w:pBdr>
        <w:spacing w:after="200" w:before="200"/>
      </w:pPr>
    </w:p>
    <w:p>
      <w:pPr>
        <w:pStyle w:val="Heading1"/>
        <w:spacing w:after="200" w:before="400"/>
      </w:pPr>
      <w:r>
        <w:rPr>
          <w:rFonts w:ascii="Arial" w:cs="Arial" w:eastAsia="Arial" w:hAnsi="Arial"/>
          <w:b/>
          <w:bCs/>
          <w:sz w:val="28"/>
          <w:szCs w:val="28"/>
        </w:rPr>
        <w:t xml:space="preserve">Article 5 — Tarifs et conditions de paiement</w:t>
      </w:r>
    </w:p>
    <w:p>
      <w:pPr>
        <w:pStyle w:val="Heading2"/>
        <w:spacing w:after="160" w:before="300"/>
      </w:pPr>
      <w:r>
        <w:rPr>
          <w:rFonts w:ascii="Arial" w:cs="Arial" w:eastAsia="Arial" w:hAnsi="Arial"/>
          <w:b/>
          <w:bCs/>
          <w:sz w:val="24"/>
          <w:szCs w:val="24"/>
        </w:rPr>
        <w:t xml:space="preserve">5.1 — Offre One-shot</w:t>
      </w:r>
    </w:p>
    <w:p>
      <w:pPr>
        <w:pStyle w:val="ListParagraph"/>
        <w:numPr>
          <w:ilvl w:val="0"/>
          <w:numId w:val="3"/>
        </w:numPr>
        <w:spacing w:after="60" w:before="60"/>
      </w:pPr>
      <w:r>
        <w:rPr>
          <w:rFonts w:ascii="Arial" w:cs="Arial" w:eastAsia="Arial" w:hAnsi="Arial"/>
          <w:sz w:val="22"/>
          <w:szCs w:val="22"/>
        </w:rPr>
        <w:t xml:space="preserve">Acompte de 50 % (350 €) dû à la signature, avant tout démarrage des travaux.</w:t>
      </w:r>
    </w:p>
    <w:p>
      <w:pPr>
        <w:pStyle w:val="ListParagraph"/>
        <w:numPr>
          <w:ilvl w:val="0"/>
          <w:numId w:val="3"/>
        </w:numPr>
        <w:spacing w:after="60" w:before="60"/>
      </w:pPr>
      <w:r>
        <w:rPr>
          <w:rFonts w:ascii="Arial" w:cs="Arial" w:eastAsia="Arial" w:hAnsi="Arial"/>
          <w:sz w:val="22"/>
          <w:szCs w:val="22"/>
        </w:rPr>
        <w:t xml:space="preserve">Solde de 50 % (350 €) dû à la livraison, avant mise en ligne.</w:t>
      </w:r>
    </w:p>
    <w:p>
      <w:pPr>
        <w:pStyle w:val="ListParagraph"/>
        <w:numPr>
          <w:ilvl w:val="0"/>
          <w:numId w:val="3"/>
        </w:numPr>
        <w:spacing w:after="60" w:before="60"/>
      </w:pPr>
      <w:r>
        <w:rPr>
          <w:rFonts w:ascii="Arial" w:cs="Arial" w:eastAsia="Arial" w:hAnsi="Arial"/>
          <w:sz w:val="22"/>
          <w:szCs w:val="22"/>
        </w:rPr>
        <w:t xml:space="preserve">Aucun travail ne sera démarré avant réception de l'acompte.</w:t>
      </w:r>
    </w:p>
    <w:p>
      <w:pPr>
        <w:pStyle w:val="ListParagraph"/>
        <w:numPr>
          <w:ilvl w:val="0"/>
          <w:numId w:val="3"/>
        </w:numPr>
        <w:spacing w:after="60" w:before="60"/>
      </w:pPr>
      <w:r>
        <w:rPr>
          <w:rFonts w:ascii="Arial" w:cs="Arial" w:eastAsia="Arial" w:hAnsi="Arial"/>
          <w:sz w:val="22"/>
          <w:szCs w:val="22"/>
        </w:rPr>
        <w:t xml:space="preserve">Modifications supplémentaires après les 2 révisions incluses : 50 €/heure.</w:t>
      </w:r>
    </w:p>
    <w:p>
      <w:pPr>
        <w:pStyle w:val="Heading2"/>
        <w:spacing w:after="160" w:before="300"/>
      </w:pPr>
      <w:r>
        <w:rPr>
          <w:rFonts w:ascii="Arial" w:cs="Arial" w:eastAsia="Arial" w:hAnsi="Arial"/>
          <w:b/>
          <w:bCs/>
          <w:sz w:val="24"/>
          <w:szCs w:val="24"/>
        </w:rPr>
        <w:t xml:space="preserve">5.2 — Offre Abonnement</w:t>
      </w:r>
    </w:p>
    <w:p>
      <w:pPr>
        <w:pStyle w:val="ListParagraph"/>
        <w:numPr>
          <w:ilvl w:val="0"/>
          <w:numId w:val="4"/>
        </w:numPr>
        <w:spacing w:after="60" w:before="60"/>
      </w:pPr>
      <w:r>
        <w:rPr>
          <w:rFonts w:ascii="Arial" w:cs="Arial" w:eastAsia="Arial" w:hAnsi="Arial"/>
          <w:sz w:val="22"/>
          <w:szCs w:val="22"/>
        </w:rPr>
        <w:t xml:space="preserve">Premier mois dû à la signature, avant démarrage des travaux.</w:t>
      </w:r>
    </w:p>
    <w:p>
      <w:pPr>
        <w:pStyle w:val="ListParagraph"/>
        <w:numPr>
          <w:ilvl w:val="0"/>
          <w:numId w:val="4"/>
        </w:numPr>
        <w:spacing w:after="60" w:before="60"/>
      </w:pPr>
      <w:r>
        <w:rPr>
          <w:rFonts w:ascii="Arial" w:cs="Arial" w:eastAsia="Arial" w:hAnsi="Arial"/>
          <w:sz w:val="22"/>
          <w:szCs w:val="22"/>
        </w:rPr>
        <w:t xml:space="preserve">Facturation mensuelle, le même jour chaque mois.</w:t>
      </w:r>
    </w:p>
    <w:p>
      <w:pPr>
        <w:pStyle w:val="ListParagraph"/>
        <w:numPr>
          <w:ilvl w:val="0"/>
          <w:numId w:val="4"/>
        </w:numPr>
        <w:spacing w:after="60" w:before="60"/>
      </w:pPr>
      <w:r>
        <w:rPr>
          <w:rFonts w:ascii="Arial" w:cs="Arial" w:eastAsia="Arial" w:hAnsi="Arial"/>
          <w:sz w:val="22"/>
          <w:szCs w:val="22"/>
        </w:rPr>
        <w:t xml:space="preserve">Paiement par virement bancaire ou prélèvement automatique.</w:t>
      </w:r>
    </w:p>
    <w:p>
      <w:pPr>
        <w:pStyle w:val="ListParagraph"/>
        <w:numPr>
          <w:ilvl w:val="0"/>
          <w:numId w:val="4"/>
        </w:numPr>
        <w:spacing w:after="60" w:before="60"/>
      </w:pPr>
      <w:r>
        <w:rPr>
          <w:rFonts w:ascii="Arial" w:cs="Arial" w:eastAsia="Arial" w:hAnsi="Arial"/>
          <w:sz w:val="22"/>
          <w:szCs w:val="22"/>
        </w:rPr>
        <w:t xml:space="preserve">Le délai de paiement ne peut excéder 30 jours après émission de la facture, sauf accord écrit entre les parties dans la limite légale de 60 jours.</w:t>
      </w:r>
    </w:p>
    <w:p>
      <w:pPr>
        <w:pStyle w:val="ListParagraph"/>
        <w:numPr>
          <w:ilvl w:val="0"/>
          <w:numId w:val="4"/>
        </w:numPr>
        <w:spacing w:after="60" w:before="60"/>
      </w:pPr>
      <w:r>
        <w:rPr>
          <w:rFonts w:ascii="Arial" w:cs="Arial" w:eastAsia="Arial" w:hAnsi="Arial"/>
          <w:sz w:val="22"/>
          <w:szCs w:val="22"/>
        </w:rPr>
        <w:t xml:space="preserve">En cas de retard de paiement, des pénalités sont appliquées au taux de 3 fois le taux d'intérêt légal en vigueur, à compter du jour suivant la date d'échéance, sans nécessité de mise en demeure préalable. Une indemnité forfaitaire de recouvrement de 40 € est automatiquement due conformément à l'article L.441-10 du Code de commerce.</w:t>
      </w:r>
    </w:p>
    <w:p>
      <w:pPr>
        <w:pBdr>
          <w:bottom w:val="single" w:color="CCCCCC" w:sz="4" w:space="1"/>
        </w:pBdr>
        <w:spacing w:after="200" w:before="200"/>
      </w:pPr>
    </w:p>
    <w:p>
      <w:pPr>
        <w:pStyle w:val="Heading1"/>
        <w:spacing w:after="200" w:before="400"/>
      </w:pPr>
      <w:r>
        <w:rPr>
          <w:rFonts w:ascii="Arial" w:cs="Arial" w:eastAsia="Arial" w:hAnsi="Arial"/>
          <w:b/>
          <w:bCs/>
          <w:sz w:val="28"/>
          <w:szCs w:val="28"/>
        </w:rPr>
        <w:t xml:space="preserve">Article 6 — Délais de livraison et définition de la livraison</w:t>
      </w:r>
    </w:p>
    <w:p>
      <w:pPr>
        <w:spacing w:after="100" w:before="100"/>
        <w:jc w:val="both"/>
      </w:pPr>
      <w:r>
        <w:rPr>
          <w:rFonts w:ascii="Arial" w:cs="Arial" w:eastAsia="Arial" w:hAnsi="Arial"/>
          <w:sz w:val="22"/>
          <w:szCs w:val="22"/>
        </w:rPr>
        <w:t xml:space="preserve">Le délai de livraison estimé est de 7 jours ouvrés à compter de la réception de l'acompte (ou premier paiement mensuel) ET de l'ensemble des éléments nécessaires fournis par le client.</w:t>
      </w:r>
    </w:p>
    <w:p>
      <w:pPr>
        <w:spacing w:after="100" w:before="100"/>
        <w:jc w:val="both"/>
      </w:pPr>
      <w:r>
        <w:rPr>
          <w:rFonts w:ascii="Arial" w:cs="Arial" w:eastAsia="Arial" w:hAnsi="Arial"/>
          <w:sz w:val="22"/>
          <w:szCs w:val="22"/>
        </w:rPr>
        <w:t xml:space="preserve">La livraison est réputée effectuée dès lors que les trois conditions suivantes sont réunies : le site est accessible en ligne ou un lien de prévisualisation est transmis, les accès à l'interface d'administration sont communiqués au client, et la facture finale est émise.</w:t>
      </w:r>
    </w:p>
    <w:p>
      <w:pPr>
        <w:spacing w:after="100" w:before="100"/>
        <w:jc w:val="both"/>
      </w:pPr>
      <w:r>
        <w:rPr>
          <w:rFonts w:ascii="Arial" w:cs="Arial" w:eastAsia="Arial" w:hAnsi="Arial"/>
          <w:sz w:val="22"/>
          <w:szCs w:val="22"/>
        </w:rPr>
        <w:t xml:space="preserve">Le client dispose de 7 jours ouvrés pour formuler ses retours après livraison. Les retours doivent être transmis de manière centralisée et par écrit uniquement (email ou message WhatsApp). Tout retour transmis par un autre canal ou de manière fragmentée sur plusieurs jours ne sera pas pris en compte dans le délai de validation. Sans retour écrit centralisé dans ce délai, le site est réputé validé et accepté.</w:t>
      </w:r>
    </w:p>
    <w:p>
      <w:pPr>
        <w:pBdr>
          <w:bottom w:val="single" w:color="CCCCCC" w:sz="4" w:space="1"/>
        </w:pBdr>
        <w:spacing w:after="200" w:before="200"/>
      </w:pPr>
    </w:p>
    <w:p>
      <w:pPr>
        <w:pStyle w:val="Heading1"/>
        <w:spacing w:after="200" w:before="400"/>
      </w:pPr>
      <w:r>
        <w:rPr>
          <w:rFonts w:ascii="Arial" w:cs="Arial" w:eastAsia="Arial" w:hAnsi="Arial"/>
          <w:b/>
          <w:bCs/>
          <w:sz w:val="28"/>
          <w:szCs w:val="28"/>
        </w:rPr>
        <w:t xml:space="preserve">Article 7 — Obligations du client et fourniture des contenus</w:t>
      </w:r>
    </w:p>
    <w:p>
      <w:pPr>
        <w:spacing w:after="100" w:before="100"/>
        <w:jc w:val="both"/>
      </w:pPr>
      <w:r>
        <w:rPr>
          <w:rFonts w:ascii="Arial" w:cs="Arial" w:eastAsia="Arial" w:hAnsi="Arial"/>
          <w:sz w:val="22"/>
          <w:szCs w:val="22"/>
        </w:rPr>
        <w:t xml:space="preserve">Le client s'engage à fournir l'ensemble des contenus nécessaires dans un délai de 14 jours suivant la signature et le paiement. Passé ce délai, Mirifica Studio se réserve le droit de :</w:t>
      </w:r>
    </w:p>
    <w:p>
      <w:pPr>
        <w:pStyle w:val="ListParagraph"/>
        <w:numPr>
          <w:ilvl w:val="0"/>
          <w:numId w:val="5"/>
        </w:numPr>
        <w:spacing w:after="60" w:before="60"/>
      </w:pPr>
      <w:r>
        <w:rPr>
          <w:rFonts w:ascii="Arial" w:cs="Arial" w:eastAsia="Arial" w:hAnsi="Arial"/>
          <w:sz w:val="22"/>
          <w:szCs w:val="22"/>
        </w:rPr>
        <w:t xml:space="preserve">Repousser la date de livraison sans pénalité ni délai ferme.</w:t>
      </w:r>
    </w:p>
    <w:p>
      <w:pPr>
        <w:pStyle w:val="ListParagraph"/>
        <w:numPr>
          <w:ilvl w:val="0"/>
          <w:numId w:val="5"/>
        </w:numPr>
        <w:spacing w:after="60" w:before="60"/>
      </w:pPr>
      <w:r>
        <w:rPr>
          <w:rFonts w:ascii="Arial" w:cs="Arial" w:eastAsia="Arial" w:hAnsi="Arial"/>
          <w:sz w:val="22"/>
          <w:szCs w:val="22"/>
        </w:rPr>
        <w:t xml:space="preserve">Démarrer avec du contenu provisoire — remplacement ultérieur facturé 50 €/heure.</w:t>
      </w:r>
    </w:p>
    <w:p>
      <w:pPr>
        <w:pStyle w:val="ListParagraph"/>
        <w:numPr>
          <w:ilvl w:val="0"/>
          <w:numId w:val="5"/>
        </w:numPr>
        <w:spacing w:after="60" w:before="60"/>
      </w:pPr>
      <w:r>
        <w:rPr>
          <w:rFonts w:ascii="Arial" w:cs="Arial" w:eastAsia="Arial" w:hAnsi="Arial"/>
          <w:sz w:val="22"/>
          <w:szCs w:val="22"/>
        </w:rPr>
        <w:t xml:space="preserve">Facturer des frais de remise en route de 100 € si le projet reste bloqué plus de 30 jours.</w:t>
      </w:r>
    </w:p>
    <w:p>
      <w:pPr>
        <w:spacing w:after="100" w:before="100"/>
        <w:jc w:val="both"/>
      </w:pPr>
      <w:r>
        <w:rPr>
          <w:rFonts w:ascii="Arial" w:cs="Arial" w:eastAsia="Arial" w:hAnsi="Arial"/>
          <w:sz w:val="22"/>
          <w:szCs w:val="22"/>
        </w:rPr>
        <w:t xml:space="preserve">Le client s'engage à répondre aux demandes de validation sous 5 jours ouvrés et à détenir tous les droits nécessaires sur les contenus transmis. Mirifica Studio ne pourra être tenu responsable des contenus fournis par le client.</w:t>
      </w:r>
    </w:p>
    <w:p>
      <w:pPr>
        <w:pBdr>
          <w:bottom w:val="single" w:color="CCCCCC" w:sz="4" w:space="1"/>
        </w:pBdr>
        <w:spacing w:after="200" w:before="200"/>
      </w:pPr>
    </w:p>
    <w:p>
      <w:pPr>
        <w:pStyle w:val="Heading1"/>
        <w:spacing w:after="200" w:before="400"/>
      </w:pPr>
      <w:r>
        <w:rPr>
          <w:rFonts w:ascii="Arial" w:cs="Arial" w:eastAsia="Arial" w:hAnsi="Arial"/>
          <w:b/>
          <w:bCs/>
          <w:sz w:val="28"/>
          <w:szCs w:val="28"/>
        </w:rPr>
        <w:t xml:space="preserve">Article 8 — Propriété intellectuelle</w:t>
      </w:r>
    </w:p>
    <w:p>
      <w:pPr>
        <w:pStyle w:val="Heading2"/>
        <w:spacing w:after="160" w:before="300"/>
      </w:pPr>
      <w:r>
        <w:rPr>
          <w:rFonts w:ascii="Arial" w:cs="Arial" w:eastAsia="Arial" w:hAnsi="Arial"/>
          <w:b/>
          <w:bCs/>
          <w:sz w:val="24"/>
          <w:szCs w:val="24"/>
        </w:rPr>
        <w:t xml:space="preserve">8.1 — Offre One-shot</w:t>
      </w:r>
    </w:p>
    <w:p>
      <w:pPr>
        <w:spacing w:after="100" w:before="100"/>
        <w:jc w:val="both"/>
      </w:pPr>
      <w:r>
        <w:rPr>
          <w:rFonts w:ascii="Arial" w:cs="Arial" w:eastAsia="Arial" w:hAnsi="Arial"/>
          <w:sz w:val="22"/>
          <w:szCs w:val="22"/>
        </w:rPr>
        <w:t xml:space="preserve">La cession des droits sur le code et le design custom n'intervient qu'après paiement intégral. Le site peut intégrer des composants, librairies, polices ou ressources tiers soumis à leurs propres licences open source ou Creative Commons, qui restent applicables indépendamment.</w:t>
      </w:r>
    </w:p>
    <w:p>
      <w:pPr>
        <w:pStyle w:val="Heading2"/>
        <w:spacing w:after="160" w:before="300"/>
      </w:pPr>
      <w:r>
        <w:rPr>
          <w:rFonts w:ascii="Arial" w:cs="Arial" w:eastAsia="Arial" w:hAnsi="Arial"/>
          <w:b/>
          <w:bCs/>
          <w:sz w:val="24"/>
          <w:szCs w:val="24"/>
        </w:rPr>
        <w:t xml:space="preserve">8.2 — Offre Abonnement</w:t>
      </w:r>
    </w:p>
    <w:p>
      <w:pPr>
        <w:spacing w:after="100" w:before="100"/>
        <w:jc w:val="both"/>
      </w:pPr>
      <w:r>
        <w:rPr>
          <w:rFonts w:ascii="Arial" w:cs="Arial" w:eastAsia="Arial" w:hAnsi="Arial"/>
          <w:sz w:val="22"/>
          <w:szCs w:val="22"/>
        </w:rPr>
        <w:t xml:space="preserve">Le site et son code source demeurent la propriété de Mirifica Studio pendant toute la durée du contrat. Transférable uniquement après 12 mois honorés et règlement intégral, dans un délai de 30 jours.</w:t>
      </w:r>
    </w:p>
    <w:p>
      <w:pPr>
        <w:pStyle w:val="Heading2"/>
        <w:spacing w:after="160" w:before="300"/>
      </w:pPr>
      <w:r>
        <w:rPr>
          <w:rFonts w:ascii="Arial" w:cs="Arial" w:eastAsia="Arial" w:hAnsi="Arial"/>
          <w:b/>
          <w:bCs/>
          <w:sz w:val="24"/>
          <w:szCs w:val="24"/>
        </w:rPr>
        <w:t xml:space="preserve">8.3 — Droit de référence</w:t>
      </w:r>
    </w:p>
    <w:p>
      <w:pPr>
        <w:spacing w:after="100" w:before="100"/>
        <w:jc w:val="both"/>
      </w:pPr>
      <w:r>
        <w:rPr>
          <w:rFonts w:ascii="Arial" w:cs="Arial" w:eastAsia="Arial" w:hAnsi="Arial"/>
          <w:sz w:val="22"/>
          <w:szCs w:val="22"/>
        </w:rPr>
        <w:t xml:space="preserve">Sauf opposition écrite du client, Mirifica Studio pourra mentionner le client comme référence et présenter le site dans son portfolio et ses supports commerciaux.</w:t>
      </w:r>
    </w:p>
    <w:p>
      <w:pPr>
        <w:pBdr>
          <w:bottom w:val="single" w:color="CCCCCC" w:sz="4" w:space="1"/>
        </w:pBdr>
        <w:spacing w:after="200" w:before="200"/>
      </w:pPr>
    </w:p>
    <w:p>
      <w:pPr>
        <w:pStyle w:val="Heading1"/>
        <w:spacing w:after="200" w:before="400"/>
      </w:pPr>
      <w:r>
        <w:rPr>
          <w:rFonts w:ascii="Arial" w:cs="Arial" w:eastAsia="Arial" w:hAnsi="Arial"/>
          <w:b/>
          <w:bCs/>
          <w:sz w:val="28"/>
          <w:szCs w:val="28"/>
        </w:rPr>
        <w:t xml:space="preserve">Article 9 — Durée, résiliation, suspension et conservation</w:t>
      </w:r>
    </w:p>
    <w:p>
      <w:pPr>
        <w:pStyle w:val="Heading2"/>
        <w:spacing w:after="160" w:before="300"/>
      </w:pPr>
      <w:r>
        <w:rPr>
          <w:rFonts w:ascii="Arial" w:cs="Arial" w:eastAsia="Arial" w:hAnsi="Arial"/>
          <w:b/>
          <w:bCs/>
          <w:sz w:val="24"/>
          <w:szCs w:val="24"/>
        </w:rPr>
        <w:t xml:space="preserve">9.1 — Offre One-shot</w:t>
      </w:r>
    </w:p>
    <w:p>
      <w:pPr>
        <w:spacing w:after="100" w:before="100"/>
        <w:jc w:val="both"/>
      </w:pPr>
      <w:r>
        <w:rPr>
          <w:rFonts w:ascii="Arial" w:cs="Arial" w:eastAsia="Arial" w:hAnsi="Arial"/>
          <w:sz w:val="22"/>
          <w:szCs w:val="22"/>
        </w:rPr>
        <w:t xml:space="preserve">La prestation prend fin à la livraison et au paiement intégral. L'acompte reste acquis en cas d'annulation après démarrage.</w:t>
      </w:r>
    </w:p>
    <w:p>
      <w:pPr>
        <w:pStyle w:val="Heading2"/>
        <w:spacing w:after="160" w:before="300"/>
      </w:pPr>
      <w:r>
        <w:rPr>
          <w:rFonts w:ascii="Arial" w:cs="Arial" w:eastAsia="Arial" w:hAnsi="Arial"/>
          <w:b/>
          <w:bCs/>
          <w:sz w:val="24"/>
          <w:szCs w:val="24"/>
        </w:rPr>
        <w:t xml:space="preserve">9.2 — Offre Abonnement</w:t>
      </w:r>
    </w:p>
    <w:p>
      <w:pPr>
        <w:spacing w:after="100" w:before="100"/>
        <w:jc w:val="both"/>
      </w:pPr>
      <w:r>
        <w:rPr>
          <w:rFonts w:ascii="Arial" w:cs="Arial" w:eastAsia="Arial" w:hAnsi="Arial"/>
          <w:sz w:val="22"/>
          <w:szCs w:val="22"/>
        </w:rPr>
        <w:t xml:space="preserve">Engagement minimum de 12 mois. Renouvellement tacite par mois, résiliable avec préavis de 30 jours. En cas de résiliation anticipée : indemnité égale aux mois restants dus ou forfait de 500 €, selon le montant le plus favorable au client.</w:t>
      </w:r>
    </w:p>
    <w:p>
      <w:pPr>
        <w:spacing w:after="100" w:before="100"/>
        <w:jc w:val="both"/>
      </w:pPr>
      <w:r>
        <w:rPr>
          <w:rFonts w:ascii="Arial" w:cs="Arial" w:eastAsia="Arial" w:hAnsi="Arial"/>
          <w:sz w:val="22"/>
          <w:szCs w:val="22"/>
        </w:rPr>
        <w:t xml:space="preserve">En cas de non-paiement après mise en demeure sous 15 jours : suspension immédiate de l'accès au site, au support et aux modifications. Résiliation possible du contrat.</w:t>
      </w:r>
    </w:p>
    <w:p>
      <w:pPr>
        <w:pStyle w:val="Heading2"/>
        <w:spacing w:after="160" w:before="300"/>
      </w:pPr>
      <w:r>
        <w:rPr>
          <w:rFonts w:ascii="Arial" w:cs="Arial" w:eastAsia="Arial" w:hAnsi="Arial"/>
          <w:b/>
          <w:bCs/>
          <w:sz w:val="24"/>
          <w:szCs w:val="24"/>
        </w:rPr>
        <w:t xml:space="preserve">9.3 — Conservation post-résiliation</w:t>
      </w:r>
    </w:p>
    <w:p>
      <w:pPr>
        <w:spacing w:after="100" w:before="100"/>
        <w:jc w:val="both"/>
      </w:pPr>
      <w:r>
        <w:rPr>
          <w:rFonts w:ascii="Arial" w:cs="Arial" w:eastAsia="Arial" w:hAnsi="Arial"/>
          <w:sz w:val="22"/>
          <w:szCs w:val="22"/>
        </w:rPr>
        <w:t xml:space="preserve">Après résiliation, Mirifica Studio conserve les fichiers, sauvegardes et accès pendant 30 jours. Passé ce délai, suppression définitive possible sans obligation de restitution. Le nom de domaine est transféré dans ce délai sous réserve du règlement intégral et du paiement du forfait de transfert de 30 €.</w:t>
      </w:r>
    </w:p>
    <w:p>
      <w:pPr>
        <w:pBdr>
          <w:bottom w:val="single" w:color="CCCCCC" w:sz="4" w:space="1"/>
        </w:pBdr>
        <w:spacing w:after="200" w:before="200"/>
      </w:pPr>
    </w:p>
    <w:p>
      <w:pPr>
        <w:pStyle w:val="Heading1"/>
        <w:spacing w:after="200" w:before="400"/>
      </w:pPr>
      <w:r>
        <w:rPr>
          <w:rFonts w:ascii="Arial" w:cs="Arial" w:eastAsia="Arial" w:hAnsi="Arial"/>
          <w:b/>
          <w:bCs/>
          <w:sz w:val="28"/>
          <w:szCs w:val="28"/>
        </w:rPr>
        <w:t xml:space="preserve">Article 10 — Responsabilité, garanties et services tiers</w:t>
      </w:r>
    </w:p>
    <w:p>
      <w:pPr>
        <w:spacing w:after="100" w:before="100"/>
        <w:jc w:val="both"/>
      </w:pPr>
      <w:r>
        <w:rPr>
          <w:rFonts w:ascii="Arial" w:cs="Arial" w:eastAsia="Arial" w:hAnsi="Arial"/>
          <w:sz w:val="22"/>
          <w:szCs w:val="22"/>
        </w:rPr>
        <w:t xml:space="preserve">Mirifica Studio s'engage à réaliser les prestations avec soin et professionnalisme. Sa responsabilité est limitée au montant total des sommes perçues au titre de la prestation concernée.</w:t>
      </w:r>
    </w:p>
    <w:p>
      <w:pPr>
        <w:spacing w:after="100" w:before="100"/>
        <w:jc w:val="both"/>
      </w:pPr>
      <w:r>
        <w:rPr>
          <w:rFonts w:ascii="Arial" w:cs="Arial" w:eastAsia="Arial" w:hAnsi="Arial"/>
          <w:sz w:val="22"/>
          <w:szCs w:val="22"/>
        </w:rPr>
        <w:t xml:space="preserve">La maintenance technique exclut expressément :</w:t>
      </w:r>
    </w:p>
    <w:p>
      <w:pPr>
        <w:pStyle w:val="ListParagraph"/>
        <w:numPr>
          <w:ilvl w:val="0"/>
          <w:numId w:val="6"/>
        </w:numPr>
        <w:spacing w:after="60" w:before="60"/>
      </w:pPr>
      <w:r>
        <w:rPr>
          <w:rFonts w:ascii="Arial" w:cs="Arial" w:eastAsia="Arial" w:hAnsi="Arial"/>
          <w:sz w:val="22"/>
          <w:szCs w:val="22"/>
        </w:rPr>
        <w:t xml:space="preserve">Les pannes imputables à l'hébergeur ou services tiers.</w:t>
      </w:r>
    </w:p>
    <w:p>
      <w:pPr>
        <w:pStyle w:val="ListParagraph"/>
        <w:numPr>
          <w:ilvl w:val="0"/>
          <w:numId w:val="6"/>
        </w:numPr>
        <w:spacing w:after="60" w:before="60"/>
      </w:pPr>
      <w:r>
        <w:rPr>
          <w:rFonts w:ascii="Arial" w:cs="Arial" w:eastAsia="Arial" w:hAnsi="Arial"/>
          <w:sz w:val="22"/>
          <w:szCs w:val="22"/>
        </w:rPr>
        <w:t xml:space="preserve">Les attaques externes ou intrusions.</w:t>
      </w:r>
    </w:p>
    <w:p>
      <w:pPr>
        <w:pStyle w:val="ListParagraph"/>
        <w:numPr>
          <w:ilvl w:val="0"/>
          <w:numId w:val="6"/>
        </w:numPr>
        <w:spacing w:after="60" w:before="60"/>
      </w:pPr>
      <w:r>
        <w:rPr>
          <w:rFonts w:ascii="Arial" w:cs="Arial" w:eastAsia="Arial" w:hAnsi="Arial"/>
          <w:sz w:val="22"/>
          <w:szCs w:val="22"/>
        </w:rPr>
        <w:t xml:space="preserve">Les dysfonctionnements liés à des outils tiers : Google Maps, Meta Pixel, Calendly, Stripe, plugins, API, registrar, services d'emails ou tout autre service indépendant — y compris toute modification, interruption, panne ou changement tarifaire de ces services.</w:t>
      </w:r>
    </w:p>
    <w:p>
      <w:pPr>
        <w:pStyle w:val="ListParagraph"/>
        <w:numPr>
          <w:ilvl w:val="0"/>
          <w:numId w:val="6"/>
        </w:numPr>
        <w:spacing w:after="60" w:before="60"/>
      </w:pPr>
      <w:r>
        <w:rPr>
          <w:rFonts w:ascii="Arial" w:cs="Arial" w:eastAsia="Arial" w:hAnsi="Arial"/>
          <w:sz w:val="22"/>
          <w:szCs w:val="22"/>
        </w:rPr>
        <w:t xml:space="preserve">Les erreurs causées par des manipulations du client via son interface d'administration.</w:t>
      </w:r>
    </w:p>
    <w:p>
      <w:pPr>
        <w:pStyle w:val="ListParagraph"/>
        <w:numPr>
          <w:ilvl w:val="0"/>
          <w:numId w:val="6"/>
        </w:numPr>
        <w:spacing w:after="60" w:before="60"/>
      </w:pPr>
      <w:r>
        <w:rPr>
          <w:rFonts w:ascii="Arial" w:cs="Arial" w:eastAsia="Arial" w:hAnsi="Arial"/>
          <w:sz w:val="22"/>
          <w:szCs w:val="22"/>
        </w:rPr>
        <w:t xml:space="preserve">L'ajout de nouvelles fonctionnalités ou refontes graphiques.</w:t>
      </w:r>
    </w:p>
    <w:p>
      <w:pPr>
        <w:pStyle w:val="ListParagraph"/>
        <w:numPr>
          <w:ilvl w:val="0"/>
          <w:numId w:val="6"/>
        </w:numPr>
        <w:spacing w:after="60" w:before="60"/>
      </w:pPr>
      <w:r>
        <w:rPr>
          <w:rFonts w:ascii="Arial" w:cs="Arial" w:eastAsia="Arial" w:hAnsi="Arial"/>
          <w:sz w:val="22"/>
          <w:szCs w:val="22"/>
        </w:rPr>
        <w:t xml:space="preserve">Les interventions urgentes hors horaires ouvrés.</w:t>
      </w:r>
    </w:p>
    <w:p>
      <w:pPr>
        <w:spacing w:after="100" w:before="100"/>
        <w:jc w:val="both"/>
      </w:pPr>
      <w:r>
        <w:rPr>
          <w:rFonts w:ascii="Arial" w:cs="Arial" w:eastAsia="Arial" w:hAnsi="Arial"/>
          <w:sz w:val="22"/>
          <w:szCs w:val="22"/>
        </w:rPr>
        <w:t xml:space="preserve">Mirifica Studio ne garantit aucun positionnement spécifique dans les résultats des moteurs de recherche.</w:t>
      </w:r>
    </w:p>
    <w:p>
      <w:pPr>
        <w:pBdr>
          <w:bottom w:val="single" w:color="CCCCCC" w:sz="4" w:space="1"/>
        </w:pBdr>
        <w:spacing w:after="200" w:before="200"/>
      </w:pPr>
    </w:p>
    <w:p>
      <w:pPr>
        <w:pStyle w:val="Heading1"/>
        <w:spacing w:after="200" w:before="400"/>
      </w:pPr>
      <w:r>
        <w:rPr>
          <w:rFonts w:ascii="Arial" w:cs="Arial" w:eastAsia="Arial" w:hAnsi="Arial"/>
          <w:b/>
          <w:bCs/>
          <w:sz w:val="28"/>
          <w:szCs w:val="28"/>
        </w:rPr>
        <w:t xml:space="preserve">Article 11 — Confidentialité, données personnelles et RGPD</w:t>
      </w:r>
    </w:p>
    <w:p>
      <w:pPr>
        <w:pStyle w:val="Heading2"/>
        <w:spacing w:after="160" w:before="300"/>
      </w:pPr>
      <w:r>
        <w:rPr>
          <w:rFonts w:ascii="Arial" w:cs="Arial" w:eastAsia="Arial" w:hAnsi="Arial"/>
          <w:b/>
          <w:bCs/>
          <w:sz w:val="24"/>
          <w:szCs w:val="24"/>
        </w:rPr>
        <w:t xml:space="preserve">11.1 — Données de la relation commerciale</w:t>
      </w:r>
    </w:p>
    <w:p>
      <w:pPr>
        <w:spacing w:after="100" w:before="100"/>
        <w:jc w:val="both"/>
      </w:pPr>
      <w:r>
        <w:rPr>
          <w:rFonts w:ascii="Arial" w:cs="Arial" w:eastAsia="Arial" w:hAnsi="Arial"/>
          <w:sz w:val="22"/>
          <w:szCs w:val="22"/>
        </w:rPr>
        <w:t xml:space="preserve">Les données personnelles collectées sont traitées conformément au RGPD, utilisées uniquement pour la gestion de la relation client. Droit d'accès, rectification et suppression : mirificastudio@gmail.com</w:t>
      </w:r>
    </w:p>
    <w:p>
      <w:pPr>
        <w:pStyle w:val="Heading2"/>
        <w:spacing w:after="160" w:before="300"/>
      </w:pPr>
      <w:r>
        <w:rPr>
          <w:rFonts w:ascii="Arial" w:cs="Arial" w:eastAsia="Arial" w:hAnsi="Arial"/>
          <w:b/>
          <w:bCs/>
          <w:sz w:val="24"/>
          <w:szCs w:val="24"/>
        </w:rPr>
        <w:t xml:space="preserve">11.2 — Responsabilité RGPD du site client</w:t>
      </w:r>
    </w:p>
    <w:p>
      <w:pPr>
        <w:spacing w:after="100" w:before="100"/>
        <w:jc w:val="both"/>
      </w:pPr>
      <w:r>
        <w:rPr>
          <w:rFonts w:ascii="Arial" w:cs="Arial" w:eastAsia="Arial" w:hAnsi="Arial"/>
          <w:sz w:val="22"/>
          <w:szCs w:val="22"/>
        </w:rPr>
        <w:t xml:space="preserve">Le client est seul responsable de la conformité légale de son site. Mirifica Studio fournit une structure documentaire et technique de base (mentions légales, politique de confidentialité, bandeau cookies) sur la base des informations transmises par le client. Cette prestation ne constitue pas un audit juridique ni une garantie de conformité totale. Mirifica Studio ne saurait être tenu responsable d'informations erronées ou incomplètes transmises par le client.</w:t>
      </w:r>
    </w:p>
    <w:p>
      <w:pPr>
        <w:pStyle w:val="Heading2"/>
        <w:spacing w:after="160" w:before="300"/>
      </w:pPr>
      <w:r>
        <w:rPr>
          <w:rFonts w:ascii="Arial" w:cs="Arial" w:eastAsia="Arial" w:hAnsi="Arial"/>
          <w:b/>
          <w:bCs/>
          <w:sz w:val="24"/>
          <w:szCs w:val="24"/>
        </w:rPr>
        <w:t xml:space="preserve">11.3 — Confidentialité</w:t>
      </w:r>
    </w:p>
    <w:p>
      <w:pPr>
        <w:spacing w:after="100" w:before="100"/>
        <w:jc w:val="both"/>
      </w:pPr>
      <w:r>
        <w:rPr>
          <w:rFonts w:ascii="Arial" w:cs="Arial" w:eastAsia="Arial" w:hAnsi="Arial"/>
          <w:sz w:val="22"/>
          <w:szCs w:val="22"/>
        </w:rPr>
        <w:t xml:space="preserve">Chaque partie s'engage à maintenir confidentielles les informations communiquées dans le cadre de la prestation.</w:t>
      </w:r>
    </w:p>
    <w:p>
      <w:pPr>
        <w:pBdr>
          <w:bottom w:val="single" w:color="CCCCCC" w:sz="4" w:space="1"/>
        </w:pBdr>
        <w:spacing w:after="200" w:before="200"/>
      </w:pPr>
    </w:p>
    <w:p>
      <w:pPr>
        <w:pStyle w:val="Heading1"/>
        <w:spacing w:after="200" w:before="400"/>
      </w:pPr>
      <w:r>
        <w:rPr>
          <w:rFonts w:ascii="Arial" w:cs="Arial" w:eastAsia="Arial" w:hAnsi="Arial"/>
          <w:b/>
          <w:bCs/>
          <w:sz w:val="28"/>
          <w:szCs w:val="28"/>
        </w:rPr>
        <w:t xml:space="preserve">Article 12 — Force majeure</w:t>
      </w:r>
    </w:p>
    <w:p>
      <w:pPr>
        <w:spacing w:after="100" w:before="100"/>
        <w:jc w:val="both"/>
      </w:pPr>
      <w:r>
        <w:rPr>
          <w:rFonts w:ascii="Arial" w:cs="Arial" w:eastAsia="Arial" w:hAnsi="Arial"/>
          <w:sz w:val="22"/>
          <w:szCs w:val="22"/>
        </w:rPr>
        <w:t xml:space="preserve">Mirifica Studio ne saurait être tenu responsable d'un manquement en cas de force majeure au sens de l'article 1218 du Code civil. Les délais sont automatiquement suspendus pour la durée de l'événement.</w:t>
      </w:r>
    </w:p>
    <w:p>
      <w:pPr>
        <w:pBdr>
          <w:bottom w:val="single" w:color="CCCCCC" w:sz="4" w:space="1"/>
        </w:pBdr>
        <w:spacing w:after="200" w:before="200"/>
      </w:pPr>
    </w:p>
    <w:p>
      <w:pPr>
        <w:pStyle w:val="Heading1"/>
        <w:spacing w:after="200" w:before="400"/>
      </w:pPr>
      <w:r>
        <w:rPr>
          <w:rFonts w:ascii="Arial" w:cs="Arial" w:eastAsia="Arial" w:hAnsi="Arial"/>
          <w:b/>
          <w:bCs/>
          <w:sz w:val="28"/>
          <w:szCs w:val="28"/>
        </w:rPr>
        <w:t xml:space="preserve">Article 13 — Droit applicable et litiges</w:t>
      </w:r>
    </w:p>
    <w:p>
      <w:pPr>
        <w:spacing w:after="100" w:before="100"/>
        <w:jc w:val="both"/>
      </w:pPr>
      <w:r>
        <w:rPr>
          <w:rFonts w:ascii="Arial" w:cs="Arial" w:eastAsia="Arial" w:hAnsi="Arial"/>
          <w:sz w:val="22"/>
          <w:szCs w:val="22"/>
        </w:rPr>
        <w:t xml:space="preserve">Les présentes CGV sont soumises au droit français. En cas de litige, les parties s'engagent à rechercher une solution amiable sous 30 jours avant tout recours judiciaire. À défaut, le litige sera porté devant les tribunaux compétents du ressort du siège du prestataire, sauf règle d'ordre public contraire.</w:t>
      </w:r>
    </w:p>
    <w:p>
      <w:pPr>
        <w:pBdr>
          <w:bottom w:val="single" w:color="CCCCCC" w:sz="4" w:space="1"/>
        </w:pBdr>
        <w:spacing w:after="200" w:before="200"/>
      </w:pPr>
    </w:p>
    <w:p>
      <w:pPr>
        <w:pStyle w:val="Heading1"/>
        <w:spacing w:after="200" w:before="400"/>
      </w:pPr>
      <w:r>
        <w:rPr>
          <w:rFonts w:ascii="Arial" w:cs="Arial" w:eastAsia="Arial" w:hAnsi="Arial"/>
          <w:b/>
          <w:bCs/>
          <w:sz w:val="28"/>
          <w:szCs w:val="28"/>
        </w:rPr>
        <w:t xml:space="preserve">Article 14 — Acceptation des CGV</w:t>
      </w:r>
    </w:p>
    <w:p>
      <w:pPr>
        <w:spacing w:after="100" w:before="100"/>
        <w:jc w:val="both"/>
      </w:pPr>
      <w:r>
        <w:rPr>
          <w:rFonts w:ascii="Arial" w:cs="Arial" w:eastAsia="Arial" w:hAnsi="Arial"/>
          <w:sz w:val="22"/>
          <w:szCs w:val="22"/>
        </w:rPr>
        <w:t xml:space="preserve">La signature du devis ou bon de commande vaut acceptation pleine et entière des présentes CGV. Mirifica Studio se réserve le droit de les modifier. Tout client en cours de contrat sera informé par écrit de toute modification substantielle.</w:t>
      </w:r>
    </w:p>
    <w:p>
      <w:pPr>
        <w:pBdr>
          <w:bottom w:val="single" w:color="CCCCCC" w:sz="4" w:space="1"/>
        </w:pBdr>
        <w:spacing w:after="200" w:before="200"/>
      </w:pPr>
    </w:p>
    <w:p>
      <w:pPr>
        <w:spacing w:before="400"/>
        <w:jc w:val="center"/>
      </w:pPr>
      <w:r>
        <w:rPr>
          <w:rFonts w:ascii="Arial" w:cs="Arial" w:eastAsia="Arial" w:hAnsi="Arial"/>
          <w:color w:val="888888"/>
          <w:sz w:val="18"/>
          <w:szCs w:val="18"/>
        </w:rPr>
        <w:t xml:space="preserve">Mirifica Studio — mirificastudio@gmail.com — mirifica-studio.vercel.app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28"/>
      <w:szCs w:val="28"/>
    </w:rPr>
  </w:style>
  <w:style w:type="paragraph" w:styleId="Heading2">
    <w:name w:val="Heading 2"/>
    <w:basedOn w:val="Normal"/>
    <w:next w:val="Normal"/>
    <w:qFormat/>
    <w:pPr>
      <w:spacing w:after="160" w:before="300"/>
      <w:outlineLvl w:val="1"/>
    </w:pPr>
    <w:rPr>
      <w:rFonts w:ascii="Arial" w:cs="Arial" w:eastAsia="Arial" w:hAnsi="Arial"/>
      <w:b/>
      <w:bCs/>
      <w:color w:val="00a8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2026-05-08T19:44:34.695Z</dcterms:created>
  <dcterms:modified xsi:type="dcterms:W3CDTF">2026-05-08T19:44:34.695Z</dcterms:modified>
</cp:coreProperties>
</file>

<file path=docProps/custom.xml><?xml version="1.0" encoding="utf-8"?>
<Properties xmlns="http://schemas.openxmlformats.org/officeDocument/2006/custom-properties" xmlns:vt="http://schemas.openxmlformats.org/officeDocument/2006/docPropsVTypes"/>
</file>