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200"/>
        <w:jc w:val="center"/>
      </w:pPr>
      <w:r>
        <w:rPr>
          <w:rFonts w:ascii="Arial" w:cs="Arial" w:eastAsia="Arial" w:hAnsi="Arial"/>
          <w:b/>
          <w:bCs/>
          <w:color w:val="1B3A5C"/>
          <w:sz w:val="52"/>
          <w:szCs w:val="52"/>
        </w:rPr>
        <w:t xml:space="preserve">Reasoning on a Manifold</w:t>
      </w:r>
    </w:p>
    <w:p>
      <w:pPr>
        <w:spacing w:after="120"/>
        <w:jc w:val="center"/>
      </w:pPr>
      <w:r>
        <w:rPr>
          <w:rFonts w:ascii="Arial" w:cs="Arial" w:eastAsia="Arial" w:hAnsi="Arial"/>
          <w:i/>
          <w:iCs/>
          <w:color w:val="555555"/>
          <w:sz w:val="26"/>
          <w:szCs w:val="26"/>
        </w:rPr>
        <w:t xml:space="preserve">Do Individual Reasoning Behaviours Have Manifold Structure?</w:t>
      </w:r>
    </w:p>
    <w:p>
      <w:pPr>
        <w:spacing w:after="0" w:before="300"/>
      </w:pPr>
    </w:p>
    <w:p>
      <w:pPr>
        <w:pBdr>
          <w:top w:val="single" w:color="CCCCCC" w:sz="2" w:space="12"/>
        </w:pBdr>
        <w:spacing w:after="60"/>
        <w:jc w:val="center"/>
      </w:pPr>
      <w:r>
        <w:rPr>
          <w:rFonts w:ascii="Arial" w:cs="Arial" w:eastAsia="Arial" w:hAnsi="Arial"/>
          <w:b/>
          <w:bCs/>
          <w:color w:val="2E6B9E"/>
          <w:sz w:val="28"/>
          <w:szCs w:val="28"/>
        </w:rPr>
        <w:t xml:space="preserve">Phase 1: Data Generation and Annotation</w:t>
      </w:r>
    </w:p>
    <w:p>
      <w:pPr>
        <w:spacing w:after="60"/>
        <w:jc w:val="center"/>
      </w:pPr>
      <w:r>
        <w:rPr>
          <w:rFonts w:ascii="Arial" w:cs="Arial" w:eastAsia="Arial" w:hAnsi="Arial"/>
          <w:color w:val="777777"/>
          <w:sz w:val="22"/>
          <w:szCs w:val="22"/>
        </w:rPr>
        <w:t xml:space="preserve">Technical Documentation</w:t>
      </w:r>
    </w:p>
    <w:p>
      <w:pPr>
        <w:spacing w:after="0" w:before="1200"/>
      </w:pPr>
    </w:p>
    <w:p>
      <w:pPr>
        <w:spacing w:after="60"/>
        <w:jc w:val="center"/>
      </w:pPr>
      <w:r>
        <w:rPr>
          <w:rFonts w:ascii="Arial" w:cs="Arial" w:eastAsia="Arial" w:hAnsi="Arial"/>
          <w:color w:val="999999"/>
          <w:sz w:val="20"/>
          <w:szCs w:val="20"/>
        </w:rPr>
        <w:t xml:space="preserve">Implementation Guide</w:t>
      </w:r>
    </w:p>
    <w:p>
      <w:pPr>
        <w:jc w:val="center"/>
      </w:pPr>
      <w:r>
        <w:rPr>
          <w:rFonts w:ascii="Arial" w:cs="Arial" w:eastAsia="Arial" w:hAnsi="Arial"/>
          <w:color w:val="999999"/>
          <w:sz w:val="20"/>
          <w:szCs w:val="20"/>
        </w:rPr>
        <w:t xml:space="preserve">March 2026</w:t>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1. Overview</w:t>
      </w:r>
    </w:p>
    <w:p>
      <w:pPr>
        <w:spacing w:after="80" w:before="80" w:line="276"/>
      </w:pPr>
      <w:r>
        <w:rPr>
          <w:rFonts w:ascii="Arial" w:cs="Arial" w:eastAsia="Arial" w:hAnsi="Arial"/>
          <w:b w:val="false"/>
          <w:bCs w:val="false"/>
          <w:i w:val="false"/>
          <w:iCs w:val="false"/>
          <w:color w:val="333333"/>
          <w:sz w:val="21"/>
          <w:szCs w:val="21"/>
        </w:rPr>
        <w:t xml:space="preserve">This document provides a complete technical explanation of Phase 1 of the Reasoning on a Manifold project. Phase 1 is the data generation and annotation pipeline that produces the annotated reasoning chains required for all downstream analysis. It consists of four sequential steps: generating diverse reasoning tasks, running those tasks through a thinking language model to produce reasoning chains, annotating each sentence in every chain with a behavioural category, and validating that enough instances of each target behaviour were captured for reliable manifold analysis.</w:t>
      </w:r>
    </w:p>
    <w:p>
      <w:pPr>
        <w:spacing w:after="80" w:before="80" w:line="276"/>
      </w:pPr>
      <w:r>
        <w:rPr>
          <w:rFonts w:ascii="Arial" w:cs="Arial" w:eastAsia="Arial" w:hAnsi="Arial"/>
          <w:b w:val="false"/>
          <w:bCs w:val="false"/>
          <w:i w:val="false"/>
          <w:iCs w:val="false"/>
          <w:color w:val="333333"/>
          <w:sz w:val="21"/>
          <w:szCs w:val="21"/>
        </w:rPr>
        <w:t xml:space="preserve">The project synthesises two recent papers. Huang et al. (NeurIPS 2025) showed that the composite phenomenon of overthinking in large reasoning models lives on a low-dimensional manifold in activation space, and that projecting steering vectors onto this manifold dramatically improves intervention effectiveness. Venhoff et al. (ICLR 2025 Workshop) identified several distinct reasoning behaviours in thinking LLMs and showed that each can be controlled via a single linear steering vector. The unexplored question between them is whether individual reasoning behaviours also have manifold structure, or whether the manifold is only an emergent property of their interaction.</w:t>
      </w:r>
    </w:p>
    <w:p>
      <w:pPr>
        <w:spacing w:after="80" w:before="80" w:line="276"/>
      </w:pPr>
      <w:r>
        <w:rPr>
          <w:rFonts w:ascii="Arial" w:cs="Arial" w:eastAsia="Arial" w:hAnsi="Arial"/>
          <w:b w:val="false"/>
          <w:bCs w:val="false"/>
          <w:i w:val="false"/>
          <w:iCs w:val="false"/>
          <w:color w:val="333333"/>
          <w:sz w:val="21"/>
          <w:szCs w:val="21"/>
        </w:rPr>
        <w:t xml:space="preserve">Phase 1 produces the raw materials needed to answer this question: a corpus of 1,000 reasoning chains, each sentence-level annotated with one of six behavioural categories. These annotations serve as the index for extracting behaviour-specific activations in Phase 2, which are then analysed via PCA in Phase 3.</w:t>
      </w:r>
    </w:p>
    <w:p>
      <w:pPr>
        <w:pStyle w:val="Heading1"/>
        <w:spacing w:after="160" w:before="360"/>
      </w:pPr>
      <w:r>
        <w:rPr>
          <w:rFonts w:ascii="Arial" w:cs="Arial" w:eastAsia="Arial" w:hAnsi="Arial"/>
          <w:b/>
          <w:bCs/>
          <w:color w:val="1B3A5C"/>
          <w:sz w:val="32"/>
          <w:szCs w:val="32"/>
        </w:rPr>
        <w:t xml:space="preserve">2. Pipeline Architecture</w:t>
      </w:r>
    </w:p>
    <w:p>
      <w:pPr>
        <w:spacing w:after="80" w:before="80" w:line="276"/>
      </w:pPr>
      <w:r>
        <w:rPr>
          <w:rFonts w:ascii="Arial" w:cs="Arial" w:eastAsia="Arial" w:hAnsi="Arial"/>
          <w:b w:val="false"/>
          <w:bCs w:val="false"/>
          <w:i w:val="false"/>
          <w:iCs w:val="false"/>
          <w:color w:val="333333"/>
          <w:sz w:val="21"/>
          <w:szCs w:val="21"/>
        </w:rPr>
        <w:t xml:space="preserve">Phase 1 is a four-step sequential pipeline. Each step produces a JSON file that serves as input to the next step. All steps support checkpointing and can be resumed after interruption, which is essential when running on cloud GPU notebooks with session time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26"/>
        <w:gridCol w:w="300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Step</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Name</w:t>
            </w:r>
          </w:p>
        </w:tc>
        <w:tc>
          <w:tcPr>
            <w:tcW w:type="dxa" w:w="30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What It Does</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Output</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1</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Generate Tasks</w:t>
            </w:r>
          </w:p>
        </w:tc>
        <w:tc>
          <w:tcPr>
            <w:tcW w:type="dxa" w:w="3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Creates 1,000 diverse reasoning tasks across 10 cognitive categories via GPT-4o</w:t>
            </w:r>
          </w:p>
        </w:tc>
        <w:tc>
          <w:tcPr>
            <w:tcW w:type="dxa" w:w="3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all_tasks.json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Generate Chains</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Runs each task through DeepSeek-R1-Distill-Qwen-1.5B with greedy decoding to produce reasoning chains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chains_R1-1.5B.json</w:t>
            </w:r>
          </w:p>
        </w:tc>
      </w:tr>
      <w:tr>
        <w:tc>
          <w:tcPr>
            <w:tcW w:type="dxa" w:w="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3</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Annotate Chains</w:t>
            </w:r>
          </w:p>
        </w:tc>
        <w:tc>
          <w:tcPr>
            <w:tcW w:type="dxa" w:w="3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Classifies every sentence in every chain into one of six behavioural categories via GPT-4o</w:t>
            </w:r>
          </w:p>
        </w:tc>
        <w:tc>
          <w:tcPr>
            <w:tcW w:type="dxa" w:w="3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annotated_R1-1.5B.json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Validate Counts</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Checks that each target behaviour has at least 50 instances for reliable PCA in Phase 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Console report</w:t>
            </w:r>
          </w:p>
        </w:tc>
      </w:tr>
    </w:tbl>
    <w:p>
      <w:pPr>
        <w:spacing w:after="80" w:before="160" w:line="276"/>
      </w:pPr>
      <w:r>
        <w:rPr>
          <w:rFonts w:ascii="Arial" w:cs="Arial" w:eastAsia="Arial" w:hAnsi="Arial"/>
          <w:b/>
          <w:bCs/>
          <w:color w:val="333333"/>
          <w:sz w:val="21"/>
          <w:szCs w:val="21"/>
        </w:rPr>
        <w:t xml:space="preserve">Total runtime: </w:t>
      </w:r>
      <w:r>
        <w:rPr>
          <w:rFonts w:ascii="Arial" w:cs="Arial" w:eastAsia="Arial" w:hAnsi="Arial"/>
          <w:color w:val="333333"/>
          <w:sz w:val="21"/>
          <w:szCs w:val="21"/>
        </w:rPr>
        <w:t xml:space="preserve">approximately 4–6 hours for 1,000 tasks on a T4 GPU. The dominant cost is Step 2 (chain generation), which takes 2–3 hours. Steps 1 and 3 are API-bound and take 5–10 minutes and 15–30 minutes respectively. Step 4 is instantaneous.</w:t>
      </w:r>
    </w:p>
    <w:p>
      <w:pPr>
        <w:spacing w:after="80" w:before="80" w:line="276"/>
      </w:pPr>
      <w:r>
        <w:rPr>
          <w:rFonts w:ascii="Arial" w:cs="Arial" w:eastAsia="Arial" w:hAnsi="Arial"/>
          <w:b/>
          <w:bCs/>
          <w:color w:val="333333"/>
          <w:sz w:val="21"/>
          <w:szCs w:val="21"/>
        </w:rPr>
        <w:t xml:space="preserve">Total API cost: </w:t>
      </w:r>
      <w:r>
        <w:rPr>
          <w:rFonts w:ascii="Arial" w:cs="Arial" w:eastAsia="Arial" w:hAnsi="Arial"/>
          <w:color w:val="333333"/>
          <w:sz w:val="21"/>
          <w:szCs w:val="21"/>
        </w:rPr>
        <w:t xml:space="preserve">approximately $5–10 in OpenAI API calls (GPT-4o for task generation and annotation). GPU compute is free if using Google Colab or Kaggle.</w:t>
      </w:r>
    </w:p>
    <w:p>
      <w:pPr>
        <w:pStyle w:val="Heading1"/>
        <w:spacing w:after="160" w:before="360"/>
      </w:pPr>
      <w:r>
        <w:rPr>
          <w:rFonts w:ascii="Arial" w:cs="Arial" w:eastAsia="Arial" w:hAnsi="Arial"/>
          <w:b/>
          <w:bCs/>
          <w:color w:val="1B3A5C"/>
          <w:sz w:val="32"/>
          <w:szCs w:val="32"/>
        </w:rPr>
        <w:t xml:space="preserve">3. Step 1: Task Generation</w:t>
      </w:r>
    </w:p>
    <w:p>
      <w:pPr>
        <w:pStyle w:val="Heading2"/>
        <w:spacing w:after="120" w:before="280"/>
      </w:pPr>
      <w:r>
        <w:rPr>
          <w:rFonts w:ascii="Arial" w:cs="Arial" w:eastAsia="Arial" w:hAnsi="Arial"/>
          <w:b/>
          <w:bCs/>
          <w:color w:val="2E6B9E"/>
          <w:sz w:val="26"/>
          <w:szCs w:val="26"/>
        </w:rPr>
        <w:t xml:space="preserve">3.1 Purpose</w:t>
      </w:r>
    </w:p>
    <w:p>
      <w:pPr>
        <w:spacing w:after="80" w:before="80" w:line="276"/>
      </w:pPr>
      <w:r>
        <w:rPr>
          <w:rFonts w:ascii="Arial" w:cs="Arial" w:eastAsia="Arial" w:hAnsi="Arial"/>
          <w:b w:val="false"/>
          <w:bCs w:val="false"/>
          <w:i w:val="false"/>
          <w:iCs w:val="false"/>
          <w:color w:val="333333"/>
          <w:sz w:val="21"/>
          <w:szCs w:val="21"/>
        </w:rPr>
        <w:t xml:space="preserve">The project requires a diverse set of reasoning tasks that elicit extended chains-of-thought from the model. Following Venhoff et al., tasks are drawn from 10 cognitive categories to ensure behavioural diversity. Mathematical tasks alone would over-represent deduction; creative tasks alone would over-represent backtracking. The 10-category spread maximises the likelihood that all six behavioural patterns appear in sufficient quantity.</w:t>
      </w:r>
    </w:p>
    <w:p>
      <w:pPr>
        <w:pStyle w:val="Heading2"/>
        <w:spacing w:after="120" w:before="280"/>
      </w:pPr>
      <w:r>
        <w:rPr>
          <w:rFonts w:ascii="Arial" w:cs="Arial" w:eastAsia="Arial" w:hAnsi="Arial"/>
          <w:b/>
          <w:bCs/>
          <w:color w:val="2E6B9E"/>
          <w:sz w:val="26"/>
          <w:szCs w:val="26"/>
        </w:rPr>
        <w:t xml:space="preserve">3.2 The Ten Task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Category</w:t>
            </w:r>
          </w:p>
        </w:tc>
        <w:tc>
          <w:tcPr>
            <w:tcW w:type="dxa" w:w="60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Description</w:t>
            </w:r>
          </w:p>
        </w:tc>
      </w:tr>
      <w:tr>
        <w:tc>
          <w:tcPr>
            <w:tcW w:type="dxa" w:w="3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Mathematical Logic</w:t>
            </w:r>
          </w:p>
        </w:tc>
        <w:tc>
          <w:tcPr>
            <w:tcW w:type="dxa" w:w="6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Formal logical operations, mathematical proofs, numerical reasoning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Spatial Reasoning</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Visualisation, geometric manipulation, understanding spatial relationships</w:t>
            </w:r>
          </w:p>
        </w:tc>
      </w:tr>
      <w:tr>
        <w:tc>
          <w:tcPr>
            <w:tcW w:type="dxa" w:w="3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Verbal Logic</w:t>
            </w:r>
          </w:p>
        </w:tc>
        <w:tc>
          <w:tcPr>
            <w:tcW w:type="dxa" w:w="6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Language-based reasoning, syllogisms, verbal analogies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Pattern Recognition</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Identification and continuation of sequences or abstract patterns</w:t>
            </w:r>
          </w:p>
        </w:tc>
      </w:tr>
      <w:tr>
        <w:tc>
          <w:tcPr>
            <w:tcW w:type="dxa" w:w="3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Lateral Thinking</w:t>
            </w:r>
          </w:p>
        </w:tc>
        <w:tc>
          <w:tcPr>
            <w:tcW w:type="dxa" w:w="6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Creative, non-linear approaches to unconventional solutions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Causal Reasoning</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Understanding cause-and-effect relationships, causal inferences</w:t>
            </w:r>
          </w:p>
        </w:tc>
      </w:tr>
      <w:tr>
        <w:tc>
          <w:tcPr>
            <w:tcW w:type="dxa" w:w="3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Probabilistic Thinking</w:t>
            </w:r>
          </w:p>
        </w:tc>
        <w:tc>
          <w:tcPr>
            <w:tcW w:type="dxa" w:w="6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Reasoning about uncertainty, probability, statistical concepts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Systems Thinking</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Complex systems, interconnected components, emergent behaviours</w:t>
            </w:r>
          </w:p>
        </w:tc>
      </w:tr>
      <w:tr>
        <w:tc>
          <w:tcPr>
            <w:tcW w:type="dxa" w:w="3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Creative Problem Solving</w:t>
            </w:r>
          </w:p>
        </w:tc>
        <w:tc>
          <w:tcPr>
            <w:tcW w:type="dxa" w:w="6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Open-ended problems requiring novel approaches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Scientific Reasoning</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Hypothesis formation, experimental design, evidence evaluation</w:t>
            </w:r>
          </w:p>
        </w:tc>
      </w:tr>
    </w:tbl>
    <w:p>
      <w:pPr>
        <w:pStyle w:val="Heading2"/>
        <w:spacing w:after="120" w:before="280"/>
      </w:pPr>
      <w:r>
        <w:rPr>
          <w:rFonts w:ascii="Arial" w:cs="Arial" w:eastAsia="Arial" w:hAnsi="Arial"/>
          <w:b/>
          <w:bCs/>
          <w:color w:val="2E6B9E"/>
          <w:sz w:val="26"/>
          <w:szCs w:val="26"/>
        </w:rPr>
        <w:t xml:space="preserve">3.3 Implementation</w:t>
      </w:r>
    </w:p>
    <w:p>
      <w:pPr>
        <w:spacing w:after="80" w:before="80" w:line="276"/>
      </w:pPr>
      <w:r>
        <w:rPr>
          <w:rFonts w:ascii="Arial" w:cs="Arial" w:eastAsia="Arial" w:hAnsi="Arial"/>
          <w:b w:val="false"/>
          <w:bCs w:val="false"/>
          <w:i w:val="false"/>
          <w:iCs w:val="false"/>
          <w:color w:val="333333"/>
          <w:sz w:val="21"/>
          <w:szCs w:val="21"/>
        </w:rPr>
        <w:t xml:space="preserve">Tasks are generated via the OpenAI API (GPT-4o) using a structured prompt that requests a JSON array of task objects. The generation prompt specifies that tasks should be self-contained, require multi-step reasoning, vary in difficulty, and not include solutions. Generation is batched into groups of 25 tasks per API call to avoid output truncation, with a rate limit of 1 second between calls.</w:t>
      </w:r>
    </w:p>
    <w:p>
      <w:pPr>
        <w:spacing w:after="80" w:before="80" w:line="276"/>
      </w:pPr>
      <w:r>
        <w:rPr>
          <w:rFonts w:ascii="Arial" w:cs="Arial" w:eastAsia="Arial" w:hAnsi="Arial"/>
          <w:color w:val="333333"/>
          <w:sz w:val="21"/>
          <w:szCs w:val="21"/>
        </w:rPr>
        <w:t xml:space="preserve">The implementation lives in </w:t>
      </w:r>
      <w:r>
        <w:rPr>
          <w:rFonts w:ascii="Arial" w:cs="Arial" w:eastAsia="Arial" w:hAnsi="Arial"/>
          <w:b/>
          <w:bCs/>
          <w:color w:val="333333"/>
          <w:sz w:val="21"/>
          <w:szCs w:val="21"/>
        </w:rPr>
        <w:t xml:space="preserve">src/data/generate_tasks.py</w:t>
      </w:r>
      <w:r>
        <w:rPr>
          <w:rFonts w:ascii="Arial" w:cs="Arial" w:eastAsia="Arial" w:hAnsi="Arial"/>
          <w:color w:val="333333"/>
          <w:sz w:val="21"/>
          <w:szCs w:val="21"/>
        </w:rPr>
        <w:t xml:space="preserve">. The key function is </w:t>
      </w:r>
      <w:r>
        <w:rPr>
          <w:rFonts w:ascii="Arial" w:cs="Arial" w:eastAsia="Arial" w:hAnsi="Arial"/>
          <w:b/>
          <w:bCs/>
          <w:color w:val="333333"/>
          <w:sz w:val="21"/>
          <w:szCs w:val="21"/>
        </w:rPr>
        <w:t xml:space="preserve">generate_all_tasks()</w:t>
      </w:r>
      <w:r>
        <w:rPr>
          <w:rFonts w:ascii="Arial" w:cs="Arial" w:eastAsia="Arial" w:hAnsi="Arial"/>
          <w:color w:val="333333"/>
          <w:sz w:val="21"/>
          <w:szCs w:val="21"/>
        </w:rPr>
        <w:t xml:space="preserve">, which iterates over all 10 categories and generates 100 tasks per category, saving both per-category JSON files and a combined </w:t>
      </w:r>
      <w:r>
        <w:rPr>
          <w:rFonts w:ascii="Arial" w:cs="Arial" w:eastAsia="Arial" w:hAnsi="Arial"/>
          <w:b/>
          <w:bCs/>
          <w:color w:val="333333"/>
          <w:sz w:val="21"/>
          <w:szCs w:val="21"/>
        </w:rPr>
        <w:t xml:space="preserve">all_tasks.json</w:t>
      </w:r>
      <w:r>
        <w:rPr>
          <w:rFonts w:ascii="Arial" w:cs="Arial" w:eastAsia="Arial" w:hAnsi="Arial"/>
          <w:color w:val="333333"/>
          <w:sz w:val="21"/>
          <w:szCs w:val="21"/>
        </w:rPr>
        <w:t xml:space="preserve"> file.</w:t>
      </w:r>
    </w:p>
    <w:p>
      <w:pPr>
        <w:pStyle w:val="Heading2"/>
        <w:spacing w:after="120" w:before="280"/>
      </w:pPr>
      <w:r>
        <w:rPr>
          <w:rFonts w:ascii="Arial" w:cs="Arial" w:eastAsia="Arial" w:hAnsi="Arial"/>
          <w:b/>
          <w:bCs/>
          <w:color w:val="2E6B9E"/>
          <w:sz w:val="26"/>
          <w:szCs w:val="26"/>
        </w:rPr>
        <w:t xml:space="preserve">3.4 Output Schema</w:t>
      </w:r>
    </w:p>
    <w:p>
      <w:pPr>
        <w:spacing w:after="80" w:before="80" w:line="276"/>
      </w:pPr>
      <w:r>
        <w:rPr>
          <w:rFonts w:ascii="Arial" w:cs="Arial" w:eastAsia="Arial" w:hAnsi="Arial"/>
          <w:b w:val="false"/>
          <w:bCs w:val="false"/>
          <w:i w:val="false"/>
          <w:iCs w:val="false"/>
          <w:color w:val="333333"/>
          <w:sz w:val="21"/>
          <w:szCs w:val="21"/>
        </w:rPr>
        <w:t xml:space="preserve">Each task is stored as a JSON object with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Field</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Type</w:t>
            </w:r>
          </w:p>
        </w:tc>
        <w:tc>
          <w:tcPr>
            <w:tcW w:type="dxa" w:w="46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task_id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string</w:t>
            </w:r>
          </w:p>
        </w:tc>
        <w:tc>
          <w:tcPr>
            <w:tcW w:type="dxa" w:w="4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Unique identifier, e.g. MATH_042</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prompt</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string</w:t>
            </w:r>
          </w:p>
        </w:tc>
        <w:tc>
          <w:tcPr>
            <w:tcW w:type="dxa" w:w="46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The full task text as a clear, complete question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category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string</w:t>
            </w:r>
          </w:p>
        </w:tc>
        <w:tc>
          <w:tcPr>
            <w:tcW w:type="dxa" w:w="4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One of the 10 category keys, e.g. mathematical_logic</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difficulty</w:t>
            </w:r>
          </w:p>
        </w:tc>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string</w:t>
            </w:r>
          </w:p>
        </w:tc>
        <w:tc>
          <w:tcPr>
            <w:tcW w:type="dxa" w:w="46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Either moderate or hard</w:t>
            </w:r>
          </w:p>
        </w:tc>
      </w:tr>
    </w:tbl>
    <w:p>
      <w:pPr>
        <w:pStyle w:val="Heading1"/>
        <w:spacing w:after="160" w:before="360"/>
      </w:pPr>
      <w:r>
        <w:rPr>
          <w:rFonts w:ascii="Arial" w:cs="Arial" w:eastAsia="Arial" w:hAnsi="Arial"/>
          <w:b/>
          <w:bCs/>
          <w:color w:val="1B3A5C"/>
          <w:sz w:val="32"/>
          <w:szCs w:val="32"/>
        </w:rPr>
        <w:t xml:space="preserve">4. Step 2: Reasoning Chain Generation</w:t>
      </w:r>
    </w:p>
    <w:p>
      <w:pPr>
        <w:pStyle w:val="Heading2"/>
        <w:spacing w:after="120" w:before="280"/>
      </w:pPr>
      <w:r>
        <w:rPr>
          <w:rFonts w:ascii="Arial" w:cs="Arial" w:eastAsia="Arial" w:hAnsi="Arial"/>
          <w:b/>
          <w:bCs/>
          <w:color w:val="2E6B9E"/>
          <w:sz w:val="26"/>
          <w:szCs w:val="26"/>
        </w:rPr>
        <w:t xml:space="preserve">4.1 Purpose</w:t>
      </w:r>
    </w:p>
    <w:p>
      <w:pPr>
        <w:spacing w:after="80" w:before="80" w:line="276"/>
      </w:pPr>
      <w:r>
        <w:rPr>
          <w:rFonts w:ascii="Arial" w:cs="Arial" w:eastAsia="Arial" w:hAnsi="Arial"/>
          <w:b w:val="false"/>
          <w:bCs w:val="false"/>
          <w:i w:val="false"/>
          <w:iCs w:val="false"/>
          <w:color w:val="333333"/>
          <w:sz w:val="21"/>
          <w:szCs w:val="21"/>
        </w:rPr>
        <w:t xml:space="preserve">Each task is fed to a DeepSeek-R1-Distill model, which generates an extended reasoning chain. These chains are the raw material for all downstream analysis. The model reasons inside a structured template that separates the reasoning process (inside &lt;think&gt; tags) from the final answer.</w:t>
      </w:r>
    </w:p>
    <w:p>
      <w:pPr>
        <w:pStyle w:val="Heading2"/>
        <w:spacing w:after="120" w:before="280"/>
      </w:pPr>
      <w:r>
        <w:rPr>
          <w:rFonts w:ascii="Arial" w:cs="Arial" w:eastAsia="Arial" w:hAnsi="Arial"/>
          <w:b/>
          <w:bCs/>
          <w:color w:val="2E6B9E"/>
          <w:sz w:val="26"/>
          <w:szCs w:val="26"/>
        </w:rPr>
        <w:t xml:space="preserve">4.2 Model Selection</w:t>
      </w:r>
    </w:p>
    <w:p>
      <w:pPr>
        <w:spacing w:after="80" w:before="80" w:line="276"/>
      </w:pPr>
      <w:r>
        <w:rPr>
          <w:rFonts w:ascii="Arial" w:cs="Arial" w:eastAsia="Arial" w:hAnsi="Arial"/>
          <w:color w:val="333333"/>
          <w:sz w:val="21"/>
          <w:szCs w:val="21"/>
        </w:rPr>
        <w:t xml:space="preserve">The primary model is </w:t>
      </w:r>
      <w:r>
        <w:rPr>
          <w:rFonts w:ascii="Arial" w:cs="Arial" w:eastAsia="Arial" w:hAnsi="Arial"/>
          <w:b/>
          <w:bCs/>
          <w:color w:val="333333"/>
          <w:sz w:val="21"/>
          <w:szCs w:val="21"/>
        </w:rPr>
        <w:t xml:space="preserve">DeepSeek-R1-Distill-Qwen-1.5B</w:t>
      </w:r>
      <w:r>
        <w:rPr>
          <w:rFonts w:ascii="Arial" w:cs="Arial" w:eastAsia="Arial" w:hAnsi="Arial"/>
          <w:color w:val="333333"/>
          <w:sz w:val="21"/>
          <w:szCs w:val="21"/>
        </w:rPr>
        <w:t xml:space="preserve"> (HuggingFace ID: deepseek-ai/DeepSeek-R1-Distill-Qwen-1.5B). This is a 1.5-billion parameter model distilled from DeepSeek-R1, a 671B-parameter mixture-of-experts thinking model. The distilled version retains the extended reasoning behaviour of the parent model while being small enough to run on a free-tier T4 GPU (16 GB VRAM) with approximately 3 GB of GPU memory usage in float16 precision.</w:t>
      </w:r>
    </w:p>
    <w:p>
      <w:pPr>
        <w:spacing w:after="80" w:before="80" w:line="276"/>
      </w:pPr>
      <w:r>
        <w:rPr>
          <w:rFonts w:ascii="Arial" w:cs="Arial" w:eastAsia="Arial" w:hAnsi="Arial"/>
          <w:b w:val="false"/>
          <w:bCs w:val="false"/>
          <w:i w:val="false"/>
          <w:iCs w:val="false"/>
          <w:color w:val="333333"/>
          <w:sz w:val="21"/>
          <w:szCs w:val="21"/>
        </w:rPr>
        <w:t xml:space="preserve">The project also supports two secondary models for replication: DeepSeek-R1-Distill-Qwen-7B (requires an A100 or equivalent) and DeepSeek-R1-Distill-Llama-8B (for cross-architecture validation). These are specified in the configuration file and can be selected via the --model flag in the pipeline script.</w:t>
      </w:r>
    </w:p>
    <w:p>
      <w:pPr>
        <w:pStyle w:val="Heading2"/>
        <w:spacing w:after="120" w:before="280"/>
      </w:pPr>
      <w:r>
        <w:rPr>
          <w:rFonts w:ascii="Arial" w:cs="Arial" w:eastAsia="Arial" w:hAnsi="Arial"/>
          <w:b/>
          <w:bCs/>
          <w:color w:val="2E6B9E"/>
          <w:sz w:val="26"/>
          <w:szCs w:val="26"/>
        </w:rPr>
        <w:t xml:space="preserve">4.3 Prompt Template</w:t>
      </w:r>
    </w:p>
    <w:p>
      <w:pPr>
        <w:spacing w:after="80" w:before="80" w:line="276"/>
      </w:pPr>
      <w:r>
        <w:rPr>
          <w:rFonts w:ascii="Arial" w:cs="Arial" w:eastAsia="Arial" w:hAnsi="Arial"/>
          <w:b w:val="false"/>
          <w:bCs w:val="false"/>
          <w:i w:val="false"/>
          <w:iCs w:val="false"/>
          <w:color w:val="333333"/>
          <w:sz w:val="21"/>
          <w:szCs w:val="21"/>
        </w:rPr>
        <w:t xml:space="preserve">DeepSeek-R1-Distill models expect a specific prompt format. The template places the user instruction between special tokens and opens a &lt;think&gt; block where the model generates its reasoning chain:</w:t>
      </w:r>
    </w:p>
    <w:p>
      <w:pPr>
        <w:spacing w:after="60" w:before="60" w:line="240"/>
        <w:ind w:left="360"/>
      </w:pPr>
      <w:r>
        <w:rPr>
          <w:rFonts w:ascii="Consolas" w:cs="Consolas" w:eastAsia="Consolas" w:hAnsi="Consolas"/>
          <w:color w:val="2D2D2D"/>
          <w:sz w:val="18"/>
          <w:szCs w:val="18"/>
        </w:rPr>
        <w:t xml:space="preserve">&lt;|begin_of_sentence|&gt;&lt;|User|&gt;{instruction}&lt;|Assistant|&gt;&lt;think&gt;</w:t>
      </w:r>
    </w:p>
    <w:p>
      <w:pPr>
        <w:spacing w:after="80" w:before="80" w:line="276"/>
      </w:pPr>
      <w:r>
        <w:rPr>
          <w:rFonts w:ascii="Arial" w:cs="Arial" w:eastAsia="Arial" w:hAnsi="Arial"/>
          <w:color w:val="333333"/>
          <w:sz w:val="21"/>
          <w:szCs w:val="21"/>
        </w:rPr>
        <w:t xml:space="preserve">The content generated after </w:t>
      </w:r>
      <w:r>
        <w:rPr>
          <w:rFonts w:ascii="Arial" w:cs="Arial" w:eastAsia="Arial" w:hAnsi="Arial"/>
          <w:b/>
          <w:bCs/>
          <w:color w:val="333333"/>
          <w:sz w:val="21"/>
          <w:szCs w:val="21"/>
        </w:rPr>
        <w:t xml:space="preserve">&lt;think&gt;</w:t>
      </w:r>
      <w:r>
        <w:rPr>
          <w:rFonts w:ascii="Arial" w:cs="Arial" w:eastAsia="Arial" w:hAnsi="Arial"/>
          <w:color w:val="333333"/>
          <w:sz w:val="21"/>
          <w:szCs w:val="21"/>
        </w:rPr>
        <w:t xml:space="preserve"> constitutes the reasoning chain. The model eventually produces a </w:t>
      </w:r>
      <w:r>
        <w:rPr>
          <w:rFonts w:ascii="Arial" w:cs="Arial" w:eastAsia="Arial" w:hAnsi="Arial"/>
          <w:b/>
          <w:bCs/>
          <w:color w:val="333333"/>
          <w:sz w:val="21"/>
          <w:szCs w:val="21"/>
        </w:rPr>
        <w:t xml:space="preserve">&lt;/think&gt;</w:t>
      </w:r>
      <w:r>
        <w:rPr>
          <w:rFonts w:ascii="Arial" w:cs="Arial" w:eastAsia="Arial" w:hAnsi="Arial"/>
          <w:color w:val="333333"/>
          <w:sz w:val="21"/>
          <w:szCs w:val="21"/>
        </w:rPr>
        <w:t xml:space="preserve"> token followed by its final answer. For our purposes, we capture everything after the prompt as the chain text.</w:t>
      </w:r>
    </w:p>
    <w:p>
      <w:pPr>
        <w:pStyle w:val="Heading2"/>
        <w:spacing w:after="120" w:before="280"/>
      </w:pPr>
      <w:r>
        <w:rPr>
          <w:rFonts w:ascii="Arial" w:cs="Arial" w:eastAsia="Arial" w:hAnsi="Arial"/>
          <w:b/>
          <w:bCs/>
          <w:color w:val="2E6B9E"/>
          <w:sz w:val="26"/>
          <w:szCs w:val="26"/>
        </w:rPr>
        <w:t xml:space="preserve">4.4 Generation Protocol</w:t>
      </w:r>
    </w:p>
    <w:p>
      <w:pPr>
        <w:spacing w:after="80" w:before="80" w:line="276"/>
      </w:pPr>
      <w:r>
        <w:rPr>
          <w:rFonts w:ascii="Arial" w:cs="Arial" w:eastAsia="Arial" w:hAnsi="Arial"/>
          <w:b w:val="false"/>
          <w:bCs w:val="false"/>
          <w:i w:val="false"/>
          <w:iCs w:val="false"/>
          <w:color w:val="333333"/>
          <w:sz w:val="21"/>
          <w:szCs w:val="21"/>
        </w:rPr>
        <w:t xml:space="preserve">Following Venhoff et al., chains are generated using greedy decoding (temperature = 0.0) to ensure reproducibility. Each task is allowed up to 1,000 tokens of generation. Greedy decoding means the model always selects the highest-probability next token, producing deterministic outputs for the same input.</w:t>
      </w:r>
    </w:p>
    <w:p>
      <w:pPr>
        <w:spacing w:after="80" w:before="80" w:line="276"/>
      </w:pPr>
      <w:r>
        <w:rPr>
          <w:rFonts w:ascii="Arial" w:cs="Arial" w:eastAsia="Arial" w:hAnsi="Arial"/>
          <w:color w:val="333333"/>
          <w:sz w:val="21"/>
          <w:szCs w:val="21"/>
        </w:rPr>
        <w:t xml:space="preserve">The implementation lives in </w:t>
      </w:r>
      <w:r>
        <w:rPr>
          <w:rFonts w:ascii="Arial" w:cs="Arial" w:eastAsia="Arial" w:hAnsi="Arial"/>
          <w:b/>
          <w:bCs/>
          <w:color w:val="333333"/>
          <w:sz w:val="21"/>
          <w:szCs w:val="21"/>
        </w:rPr>
        <w:t xml:space="preserve">src/data/generate_chains.py</w:t>
      </w:r>
      <w:r>
        <w:rPr>
          <w:rFonts w:ascii="Arial" w:cs="Arial" w:eastAsia="Arial" w:hAnsi="Arial"/>
          <w:color w:val="333333"/>
          <w:sz w:val="21"/>
          <w:szCs w:val="21"/>
        </w:rPr>
        <w:t xml:space="preserve">. The key function is </w:t>
      </w:r>
      <w:r>
        <w:rPr>
          <w:rFonts w:ascii="Arial" w:cs="Arial" w:eastAsia="Arial" w:hAnsi="Arial"/>
          <w:b/>
          <w:bCs/>
          <w:color w:val="333333"/>
          <w:sz w:val="21"/>
          <w:szCs w:val="21"/>
        </w:rPr>
        <w:t xml:space="preserve">generate_chains_for_tasks()</w:t>
      </w:r>
      <w:r>
        <w:rPr>
          <w:rFonts w:ascii="Arial" w:cs="Arial" w:eastAsia="Arial" w:hAnsi="Arial"/>
          <w:color w:val="333333"/>
          <w:sz w:val="21"/>
          <w:szCs w:val="21"/>
        </w:rPr>
        <w:t xml:space="preserve">, which iterates over all tasks with a progress bar and saves checkpoints every N chains (default 25 for Colab, 50 for local). If the process is interrupted and restarted, the function detects the existing checkpoint and resumes from the last saved chain.</w:t>
      </w:r>
    </w:p>
    <w:p>
      <w:pPr>
        <w:pStyle w:val="Heading2"/>
        <w:spacing w:after="120" w:before="280"/>
      </w:pPr>
      <w:r>
        <w:rPr>
          <w:rFonts w:ascii="Arial" w:cs="Arial" w:eastAsia="Arial" w:hAnsi="Arial"/>
          <w:b/>
          <w:bCs/>
          <w:color w:val="2E6B9E"/>
          <w:sz w:val="26"/>
          <w:szCs w:val="26"/>
        </w:rPr>
        <w:t xml:space="preserve">4.5 Checkpointing and Resumption</w:t>
      </w:r>
    </w:p>
    <w:p>
      <w:pPr>
        <w:spacing w:after="80" w:before="80" w:line="276"/>
      </w:pPr>
      <w:r>
        <w:rPr>
          <w:rFonts w:ascii="Arial" w:cs="Arial" w:eastAsia="Arial" w:hAnsi="Arial"/>
          <w:b w:val="false"/>
          <w:bCs w:val="false"/>
          <w:i w:val="false"/>
          <w:iCs w:val="false"/>
          <w:color w:val="333333"/>
          <w:sz w:val="21"/>
          <w:szCs w:val="21"/>
        </w:rPr>
        <w:t xml:space="preserve">Cloud notebook environments like Google Colab may disconnect after 90 minutes of inactivity or 12 hours total. The checkpointing system handles this by writing all completed chains to a JSON file at regular intervals, using atomic writes (write to a .tmp file, then rename) to avoid corruption. When the function is called again with the same save_path, it loads the existing checkpoint and continues from where it left off. This is the same pattern used in Step 3 for annotation.</w:t>
      </w:r>
    </w:p>
    <w:p>
      <w:pPr>
        <w:pStyle w:val="Heading2"/>
        <w:spacing w:after="120" w:before="280"/>
      </w:pPr>
      <w:r>
        <w:rPr>
          <w:rFonts w:ascii="Arial" w:cs="Arial" w:eastAsia="Arial" w:hAnsi="Arial"/>
          <w:b/>
          <w:bCs/>
          <w:color w:val="2E6B9E"/>
          <w:sz w:val="26"/>
          <w:szCs w:val="26"/>
        </w:rPr>
        <w:t xml:space="preserve">4.6 Output Schema</w:t>
      </w:r>
    </w:p>
    <w:p>
      <w:pPr>
        <w:spacing w:after="80" w:before="80" w:line="276"/>
      </w:pPr>
      <w:r>
        <w:rPr>
          <w:rFonts w:ascii="Arial" w:cs="Arial" w:eastAsia="Arial" w:hAnsi="Arial"/>
          <w:b w:val="false"/>
          <w:bCs w:val="false"/>
          <w:i w:val="false"/>
          <w:iCs w:val="false"/>
          <w:color w:val="333333"/>
          <w:sz w:val="21"/>
          <w:szCs w:val="21"/>
        </w:rPr>
        <w:t xml:space="preserve">Each chain record contains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Field</w:t>
            </w:r>
          </w:p>
        </w:tc>
        <w:tc>
          <w:tcPr>
            <w:tcW w:type="dxa" w:w="66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Description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task_id</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Matches the originating task</w:t>
            </w:r>
          </w:p>
        </w:tc>
      </w:tr>
      <w:tr>
        <w:tc>
          <w:tcPr>
            <w:tcW w:type="dxa" w:w="24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category</w:t>
            </w:r>
          </w:p>
        </w:tc>
        <w:tc>
          <w:tcPr>
            <w:tcW w:type="dxa" w:w="66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Task category (e.g. mathematical_logic)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instruction</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The original task prompt text</w:t>
            </w:r>
          </w:p>
        </w:tc>
      </w:tr>
      <w:tr>
        <w:tc>
          <w:tcPr>
            <w:tcW w:type="dxa" w:w="24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chain</w:t>
            </w:r>
          </w:p>
        </w:tc>
        <w:tc>
          <w:tcPr>
            <w:tcW w:type="dxa" w:w="66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The generated reasoning chain text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n_tokens</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Number of tokens in the generated chain</w:t>
            </w:r>
          </w:p>
        </w:tc>
      </w:tr>
      <w:tr>
        <w:tc>
          <w:tcPr>
            <w:tcW w:type="dxa" w:w="24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prompt_template</w:t>
            </w:r>
          </w:p>
        </w:tc>
        <w:tc>
          <w:tcPr>
            <w:tcW w:type="dxa" w:w="66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The full formatted prompt string (needed for activation extraction in Phase 2)</w:t>
            </w:r>
          </w:p>
        </w:tc>
      </w:tr>
    </w:tbl>
    <w:p>
      <w:pPr>
        <w:pStyle w:val="Heading2"/>
        <w:spacing w:after="120" w:before="280"/>
      </w:pPr>
      <w:r>
        <w:rPr>
          <w:rFonts w:ascii="Arial" w:cs="Arial" w:eastAsia="Arial" w:hAnsi="Arial"/>
          <w:b/>
          <w:bCs/>
          <w:color w:val="2E6B9E"/>
          <w:sz w:val="26"/>
          <w:szCs w:val="26"/>
        </w:rPr>
        <w:t xml:space="preserve">4.7 Expected Statistics</w:t>
      </w:r>
    </w:p>
    <w:p>
      <w:pPr>
        <w:spacing w:after="80" w:before="80" w:line="276"/>
      </w:pPr>
      <w:r>
        <w:rPr>
          <w:rFonts w:ascii="Arial" w:cs="Arial" w:eastAsia="Arial" w:hAnsi="Arial"/>
          <w:b w:val="false"/>
          <w:bCs w:val="false"/>
          <w:i w:val="false"/>
          <w:iCs w:val="false"/>
          <w:color w:val="333333"/>
          <w:sz w:val="21"/>
          <w:szCs w:val="21"/>
        </w:rPr>
        <w:t xml:space="preserve">Based on Venhoff et al.’s findings, DeepSeek-R1-Distill models generate chains averaging approximately 27.6 sentences. With 1,000 chains, this yields roughly 25,000–30,000 total sentences to annotate. The mean token count per chain varies by task difficulty, typically ranging from 200–800 tokens for the 1.5B model.</w:t>
      </w:r>
    </w:p>
    <w:p>
      <w:pPr>
        <w:pStyle w:val="Heading1"/>
        <w:spacing w:after="160" w:before="360"/>
      </w:pPr>
      <w:r>
        <w:rPr>
          <w:rFonts w:ascii="Arial" w:cs="Arial" w:eastAsia="Arial" w:hAnsi="Arial"/>
          <w:b/>
          <w:bCs/>
          <w:color w:val="1B3A5C"/>
          <w:sz w:val="32"/>
          <w:szCs w:val="32"/>
        </w:rPr>
        <w:t xml:space="preserve">5. Step 3: Sentence-Level Annotation</w:t>
      </w:r>
    </w:p>
    <w:p>
      <w:pPr>
        <w:pStyle w:val="Heading2"/>
        <w:spacing w:after="120" w:before="280"/>
      </w:pPr>
      <w:r>
        <w:rPr>
          <w:rFonts w:ascii="Arial" w:cs="Arial" w:eastAsia="Arial" w:hAnsi="Arial"/>
          <w:b/>
          <w:bCs/>
          <w:color w:val="2E6B9E"/>
          <w:sz w:val="26"/>
          <w:szCs w:val="26"/>
        </w:rPr>
        <w:t xml:space="preserve">5.1 Purpose</w:t>
      </w:r>
    </w:p>
    <w:p>
      <w:pPr>
        <w:spacing w:after="80" w:before="80" w:line="276"/>
      </w:pPr>
      <w:r>
        <w:rPr>
          <w:rFonts w:ascii="Arial" w:cs="Arial" w:eastAsia="Arial" w:hAnsi="Arial"/>
          <w:b w:val="false"/>
          <w:bCs w:val="false"/>
          <w:i w:val="false"/>
          <w:iCs w:val="false"/>
          <w:color w:val="333333"/>
          <w:sz w:val="21"/>
          <w:szCs w:val="21"/>
        </w:rPr>
        <w:t xml:space="preserve">The annotation step is the bridge between raw text and quantitative analysis. By classifying each sentence into a behavioural category, we create the index needed to extract activations at behaviour-specific token positions in Phase 2. The annotation also enables measuring how behaviour fractions change under steering interventions in Phase 5.</w:t>
      </w:r>
    </w:p>
    <w:p>
      <w:pPr>
        <w:pStyle w:val="Heading2"/>
        <w:spacing w:after="120" w:before="280"/>
      </w:pPr>
      <w:r>
        <w:rPr>
          <w:rFonts w:ascii="Arial" w:cs="Arial" w:eastAsia="Arial" w:hAnsi="Arial"/>
          <w:b/>
          <w:bCs/>
          <w:color w:val="2E6B9E"/>
          <w:sz w:val="26"/>
          <w:szCs w:val="26"/>
        </w:rPr>
        <w:t xml:space="preserve">5.2 The Behavioural Taxonomy</w:t>
      </w:r>
    </w:p>
    <w:p>
      <w:pPr>
        <w:spacing w:after="80" w:before="80" w:line="276"/>
      </w:pPr>
      <w:r>
        <w:rPr>
          <w:rFonts w:ascii="Arial" w:cs="Arial" w:eastAsia="Arial" w:hAnsi="Arial"/>
          <w:b w:val="false"/>
          <w:bCs w:val="false"/>
          <w:i w:val="false"/>
          <w:iCs w:val="false"/>
          <w:color w:val="333333"/>
          <w:sz w:val="21"/>
          <w:szCs w:val="21"/>
        </w:rPr>
        <w:t xml:space="preserve">Following Venhoff et al., each sentence is classified into exactly one of six categories. The categories are listed here in priority order: when a sentence could plausibly fit multiple categories, the higher-priority category takes precedence.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c>
          <w:tcPr>
            <w:tcW w:type="dxa" w:w="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Category</w:t>
            </w:r>
          </w:p>
        </w:tc>
        <w:tc>
          <w:tcPr>
            <w:tcW w:type="dxa" w:w="57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Definition and Key Signals</w:t>
            </w:r>
          </w:p>
        </w:tc>
      </w:tr>
      <w:tr>
        <w:tc>
          <w:tcPr>
            <w:tcW w:type="dxa" w:w="700"/>
            <w:tcBorders>
              <w:top w:val="single" w:color="BBBBBB" w:sz="1"/>
              <w:left w:val="single" w:color="BBBBBB" w:sz="1"/>
              <w:bottom w:val="single" w:color="BBBBBB" w:sz="1"/>
              <w:right w:val="single" w:color="BBBBBB" w:sz="1"/>
            </w:tcBorders>
            <w:shd w:fill="FFF3F3"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1</w:t>
            </w:r>
          </w:p>
        </w:tc>
        <w:tc>
          <w:tcPr>
            <w:tcW w:type="dxa" w:w="2600"/>
            <w:tcBorders>
              <w:top w:val="single" w:color="BBBBBB" w:sz="1"/>
              <w:left w:val="single" w:color="BBBBBB" w:sz="1"/>
              <w:bottom w:val="single" w:color="BBBBBB" w:sz="1"/>
              <w:right w:val="single" w:color="BBBBBB" w:sz="1"/>
            </w:tcBorders>
            <w:shd w:fill="FFF3F3"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BACKTRACKING</w:t>
            </w:r>
          </w:p>
        </w:tc>
        <w:tc>
          <w:tcPr>
            <w:tcW w:type="dxa" w:w="5726"/>
            <w:tcBorders>
              <w:top w:val="single" w:color="BBBBBB" w:sz="1"/>
              <w:left w:val="single" w:color="BBBBBB" w:sz="1"/>
              <w:bottom w:val="single" w:color="BBBBBB" w:sz="1"/>
              <w:right w:val="single" w:color="BBBBBB" w:sz="1"/>
            </w:tcBorders>
            <w:shd w:fill="FFF3F3"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The model abandons or reverses its current approach. Signals: “wait”, “actually”, “let me reconsider”, pivoting to a different strategy.</w:t>
            </w:r>
          </w:p>
        </w:tc>
      </w:tr>
      <w:tr>
        <w:tc>
          <w:tcPr>
            <w:tcW w:type="dxa" w:w="700"/>
            <w:tcBorders>
              <w:top w:val="single" w:color="BBBBBB" w:sz="1"/>
              <w:left w:val="single" w:color="BBBBBB" w:sz="1"/>
              <w:bottom w:val="single" w:color="BBBBBB" w:sz="1"/>
              <w:right w:val="single" w:color="BBBBBB" w:sz="1"/>
            </w:tcBorders>
            <w:shd w:fill="F0F7FF"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2</w:t>
            </w:r>
          </w:p>
        </w:tc>
        <w:tc>
          <w:tcPr>
            <w:tcW w:type="dxa" w:w="2600"/>
            <w:tcBorders>
              <w:top w:val="single" w:color="BBBBBB" w:sz="1"/>
              <w:left w:val="single" w:color="BBBBBB" w:sz="1"/>
              <w:bottom w:val="single" w:color="BBBBBB" w:sz="1"/>
              <w:right w:val="single" w:color="BBBBBB" w:sz="1"/>
            </w:tcBorders>
            <w:shd w:fill="F0F7FF"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UNCERTAINTY_ESTIMATION</w:t>
            </w:r>
          </w:p>
        </w:tc>
        <w:tc>
          <w:tcPr>
            <w:tcW w:type="dxa" w:w="5726"/>
            <w:tcBorders>
              <w:top w:val="single" w:color="BBBBBB" w:sz="1"/>
              <w:left w:val="single" w:color="BBBBBB" w:sz="1"/>
              <w:bottom w:val="single" w:color="BBBBBB" w:sz="1"/>
              <w:right w:val="single" w:color="BBBBBB" w:sz="1"/>
            </w:tcBorders>
            <w:shd w:fill="F0F7FF"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The model explicitly expresses doubt or confidence. Signals: “I think”, “I’m not sure”, “probably”, hedging language.</w:t>
            </w:r>
          </w:p>
        </w:tc>
      </w:tr>
      <w:tr>
        <w:tc>
          <w:tcPr>
            <w:tcW w:type="dxa" w:w="70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3</w:t>
            </w:r>
          </w:p>
        </w:tc>
        <w:tc>
          <w:tcPr>
            <w:tcW w:type="dxa" w:w="260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EXAMPLE_TESTING</w:t>
            </w:r>
          </w:p>
        </w:tc>
        <w:tc>
          <w:tcPr>
            <w:tcW w:type="dxa" w:w="5726"/>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The model generates a concrete example or test case to validate its hypothesis. Signals: “for example”, “let’s say”, “consider the case”.</w:t>
            </w:r>
          </w:p>
        </w:tc>
      </w:tr>
      <w:tr>
        <w:tc>
          <w:tcPr>
            <w:tcW w:type="dxa" w:w="700"/>
            <w:tcBorders>
              <w:top w:val="single" w:color="BBBBBB" w:sz="1"/>
              <w:left w:val="single" w:color="BBBBBB" w:sz="1"/>
              <w:bottom w:val="single" w:color="BBBBBB" w:sz="1"/>
              <w:right w:val="single" w:color="BBBBBB" w:sz="1"/>
            </w:tcBorders>
            <w:shd w:fill="FFFFF0"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4</w:t>
            </w:r>
          </w:p>
        </w:tc>
        <w:tc>
          <w:tcPr>
            <w:tcW w:type="dxa" w:w="2600"/>
            <w:tcBorders>
              <w:top w:val="single" w:color="BBBBBB" w:sz="1"/>
              <w:left w:val="single" w:color="BBBBBB" w:sz="1"/>
              <w:bottom w:val="single" w:color="BBBBBB" w:sz="1"/>
              <w:right w:val="single" w:color="BBBBBB" w:sz="1"/>
            </w:tcBorders>
            <w:shd w:fill="FFFFF0"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KNOWLEDGE_AUGMENTATION</w:t>
            </w:r>
          </w:p>
        </w:tc>
        <w:tc>
          <w:tcPr>
            <w:tcW w:type="dxa" w:w="5726"/>
            <w:tcBorders>
              <w:top w:val="single" w:color="BBBBBB" w:sz="1"/>
              <w:left w:val="single" w:color="BBBBBB" w:sz="1"/>
              <w:bottom w:val="single" w:color="BBBBBB" w:sz="1"/>
              <w:right w:val="single" w:color="BBBBBB" w:sz="1"/>
            </w:tcBorders>
            <w:shd w:fill="FFFFF0"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The model introduces external knowledge not directly derivable from the problem. Signals: recalling theorems, citing properties, defining terms.</w:t>
            </w:r>
          </w:p>
        </w:tc>
      </w:tr>
      <w:tr>
        <w:tc>
          <w:tcPr>
            <w:tcW w:type="dxa" w:w="7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5</w:t>
            </w:r>
          </w:p>
        </w:tc>
        <w:tc>
          <w:tcPr>
            <w:tcW w:type="dxa" w:w="2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INITIALIZATION</w:t>
            </w:r>
          </w:p>
        </w:tc>
        <w:tc>
          <w:tcPr>
            <w:tcW w:type="dxa" w:w="5726"/>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The model restates or paraphrases the problem and sets up its approach. Usually only at the very start of a chain.</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DEDUCTION</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The model derives a conclusion or takes a forward logical step. This is the default category for standard reasoning steps.</w:t>
            </w:r>
          </w:p>
        </w:tc>
      </w:tr>
    </w:tbl>
    <w:p>
      <w:pPr>
        <w:spacing w:after="80" w:before="160" w:line="276"/>
      </w:pPr>
      <w:r>
        <w:rPr>
          <w:rFonts w:ascii="Arial" w:cs="Arial" w:eastAsia="Arial" w:hAnsi="Arial"/>
          <w:color w:val="333333"/>
          <w:sz w:val="21"/>
          <w:szCs w:val="21"/>
        </w:rPr>
        <w:t xml:space="preserve">The first four categories are the </w:t>
      </w:r>
      <w:r>
        <w:rPr>
          <w:rFonts w:ascii="Arial" w:cs="Arial" w:eastAsia="Arial" w:hAnsi="Arial"/>
          <w:b/>
          <w:bCs/>
          <w:color w:val="333333"/>
          <w:sz w:val="21"/>
          <w:szCs w:val="21"/>
        </w:rPr>
        <w:t xml:space="preserve">target behaviours</w:t>
      </w:r>
      <w:r>
        <w:rPr>
          <w:rFonts w:ascii="Arial" w:cs="Arial" w:eastAsia="Arial" w:hAnsi="Arial"/>
          <w:color w:val="333333"/>
          <w:sz w:val="21"/>
          <w:szCs w:val="21"/>
        </w:rPr>
        <w:t xml:space="preserve"> for the project. Venhoff et al. showed that these four are significantly more prevalent in thinking models than in non-thinking baselines, making them the distinctive signatures of the extended reasoning process. Initialization and Deduction appear in roughly equal proportions across thinking and non-thinking models, so they are not targets for steering.</w:t>
      </w:r>
    </w:p>
    <w:p>
      <w:pPr>
        <w:pStyle w:val="Heading2"/>
        <w:spacing w:after="120" w:before="280"/>
      </w:pPr>
      <w:r>
        <w:rPr>
          <w:rFonts w:ascii="Arial" w:cs="Arial" w:eastAsia="Arial" w:hAnsi="Arial"/>
          <w:b/>
          <w:bCs/>
          <w:color w:val="2E6B9E"/>
          <w:sz w:val="26"/>
          <w:szCs w:val="26"/>
        </w:rPr>
        <w:t xml:space="preserve">5.3 Expected Behaviour Fractions</w:t>
      </w:r>
    </w:p>
    <w:p>
      <w:pPr>
        <w:spacing w:after="80" w:before="80" w:line="276"/>
      </w:pPr>
      <w:r>
        <w:rPr>
          <w:rFonts w:ascii="Arial" w:cs="Arial" w:eastAsia="Arial" w:hAnsi="Arial"/>
          <w:b w:val="false"/>
          <w:bCs w:val="false"/>
          <w:i w:val="false"/>
          <w:iCs w:val="false"/>
          <w:color w:val="333333"/>
          <w:sz w:val="21"/>
          <w:szCs w:val="21"/>
        </w:rPr>
        <w:t xml:space="preserve">Based on Venhoff et al.’s empirical results across five DeepSeek-R1-Distill models, the expected fraction of sentences in each category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26"/>
        <w:gridCol w:w="2000"/>
      </w:tblGrid>
      <w:tr>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Behaviour</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Expected %</w:t>
            </w:r>
          </w:p>
        </w:tc>
        <w:tc>
          <w:tcPr>
            <w:tcW w:type="dxa" w:w="20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Est. Instances</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Min. Required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BACKTRACKING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~4%</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~100–150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50</w:t>
            </w:r>
          </w:p>
        </w:tc>
      </w:tr>
      <w:tr>
        <w:tc>
          <w:tcPr>
            <w:tcW w:type="dxa" w:w="3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UNCERTAINTY_ESTIMATION</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~9%</w:t>
            </w:r>
          </w:p>
        </w:tc>
        <w:tc>
          <w:tcPr>
            <w:tcW w:type="dxa" w:w="2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~250–350</w:t>
            </w:r>
          </w:p>
        </w:tc>
        <w:tc>
          <w:tcPr>
            <w:tcW w:type="dxa" w:w="2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50</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EXAMPLE_TESTING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~6%</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~150–250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50</w:t>
            </w:r>
          </w:p>
        </w:tc>
      </w:tr>
      <w:tr>
        <w:tc>
          <w:tcPr>
            <w:tcW w:type="dxa" w:w="3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KNOWLEDGE_AUGMENTATION</w:t>
            </w:r>
          </w:p>
        </w:tc>
        <w:tc>
          <w:tcPr>
            <w:tcW w:type="dxa" w:w="18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~15%</w:t>
            </w:r>
          </w:p>
        </w:tc>
        <w:tc>
          <w:tcPr>
            <w:tcW w:type="dxa" w:w="2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~400–500</w:t>
            </w:r>
          </w:p>
        </w:tc>
        <w:tc>
          <w:tcPr>
            <w:tcW w:type="dxa" w:w="2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50</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DEDUCTION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~52%</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~13,000–15,000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w:t>
            </w:r>
          </w:p>
        </w:tc>
      </w:tr>
    </w:tbl>
    <w:p>
      <w:pPr>
        <w:spacing w:after="80" w:before="80" w:line="276"/>
      </w:pPr>
      <w:r>
        <w:rPr>
          <w:rFonts w:ascii="Arial" w:cs="Arial" w:eastAsia="Arial" w:hAnsi="Arial"/>
          <w:b w:val="false"/>
          <w:bCs w:val="false"/>
          <w:i w:val="false"/>
          <w:iCs w:val="false"/>
          <w:color w:val="333333"/>
          <w:sz w:val="21"/>
          <w:szCs w:val="21"/>
        </w:rPr>
        <w:t xml:space="preserve">The minimum of 50 instances per target behaviour is the threshold for computing PCA with approximately 10 principal components (the effective dimensionality found by Huang et al. for the composite overthinking manifold). With 1,000 chains, even the rarest target behaviour (backtracking at ~4%) should yield 100+ instances, providing comfortable margin.</w:t>
      </w:r>
    </w:p>
    <w:p>
      <w:pPr>
        <w:pStyle w:val="Heading2"/>
        <w:spacing w:after="120" w:before="280"/>
      </w:pPr>
      <w:r>
        <w:rPr>
          <w:rFonts w:ascii="Arial" w:cs="Arial" w:eastAsia="Arial" w:hAnsi="Arial"/>
          <w:b/>
          <w:bCs/>
          <w:color w:val="2E6B9E"/>
          <w:sz w:val="26"/>
          <w:szCs w:val="26"/>
        </w:rPr>
        <w:t xml:space="preserve">5.4 Annotation Implementation</w:t>
      </w:r>
    </w:p>
    <w:p>
      <w:pPr>
        <w:spacing w:after="80" w:before="80" w:line="276"/>
      </w:pPr>
      <w:r>
        <w:rPr>
          <w:rFonts w:ascii="Arial" w:cs="Arial" w:eastAsia="Arial" w:hAnsi="Arial"/>
          <w:color w:val="333333"/>
          <w:sz w:val="21"/>
          <w:szCs w:val="21"/>
        </w:rPr>
        <w:t xml:space="preserve">The implementation lives in </w:t>
      </w:r>
      <w:r>
        <w:rPr>
          <w:rFonts w:ascii="Arial" w:cs="Arial" w:eastAsia="Arial" w:hAnsi="Arial"/>
          <w:b/>
          <w:bCs/>
          <w:color w:val="333333"/>
          <w:sz w:val="21"/>
          <w:szCs w:val="21"/>
        </w:rPr>
        <w:t xml:space="preserve">src/data/annotate_chains.py</w:t>
      </w:r>
      <w:r>
        <w:rPr>
          <w:rFonts w:ascii="Arial" w:cs="Arial" w:eastAsia="Arial" w:hAnsi="Arial"/>
          <w:color w:val="333333"/>
          <w:sz w:val="21"/>
          <w:szCs w:val="21"/>
        </w:rPr>
        <w:t xml:space="preserve">. Each chain is sent to GPT-4o with a two-part prompt: a system prompt defining the six categories with priority rules, and a user prompt containing the chain text. GPT-4o returns a JSON array of sentence annotations.</w:t>
      </w:r>
    </w:p>
    <w:p>
      <w:pPr>
        <w:spacing w:after="80" w:before="80" w:line="276"/>
      </w:pPr>
      <w:r>
        <w:rPr>
          <w:rFonts w:ascii="Arial" w:cs="Arial" w:eastAsia="Arial" w:hAnsi="Arial"/>
          <w:b w:val="false"/>
          <w:bCs w:val="false"/>
          <w:i w:val="false"/>
          <w:iCs w:val="false"/>
          <w:color w:val="333333"/>
          <w:sz w:val="21"/>
          <w:szCs w:val="21"/>
        </w:rPr>
        <w:t xml:space="preserve">The annotation prompt includes several design choices that improve reliability. Categories are listed in priority order, so that when a sentence could fit multiple categories (e.g., a backtracking sentence that also expresses uncertainty), the more informative category wins. The system prompt includes explicit signal words for each category, which grounds the classification in observable textual features rather than requiring subjective judgement. The prompt requests JSON output with no markdown formatting to ensure clean parsing.</w:t>
      </w:r>
    </w:p>
    <w:p>
      <w:pPr>
        <w:spacing w:after="80" w:before="80" w:line="276"/>
      </w:pPr>
      <w:r>
        <w:rPr>
          <w:rFonts w:ascii="Arial" w:cs="Arial" w:eastAsia="Arial" w:hAnsi="Arial"/>
          <w:b w:val="false"/>
          <w:bCs w:val="false"/>
          <w:i w:val="false"/>
          <w:iCs w:val="false"/>
          <w:color w:val="333333"/>
          <w:sz w:val="21"/>
          <w:szCs w:val="21"/>
        </w:rPr>
        <w:t xml:space="preserve">Annotations are checkpointed every 10 chains (configurable), using the same atomic-write pattern as chain generation. Each annotated chain record contains all original fields plus an annotations array of sentence-level classifications.</w:t>
      </w:r>
    </w:p>
    <w:p>
      <w:pPr>
        <w:pStyle w:val="Heading2"/>
        <w:spacing w:after="120" w:before="280"/>
      </w:pPr>
      <w:r>
        <w:rPr>
          <w:rFonts w:ascii="Arial" w:cs="Arial" w:eastAsia="Arial" w:hAnsi="Arial"/>
          <w:b/>
          <w:bCs/>
          <w:color w:val="2E6B9E"/>
          <w:sz w:val="26"/>
          <w:szCs w:val="26"/>
        </w:rPr>
        <w:t xml:space="preserve">5.5 Annotation Quality</w:t>
      </w:r>
    </w:p>
    <w:p>
      <w:pPr>
        <w:spacing w:after="80" w:before="80" w:line="276"/>
      </w:pPr>
      <w:r>
        <w:rPr>
          <w:rFonts w:ascii="Arial" w:cs="Arial" w:eastAsia="Arial" w:hAnsi="Arial"/>
          <w:b w:val="false"/>
          <w:bCs w:val="false"/>
          <w:i w:val="false"/>
          <w:iCs w:val="false"/>
          <w:color w:val="333333"/>
          <w:sz w:val="21"/>
          <w:szCs w:val="21"/>
        </w:rPr>
        <w:t xml:space="preserve">Venhoff et al. note that automated annotation via GPT-4o occasionally produces false positives and false negatives. For a publishable result, you should manually validate a subset of annotations (50–100 chains) and report inter-annotator agreement. Common failure modes include misclassifying rhetorical questions as uncertainty estimation, and misclassifying the first sentence of a new paragraph as initialization when it is actually a deductive continuation.</w:t>
      </w:r>
    </w:p>
    <w:p>
      <w:pPr>
        <w:pStyle w:val="Heading1"/>
        <w:spacing w:after="160" w:before="360"/>
      </w:pPr>
      <w:r>
        <w:rPr>
          <w:rFonts w:ascii="Arial" w:cs="Arial" w:eastAsia="Arial" w:hAnsi="Arial"/>
          <w:b/>
          <w:bCs/>
          <w:color w:val="1B3A5C"/>
          <w:sz w:val="32"/>
          <w:szCs w:val="32"/>
        </w:rPr>
        <w:t xml:space="preserve">6. Step 4: Count Validation</w:t>
      </w:r>
    </w:p>
    <w:p>
      <w:pPr>
        <w:spacing w:after="80" w:before="80" w:line="276"/>
      </w:pPr>
      <w:r>
        <w:rPr>
          <w:rFonts w:ascii="Arial" w:cs="Arial" w:eastAsia="Arial" w:hAnsi="Arial"/>
          <w:b w:val="false"/>
          <w:bCs w:val="false"/>
          <w:i w:val="false"/>
          <w:iCs w:val="false"/>
          <w:color w:val="333333"/>
          <w:sz w:val="21"/>
          <w:szCs w:val="21"/>
        </w:rPr>
        <w:t xml:space="preserve">The validation step is a simple but critical sanity check. It counts the number of instances of each target behaviour across all annotated chains and compares against the minimum threshold of 50 instances per behaviour. If any behaviour falls below threshold, the step logs a warning with three remediation options: generate more chains by increasing n_tasks in the config, increase max_tokens to capture more reasoning per chain, or switch to a larger model (the 7B model tends to reason more verbosely, producing more backtracking and uncertainty instances).</w:t>
      </w:r>
    </w:p>
    <w:p>
      <w:pPr>
        <w:spacing w:after="80" w:before="80" w:line="276"/>
      </w:pPr>
      <w:r>
        <w:rPr>
          <w:rFonts w:ascii="Arial" w:cs="Arial" w:eastAsia="Arial" w:hAnsi="Arial"/>
          <w:color w:val="333333"/>
          <w:sz w:val="21"/>
          <w:szCs w:val="21"/>
        </w:rPr>
        <w:t xml:space="preserve">The validation logic is embedded in </w:t>
      </w:r>
      <w:r>
        <w:rPr>
          <w:rFonts w:ascii="Arial" w:cs="Arial" w:eastAsia="Arial" w:hAnsi="Arial"/>
          <w:b/>
          <w:bCs/>
          <w:color w:val="333333"/>
          <w:sz w:val="21"/>
          <w:szCs w:val="21"/>
        </w:rPr>
        <w:t xml:space="preserve">scripts/run_phase1.py</w:t>
      </w:r>
      <w:r>
        <w:rPr>
          <w:rFonts w:ascii="Arial" w:cs="Arial" w:eastAsia="Arial" w:hAnsi="Arial"/>
          <w:color w:val="333333"/>
          <w:sz w:val="21"/>
          <w:szCs w:val="21"/>
        </w:rPr>
        <w:t xml:space="preserve"> as the </w:t>
      </w:r>
      <w:r>
        <w:rPr>
          <w:rFonts w:ascii="Arial" w:cs="Arial" w:eastAsia="Arial" w:hAnsi="Arial"/>
          <w:b/>
          <w:bCs/>
          <w:color w:val="333333"/>
          <w:sz w:val="21"/>
          <w:szCs w:val="21"/>
        </w:rPr>
        <w:t xml:space="preserve">step_validate()</w:t>
      </w:r>
      <w:r>
        <w:rPr>
          <w:rFonts w:ascii="Arial" w:cs="Arial" w:eastAsia="Arial" w:hAnsi="Arial"/>
          <w:color w:val="333333"/>
          <w:sz w:val="21"/>
          <w:szCs w:val="21"/>
        </w:rPr>
        <w:t xml:space="preserve"> function. It produces a formatted console table showing each behaviour’s count, fraction, and pass/fail status.</w:t>
      </w:r>
    </w:p>
    <w:p>
      <w:pPr>
        <w:pStyle w:val="Heading1"/>
        <w:spacing w:after="160" w:before="360"/>
      </w:pPr>
      <w:r>
        <w:rPr>
          <w:rFonts w:ascii="Arial" w:cs="Arial" w:eastAsia="Arial" w:hAnsi="Arial"/>
          <w:b/>
          <w:bCs/>
          <w:color w:val="1B3A5C"/>
          <w:sz w:val="32"/>
          <w:szCs w:val="32"/>
        </w:rPr>
        <w:t xml:space="preserve">7. File Reference</w:t>
      </w:r>
    </w:p>
    <w:p>
      <w:pPr>
        <w:pStyle w:val="Heading2"/>
        <w:spacing w:after="120" w:before="280"/>
      </w:pPr>
      <w:r>
        <w:rPr>
          <w:rFonts w:ascii="Arial" w:cs="Arial" w:eastAsia="Arial" w:hAnsi="Arial"/>
          <w:b/>
          <w:bCs/>
          <w:color w:val="2E6B9E"/>
          <w:sz w:val="26"/>
          <w:szCs w:val="26"/>
        </w:rPr>
        <w:t xml:space="preserve">7.1 Source Code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326"/>
      </w:tblGrid>
      <w:tr>
        <w:tc>
          <w:tcPr>
            <w:tcW w:type="dxa" w:w="4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File Path</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Lines</w:t>
            </w:r>
          </w:p>
        </w:tc>
        <w:tc>
          <w:tcPr>
            <w:tcW w:type="dxa" w:w="33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Purpose</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configs/experiment_config.yaml</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180</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All experiment parameters</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src/utils/config.py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52</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YAML config loader</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src/utils/model_utils.py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210</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Model loading, prompting, generation</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src/data/generate_tasks.py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201</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GPT-4o task generation</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src/data/generate_chains.py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141</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Chain generation with checkpointing</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src/data/annotate_chains.py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271</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GPT-4o sentence annotation</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src/extraction/hooks.py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152</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Activation extraction hooks (Phase 2)</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src/extraction/extract_activations.py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329</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Per-behaviour activation extraction (Phase 2)</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scripts/run_phase1.py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372</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CLI pipeline orchestrator</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scripts/verify_setup.py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204</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8-point setup health check</w:t>
            </w:r>
          </w:p>
        </w:tc>
      </w:tr>
    </w:tbl>
    <w:p>
      <w:pPr>
        <w:pStyle w:val="Heading2"/>
        <w:spacing w:after="120" w:before="280"/>
      </w:pPr>
      <w:r>
        <w:rPr>
          <w:rFonts w:ascii="Arial" w:cs="Arial" w:eastAsia="Arial" w:hAnsi="Arial"/>
          <w:b/>
          <w:bCs/>
          <w:color w:val="2E6B9E"/>
          <w:sz w:val="26"/>
          <w:szCs w:val="26"/>
        </w:rPr>
        <w:t xml:space="preserve">7.2 Data Flow</w:t>
      </w:r>
    </w:p>
    <w:p>
      <w:pPr>
        <w:spacing w:after="80" w:before="80" w:line="276"/>
      </w:pPr>
      <w:r>
        <w:rPr>
          <w:rFonts w:ascii="Arial" w:cs="Arial" w:eastAsia="Arial" w:hAnsi="Arial"/>
          <w:b w:val="false"/>
          <w:bCs w:val="false"/>
          <w:i w:val="false"/>
          <w:iCs w:val="false"/>
          <w:color w:val="333333"/>
          <w:sz w:val="21"/>
          <w:szCs w:val="21"/>
        </w:rPr>
        <w:t xml:space="preserve">The data produced by each step flows into the next in a strict linear pipeline:</w:t>
      </w:r>
    </w:p>
    <w:p>
      <w:pPr>
        <w:spacing w:after="80" w:before="80" w:line="276"/>
      </w:pPr>
      <w:r>
        <w:rPr>
          <w:rFonts w:ascii="Arial" w:cs="Arial" w:eastAsia="Arial" w:hAnsi="Arial"/>
          <w:b/>
          <w:bCs/>
          <w:color w:val="333333"/>
          <w:sz w:val="21"/>
          <w:szCs w:val="21"/>
        </w:rPr>
        <w:t xml:space="preserve">all_tasks.json</w:t>
      </w:r>
      <w:r>
        <w:rPr>
          <w:rFonts w:ascii="Arial" w:cs="Arial" w:eastAsia="Arial" w:hAnsi="Arial"/>
          <w:color w:val="333333"/>
          <w:sz w:val="21"/>
          <w:szCs w:val="21"/>
        </w:rPr>
        <w:t xml:space="preserve"> (Step 1)  →  </w:t>
      </w:r>
      <w:r>
        <w:rPr>
          <w:rFonts w:ascii="Arial" w:cs="Arial" w:eastAsia="Arial" w:hAnsi="Arial"/>
          <w:b/>
          <w:bCs/>
          <w:color w:val="333333"/>
          <w:sz w:val="21"/>
          <w:szCs w:val="21"/>
        </w:rPr>
        <w:t xml:space="preserve">chains_R1-1.5B.json</w:t>
      </w:r>
      <w:r>
        <w:rPr>
          <w:rFonts w:ascii="Arial" w:cs="Arial" w:eastAsia="Arial" w:hAnsi="Arial"/>
          <w:color w:val="333333"/>
          <w:sz w:val="21"/>
          <w:szCs w:val="21"/>
        </w:rPr>
        <w:t xml:space="preserve"> (Step 2)  →  </w:t>
      </w:r>
      <w:r>
        <w:rPr>
          <w:rFonts w:ascii="Arial" w:cs="Arial" w:eastAsia="Arial" w:hAnsi="Arial"/>
          <w:b/>
          <w:bCs/>
          <w:color w:val="333333"/>
          <w:sz w:val="21"/>
          <w:szCs w:val="21"/>
        </w:rPr>
        <w:t xml:space="preserve">annotated_R1-1.5B.json</w:t>
      </w:r>
      <w:r>
        <w:rPr>
          <w:rFonts w:ascii="Arial" w:cs="Arial" w:eastAsia="Arial" w:hAnsi="Arial"/>
          <w:color w:val="333333"/>
          <w:sz w:val="21"/>
          <w:szCs w:val="21"/>
        </w:rPr>
        <w:t xml:space="preserve"> (Step 3)  →  Validation Report (Step 4)</w:t>
      </w:r>
    </w:p>
    <w:p>
      <w:pPr>
        <w:spacing w:after="80" w:before="80" w:line="276"/>
      </w:pPr>
      <w:r>
        <w:rPr>
          <w:rFonts w:ascii="Arial" w:cs="Arial" w:eastAsia="Arial" w:hAnsi="Arial"/>
          <w:b w:val="false"/>
          <w:bCs w:val="false"/>
          <w:i w:val="false"/>
          <w:iCs w:val="false"/>
          <w:color w:val="333333"/>
          <w:sz w:val="21"/>
          <w:szCs w:val="21"/>
        </w:rPr>
        <w:t xml:space="preserve">The annotated chains JSON file is the final deliverable of Phase 1 and the primary input to Phase 2 (activation extraction).</w:t>
      </w:r>
    </w:p>
    <w:p>
      <w:pPr>
        <w:pStyle w:val="Heading1"/>
        <w:spacing w:after="160" w:before="360"/>
      </w:pPr>
      <w:r>
        <w:rPr>
          <w:rFonts w:ascii="Arial" w:cs="Arial" w:eastAsia="Arial" w:hAnsi="Arial"/>
          <w:b/>
          <w:bCs/>
          <w:color w:val="1B3A5C"/>
          <w:sz w:val="32"/>
          <w:szCs w:val="32"/>
        </w:rPr>
        <w:t xml:space="preserve">8. Running the Pipeline</w:t>
      </w:r>
    </w:p>
    <w:p>
      <w:pPr>
        <w:pStyle w:val="Heading2"/>
        <w:spacing w:after="120" w:before="280"/>
      </w:pPr>
      <w:r>
        <w:rPr>
          <w:rFonts w:ascii="Arial" w:cs="Arial" w:eastAsia="Arial" w:hAnsi="Arial"/>
          <w:b/>
          <w:bCs/>
          <w:color w:val="2E6B9E"/>
          <w:sz w:val="26"/>
          <w:szCs w:val="26"/>
        </w:rPr>
        <w:t xml:space="preserve">8.1 Using the CLI Script</w:t>
      </w:r>
    </w:p>
    <w:p>
      <w:pPr>
        <w:spacing w:after="80" w:before="80" w:line="276"/>
      </w:pPr>
      <w:r>
        <w:rPr>
          <w:rFonts w:ascii="Arial" w:cs="Arial" w:eastAsia="Arial" w:hAnsi="Arial"/>
          <w:b w:val="false"/>
          <w:bCs w:val="false"/>
          <w:i w:val="false"/>
          <w:iCs w:val="false"/>
          <w:color w:val="333333"/>
          <w:sz w:val="21"/>
          <w:szCs w:val="21"/>
        </w:rPr>
        <w:t xml:space="preserve">The pipeline can be run end-to-end or step-by-step using the command-line script:</w:t>
      </w:r>
    </w:p>
    <w:p>
      <w:pPr>
        <w:spacing w:after="60" w:before="60" w:line="240"/>
        <w:ind w:left="360"/>
      </w:pPr>
      <w:r>
        <w:rPr>
          <w:rFonts w:ascii="Consolas" w:cs="Consolas" w:eastAsia="Consolas" w:hAnsi="Consolas"/>
          <w:color w:val="2D2D2D"/>
          <w:sz w:val="18"/>
          <w:szCs w:val="18"/>
        </w:rPr>
        <w:t xml:space="preserve">python scripts/run_phase1.py                     # Run all 4 steps</w:t>
      </w:r>
    </w:p>
    <w:p>
      <w:pPr>
        <w:spacing w:after="60" w:before="60" w:line="240"/>
        <w:ind w:left="360"/>
      </w:pPr>
      <w:r>
        <w:rPr>
          <w:rFonts w:ascii="Consolas" w:cs="Consolas" w:eastAsia="Consolas" w:hAnsi="Consolas"/>
          <w:color w:val="2D2D2D"/>
          <w:sz w:val="18"/>
          <w:szCs w:val="18"/>
        </w:rPr>
        <w:t xml:space="preserve">python scripts/run_phase1.py --step generate_tasks   # Step 1 only</w:t>
      </w:r>
    </w:p>
    <w:p>
      <w:pPr>
        <w:spacing w:after="60" w:before="60" w:line="240"/>
        <w:ind w:left="360"/>
      </w:pPr>
      <w:r>
        <w:rPr>
          <w:rFonts w:ascii="Consolas" w:cs="Consolas" w:eastAsia="Consolas" w:hAnsi="Consolas"/>
          <w:color w:val="2D2D2D"/>
          <w:sz w:val="18"/>
          <w:szCs w:val="18"/>
        </w:rPr>
        <w:t xml:space="preserve">python scripts/run_phase1.py --step generate_chains  # Step 2 only</w:t>
      </w:r>
    </w:p>
    <w:p>
      <w:pPr>
        <w:spacing w:after="60" w:before="60" w:line="240"/>
        <w:ind w:left="360"/>
      </w:pPr>
      <w:r>
        <w:rPr>
          <w:rFonts w:ascii="Consolas" w:cs="Consolas" w:eastAsia="Consolas" w:hAnsi="Consolas"/>
          <w:color w:val="2D2D2D"/>
          <w:sz w:val="18"/>
          <w:szCs w:val="18"/>
        </w:rPr>
        <w:t xml:space="preserve">python scripts/run_phase1.py --step annotate         # Step 3 only</w:t>
      </w:r>
    </w:p>
    <w:p>
      <w:pPr>
        <w:spacing w:after="60" w:before="60" w:line="240"/>
        <w:ind w:left="360"/>
      </w:pPr>
      <w:r>
        <w:rPr>
          <w:rFonts w:ascii="Consolas" w:cs="Consolas" w:eastAsia="Consolas" w:hAnsi="Consolas"/>
          <w:color w:val="2D2D2D"/>
          <w:sz w:val="18"/>
          <w:szCs w:val="18"/>
        </w:rPr>
        <w:t xml:space="preserve">python scripts/run_phase1.py --step validate         # Step 4 only</w:t>
      </w:r>
    </w:p>
    <w:p>
      <w:pPr>
        <w:spacing w:after="60" w:before="60" w:line="240"/>
        <w:ind w:left="360"/>
      </w:pPr>
      <w:r>
        <w:rPr>
          <w:rFonts w:ascii="Consolas" w:cs="Consolas" w:eastAsia="Consolas" w:hAnsi="Consolas"/>
          <w:color w:val="2D2D2D"/>
          <w:sz w:val="18"/>
          <w:szCs w:val="18"/>
        </w:rPr>
        <w:t xml:space="preserve">python scripts/run_phase1.py --model secondary    # Use 7B model</w:t>
      </w:r>
    </w:p>
    <w:p>
      <w:pPr>
        <w:spacing w:after="80" w:before="80" w:line="276"/>
      </w:pPr>
      <w:r>
        <w:rPr>
          <w:rFonts w:ascii="Arial" w:cs="Arial" w:eastAsia="Arial" w:hAnsi="Arial"/>
          <w:b w:val="false"/>
          <w:bCs w:val="false"/>
          <w:i w:val="false"/>
          <w:iCs w:val="false"/>
          <w:color w:val="333333"/>
          <w:sz w:val="21"/>
          <w:szCs w:val="21"/>
        </w:rPr>
        <w:t xml:space="preserve">Each step checks for existing output files and skips if already complete, making the script idempotent.</w:t>
      </w:r>
    </w:p>
    <w:p>
      <w:pPr>
        <w:pStyle w:val="Heading2"/>
        <w:spacing w:after="120" w:before="280"/>
      </w:pPr>
      <w:r>
        <w:rPr>
          <w:rFonts w:ascii="Arial" w:cs="Arial" w:eastAsia="Arial" w:hAnsi="Arial"/>
          <w:b/>
          <w:bCs/>
          <w:color w:val="2E6B9E"/>
          <w:sz w:val="26"/>
          <w:szCs w:val="26"/>
        </w:rPr>
        <w:t xml:space="preserve">8.2 Using the Colab Notebook</w:t>
      </w:r>
    </w:p>
    <w:p>
      <w:pPr>
        <w:spacing w:after="80" w:before="80" w:line="276"/>
      </w:pPr>
      <w:r>
        <w:rPr>
          <w:rFonts w:ascii="Arial" w:cs="Arial" w:eastAsia="Arial" w:hAnsi="Arial"/>
          <w:b w:val="false"/>
          <w:bCs w:val="false"/>
          <w:i w:val="false"/>
          <w:iCs w:val="false"/>
          <w:color w:val="333333"/>
          <w:sz w:val="21"/>
          <w:szCs w:val="21"/>
        </w:rPr>
        <w:t xml:space="preserve">The included notebook (notebooks/01_phase1_colab.ipynb) provides an interactive, cell-by-cell walkthrough of the same pipeline. It is pre-configured for Google Colab’s T4 GPU environment, with all file paths pointing to Google Drive for persistence across sessions. The notebook includes cells for uploading the project zip, installing dependencies, setting the API key, and previewing intermediate outputs.</w:t>
      </w:r>
    </w:p>
    <w:p>
      <w:pPr>
        <w:pStyle w:val="Heading2"/>
        <w:spacing w:after="120" w:before="280"/>
      </w:pPr>
      <w:r>
        <w:rPr>
          <w:rFonts w:ascii="Arial" w:cs="Arial" w:eastAsia="Arial" w:hAnsi="Arial"/>
          <w:b/>
          <w:bCs/>
          <w:color w:val="2E6B9E"/>
          <w:sz w:val="26"/>
          <w:szCs w:val="26"/>
        </w:rPr>
        <w:t xml:space="preserve">8.3 GPU Platform Options</w:t>
      </w:r>
    </w:p>
    <w:p>
      <w:pPr>
        <w:spacing w:after="80" w:before="80" w:line="276"/>
      </w:pPr>
      <w:r>
        <w:rPr>
          <w:rFonts w:ascii="Arial" w:cs="Arial" w:eastAsia="Arial" w:hAnsi="Arial"/>
          <w:b w:val="false"/>
          <w:bCs w:val="false"/>
          <w:i w:val="false"/>
          <w:iCs w:val="false"/>
          <w:color w:val="333333"/>
          <w:sz w:val="21"/>
          <w:szCs w:val="21"/>
        </w:rPr>
        <w:t xml:space="preserve">The GPU Guide (GPU_GUIDE.md) covers six platforms in detail: Google Colab (free), Kaggle Notebooks (free, 30 hrs/week), Lightning AI Studios (free tier), RunPod/Lambda Labs/Vast.ai (pay-per-hour), university HPC clusters, and local machines. For the 1.5B model, any platform with a 12+ GB GPU works. The full pipeline costs approximately $3.50 on a rented RTX 4090, or nothing on Colab/Kaggle free tiers.</w:t>
      </w:r>
    </w:p>
    <w:p>
      <w:pPr>
        <w:pStyle w:val="Heading1"/>
        <w:spacing w:after="160" w:before="360"/>
      </w:pPr>
      <w:r>
        <w:rPr>
          <w:rFonts w:ascii="Arial" w:cs="Arial" w:eastAsia="Arial" w:hAnsi="Arial"/>
          <w:b/>
          <w:bCs/>
          <w:color w:val="1B3A5C"/>
          <w:sz w:val="32"/>
          <w:szCs w:val="32"/>
        </w:rPr>
        <w:t xml:space="preserve">9. Configuration Reference</w:t>
      </w:r>
    </w:p>
    <w:p>
      <w:pPr>
        <w:spacing w:after="80" w:before="80" w:line="276"/>
      </w:pPr>
      <w:r>
        <w:rPr>
          <w:rFonts w:ascii="Arial" w:cs="Arial" w:eastAsia="Arial" w:hAnsi="Arial"/>
          <w:color w:val="333333"/>
          <w:sz w:val="21"/>
          <w:szCs w:val="21"/>
        </w:rPr>
        <w:t xml:space="preserve">All parameters are centralised in </w:t>
      </w:r>
      <w:r>
        <w:rPr>
          <w:rFonts w:ascii="Arial" w:cs="Arial" w:eastAsia="Arial" w:hAnsi="Arial"/>
          <w:b/>
          <w:bCs/>
          <w:color w:val="333333"/>
          <w:sz w:val="21"/>
          <w:szCs w:val="21"/>
        </w:rPr>
        <w:t xml:space="preserve">configs/experiment_config.yaml</w:t>
      </w:r>
      <w:r>
        <w:rPr>
          <w:rFonts w:ascii="Arial" w:cs="Arial" w:eastAsia="Arial" w:hAnsi="Arial"/>
          <w:color w:val="333333"/>
          <w:sz w:val="21"/>
          <w:szCs w:val="21"/>
        </w:rPr>
        <w:t xml:space="preserve">. The configuration is organised into seven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Section</w:t>
            </w:r>
          </w:p>
        </w:tc>
        <w:tc>
          <w:tcPr>
            <w:tcW w:type="dxa" w:w="68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What It Controls</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models</w:t>
            </w:r>
          </w:p>
        </w:tc>
        <w:tc>
          <w:tcPr>
            <w:tcW w:type="dxa" w:w="68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Model IDs, architectures, hidden dimensions, dtype, quantisation flags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data</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Number of tasks, categories, chain generation parameters, annotation model</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behaviours</w:t>
            </w:r>
          </w:p>
        </w:tc>
        <w:tc>
          <w:tcPr>
            <w:tcW w:type="dxa" w:w="68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Target and non-target behaviour definitions, expected fractions, minimum thresholds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extraction</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Token capture windows, layer selection, pooling method, cache format</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analysis</w:t>
            </w:r>
          </w:p>
        </w:tc>
        <w:tc>
          <w:tcPr>
            <w:tcW w:type="dxa" w:w="68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PCA component limits, variance thresholds, clustering parameters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steering</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color w:val="333333"/>
                <w:sz w:val="20"/>
                <w:szCs w:val="20"/>
              </w:rPr>
              <w:t xml:space="preserve">Alpha sweep values, steering methods, evaluation task counts</w:t>
            </w:r>
          </w:p>
        </w:tc>
      </w:tr>
      <w:tr>
        <w:tc>
          <w:tcPr>
            <w:tcW w:type="dxa" w:w="2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paths</w:t>
            </w:r>
          </w:p>
        </w:tc>
        <w:tc>
          <w:tcPr>
            <w:tcW w:type="dxa" w:w="68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color w:val="333333"/>
                <w:sz w:val="20"/>
                <w:szCs w:val="20"/>
              </w:rPr>
              <w:t xml:space="preserve">All input/output directory paths</w:t>
            </w:r>
          </w:p>
        </w:tc>
      </w:tr>
    </w:tbl>
    <w:p>
      <w:pPr>
        <w:spacing w:after="80" w:before="80" w:line="276"/>
      </w:pPr>
      <w:r>
        <w:rPr>
          <w:rFonts w:ascii="Arial" w:cs="Arial" w:eastAsia="Arial" w:hAnsi="Arial"/>
          <w:b w:val="false"/>
          <w:bCs w:val="false"/>
          <w:i w:val="false"/>
          <w:iCs w:val="false"/>
          <w:color w:val="333333"/>
          <w:sz w:val="21"/>
          <w:szCs w:val="21"/>
        </w:rPr>
        <w:t xml:space="preserve">Only the models and data sections are relevant to Phase 1. The extraction, analysis, and steering sections are used in Phases 2–5 but are included in the same config file for convenience.</w:t>
      </w:r>
    </w:p>
    <w:p>
      <w:pPr>
        <w:pStyle w:val="Heading1"/>
        <w:spacing w:after="160" w:before="360"/>
      </w:pPr>
      <w:r>
        <w:rPr>
          <w:rFonts w:ascii="Arial" w:cs="Arial" w:eastAsia="Arial" w:hAnsi="Arial"/>
          <w:b/>
          <w:bCs/>
          <w:color w:val="1B3A5C"/>
          <w:sz w:val="32"/>
          <w:szCs w:val="32"/>
        </w:rPr>
        <w:t xml:space="preserve">10. Connection to Phase 2</w:t>
      </w:r>
    </w:p>
    <w:p>
      <w:pPr>
        <w:spacing w:after="80" w:before="80" w:line="276"/>
      </w:pPr>
      <w:r>
        <w:rPr>
          <w:rFonts w:ascii="Arial" w:cs="Arial" w:eastAsia="Arial" w:hAnsi="Arial"/>
          <w:color w:val="333333"/>
          <w:sz w:val="21"/>
          <w:szCs w:val="21"/>
        </w:rPr>
        <w:t xml:space="preserve">The output of Phase 1 — the annotated chains JSON file — is consumed by Phase 2 (Activation Extraction). Phase 2 re-loads the model and re-runs each chain through a forward pass with hooks attached to the residual stream at each transformer layer. For each annotated sentence, the extraction module maps the sentence text back to token positions in the tokenised input, then captures and mean-pools the residual stream activations at those positions. This produces one activation vector (of dimension </w:t>
      </w:r>
      <w:r>
        <w:rPr>
          <w:rFonts w:ascii="Arial" w:cs="Arial" w:eastAsia="Arial" w:hAnsi="Arial"/>
          <w:i/>
          <w:iCs/>
          <w:color w:val="333333"/>
          <w:sz w:val="21"/>
          <w:szCs w:val="21"/>
        </w:rPr>
        <w:t xml:space="preserve">d</w:t>
      </w:r>
      <w:r>
        <w:rPr>
          <w:rFonts w:ascii="Arial" w:cs="Arial" w:eastAsia="Arial" w:hAnsi="Arial"/>
          <w:color w:val="333333"/>
          <w:sz w:val="21"/>
          <w:szCs w:val="21"/>
        </w:rPr>
        <w:t xml:space="preserve"> = 1,536 for the 1.5B model) per behaviour instance per layer.</w:t>
      </w:r>
    </w:p>
    <w:p>
      <w:pPr>
        <w:spacing w:after="80" w:before="80" w:line="276"/>
      </w:pPr>
      <w:r>
        <w:rPr>
          <w:rFonts w:ascii="Arial" w:cs="Arial" w:eastAsia="Arial" w:hAnsi="Arial"/>
          <w:b w:val="false"/>
          <w:bCs w:val="false"/>
          <w:i w:val="false"/>
          <w:iCs w:val="false"/>
          <w:color w:val="333333"/>
          <w:sz w:val="21"/>
          <w:szCs w:val="21"/>
        </w:rPr>
        <w:t xml:space="preserve">These per-behaviour, per-layer activation matrices are the input to Phase 3’s PCA manifold analysis, which is the core empirical contribution of the project. The quality of the Phase 1 annotations directly determines the quality of the Phase 3 results: misclassified sentences will introduce noise into the activation matrices, potentially obscuring genuine manifold structure. This is why the annotation prompt is carefully designed with priority rules and explicit signal words, and why manual validation of a subset is recommended.</w:t>
      </w:r>
    </w:p>
    <w:p>
      <w:pPr>
        <w:spacing w:after="0" w:before="200"/>
      </w:pPr>
    </w:p>
    <w:p>
      <w:pPr>
        <w:pBdr>
          <w:top w:val="single" w:color="CCCCCC" w:sz="2" w:space="8"/>
        </w:pBdr>
        <w:spacing w:after="0" w:before="200"/>
        <w:jc w:val="center"/>
      </w:pPr>
      <w:r>
        <w:rPr>
          <w:rFonts w:ascii="Arial" w:cs="Arial" w:eastAsia="Arial" w:hAnsi="Arial"/>
          <w:i/>
          <w:iCs/>
          <w:color w:val="999999"/>
          <w:sz w:val="18"/>
          <w:szCs w:val="18"/>
        </w:rPr>
        <w:t xml:space="preserve">End of Phase 1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Reasoning on a Manifold — Phase 1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B9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7CC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2026-03-25T15:43:19.106Z</dcterms:created>
  <dcterms:modified xsi:type="dcterms:W3CDTF">2026-03-25T15:43:19.107Z</dcterms:modified>
</cp:coreProperties>
</file>

<file path=docProps/custom.xml><?xml version="1.0" encoding="utf-8"?>
<Properties xmlns="http://schemas.openxmlformats.org/officeDocument/2006/custom-properties" xmlns:vt="http://schemas.openxmlformats.org/officeDocument/2006/docPropsVTypes"/>
</file>