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200"/>
        <w:jc w:val="center"/>
      </w:pPr>
      <w:r>
        <w:rPr>
          <w:rFonts w:ascii="Arial" w:cs="Arial" w:eastAsia="Arial" w:hAnsi="Arial"/>
          <w:b/>
          <w:bCs/>
          <w:color w:val="1B3A5C"/>
          <w:sz w:val="52"/>
          <w:szCs w:val="52"/>
        </w:rPr>
        <w:t xml:space="preserve">Reasoning on a Manifold</w:t>
      </w:r>
    </w:p>
    <w:p>
      <w:pPr>
        <w:spacing w:after="120"/>
        <w:jc w:val="center"/>
      </w:pPr>
      <w:r>
        <w:rPr>
          <w:rFonts w:ascii="Arial" w:cs="Arial" w:eastAsia="Arial" w:hAnsi="Arial"/>
          <w:i/>
          <w:iCs/>
          <w:color w:val="555555"/>
          <w:sz w:val="26"/>
          <w:szCs w:val="26"/>
        </w:rPr>
        <w:t xml:space="preserve">Do Individual Reasoning Behaviours Have Manifold Structure?</w:t>
      </w:r>
    </w:p>
    <w:p>
      <w:pPr>
        <w:spacing w:after="0" w:before="300"/>
      </w:pPr>
    </w:p>
    <w:p>
      <w:pPr>
        <w:pBdr>
          <w:top w:val="single" w:color="CCCCCC" w:sz="2" w:space="12"/>
        </w:pBdr>
        <w:spacing w:after="60"/>
        <w:jc w:val="center"/>
      </w:pPr>
      <w:r>
        <w:rPr>
          <w:rFonts w:ascii="Arial" w:cs="Arial" w:eastAsia="Arial" w:hAnsi="Arial"/>
          <w:b/>
          <w:bCs/>
          <w:color w:val="2E6B9E"/>
          <w:sz w:val="28"/>
          <w:szCs w:val="28"/>
        </w:rPr>
        <w:t xml:space="preserve">Phase 4: Manifold Steering</w:t>
      </w:r>
    </w:p>
    <w:p>
      <w:pPr>
        <w:jc w:val="center"/>
      </w:pPr>
      <w:r>
        <w:rPr>
          <w:rFonts w:ascii="Arial" w:cs="Arial" w:eastAsia="Arial" w:hAnsi="Arial"/>
          <w:color w:val="777777"/>
          <w:sz w:val="22"/>
          <w:szCs w:val="22"/>
        </w:rPr>
        <w:t xml:space="preserve">Technical Documentation — March 2026</w:t>
      </w:r>
    </w:p>
    <w:p>
      <w:pPr>
        <w:sectPr>
          <w:pgSz w:w="11906" w:h="16838"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5C"/>
          <w:sz w:val="32"/>
          <w:szCs w:val="32"/>
        </w:rPr>
        <w:t xml:space="preserve">1. Overview</w:t>
      </w:r>
    </w:p>
    <w:p>
      <w:pPr>
        <w:spacing w:after="80" w:before="80" w:line="276"/>
      </w:pPr>
      <w:r>
        <w:rPr>
          <w:rFonts w:ascii="Arial" w:cs="Arial" w:eastAsia="Arial" w:hAnsi="Arial"/>
          <w:color w:val="333333"/>
          <w:sz w:val="21"/>
          <w:szCs w:val="21"/>
        </w:rPr>
        <w:t xml:space="preserve">Phase 4 applies the manifold geometry discovered in Phase 3 to construct improved steering vectors and test them in a controlled experiment. It implements Huang et al.’s manifold projection method on a per-behaviour basis and compares three steering approaches: Venhoff’s single-direction baseline, our manifold-projected vectors, and (where sub-types were found) per-subtype vectors. The experiment sweeps across intervention strengths (alpha values) and measures token counts to determine which method achieves the largest reduction in redundant reasoning while maintaining coherent output.</w:t>
      </w:r>
    </w:p>
    <w:p>
      <w:pPr>
        <w:spacing w:after="80" w:before="80" w:line="276"/>
      </w:pPr>
      <w:r>
        <w:rPr>
          <w:rFonts w:ascii="Arial" w:cs="Arial" w:eastAsia="Arial" w:hAnsi="Arial"/>
          <w:color w:val="333333"/>
          <w:sz w:val="21"/>
          <w:szCs w:val="21"/>
        </w:rPr>
        <w:t xml:space="preserve">Phase 4 has two distinct compute profiles. Step 1 (building steering vectors) runs on CPU in seconds — it only loads numpy arrays and performs linear algebra. Step 2 (running the steering comparison) requires a GPU and is the most time-intensive step in the project, generating steered outputs across all conditions.</w:t>
      </w:r>
    </w:p>
    <w:p>
      <w:pPr>
        <w:pStyle w:val="Heading2"/>
        <w:spacing w:after="120" w:before="280"/>
      </w:pPr>
      <w:r>
        <w:rPr>
          <w:rFonts w:ascii="Arial" w:cs="Arial" w:eastAsia="Arial" w:hAnsi="Arial"/>
          <w:b/>
          <w:bCs/>
          <w:color w:val="2E6B9E"/>
          <w:sz w:val="26"/>
          <w:szCs w:val="26"/>
        </w:rPr>
        <w:t xml:space="preserve">1.1 The Three Steering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026"/>
      </w:tblGrid>
      <w:tr>
        <w:tc>
          <w:tcPr>
            <w:tcW w:type="dxa" w:w="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w:t>
            </w:r>
          </w:p>
        </w:tc>
        <w:tc>
          <w:tcPr>
            <w:tcW w:type="dxa" w:w="23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Method</w:t>
            </w:r>
          </w:p>
        </w:tc>
        <w:tc>
          <w:tcPr>
            <w:tcW w:type="dxa" w:w="60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Description</w:t>
            </w:r>
          </w:p>
        </w:tc>
      </w:tr>
      <w:tr>
        <w:tc>
          <w:tcPr>
            <w:tcW w:type="dxa" w:w="7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w:t>
            </w:r>
          </w:p>
        </w:tc>
        <w:tc>
          <w:tcPr>
            <w:tcW w:type="dxa" w:w="23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Single Direction</w:t>
            </w:r>
          </w:p>
        </w:tc>
        <w:tc>
          <w:tcPr>
            <w:tcW w:type="dxa" w:w="6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Venhoff’s baseline: difference-of-means vector in the full high-dimensional space. No projection. One vector per behaviour.</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Manifold Projected</w:t>
            </w:r>
          </w:p>
        </w:tc>
        <w:tc>
          <w:tcPr>
            <w:tcW w:type="dxa" w:w="6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Our method: project the single-direction vector onto the behaviour’s PCA manifold using the top-k principal components from Phase 3. Removes interference noise in the orthogonal complement.</w:t>
            </w:r>
          </w:p>
        </w:tc>
      </w:tr>
      <w:tr>
        <w:tc>
          <w:tcPr>
            <w:tcW w:type="dxa" w:w="7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w:t>
            </w:r>
          </w:p>
        </w:tc>
        <w:tc>
          <w:tcPr>
            <w:tcW w:type="dxa" w:w="23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Subtype-Specific</w:t>
            </w:r>
          </w:p>
        </w:tc>
        <w:tc>
          <w:tcPr>
            <w:tcW w:type="dxa" w:w="6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For behaviours with identified sub-types: separate vectors per cluster centroid. Enables selective suppression of one sub-type while preserving others.</w:t>
            </w:r>
          </w:p>
        </w:tc>
      </w:tr>
    </w:tbl>
    <w:p>
      <w:pPr>
        <w:pStyle w:val="Heading2"/>
        <w:spacing w:after="120" w:before="280"/>
      </w:pPr>
      <w:r>
        <w:rPr>
          <w:rFonts w:ascii="Arial" w:cs="Arial" w:eastAsia="Arial" w:hAnsi="Arial"/>
          <w:b/>
          <w:bCs/>
          <w:color w:val="2E6B9E"/>
          <w:sz w:val="26"/>
          <w:szCs w:val="26"/>
        </w:rPr>
        <w:t xml:space="preserve">1.2 Inputs and Outputs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226"/>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
            </w:r>
          </w:p>
        </w:tc>
        <w:tc>
          <w:tcPr>
            <w:tcW w:type="dxa" w:w="3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Item</w:t>
            </w:r>
          </w:p>
        </w:tc>
        <w:tc>
          <w:tcPr>
            <w:tcW w:type="dxa" w:w="42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Description</w:t>
            </w:r>
          </w:p>
        </w:tc>
      </w:tr>
      <w:tr>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Input</w:t>
            </w:r>
          </w:p>
        </w:tc>
        <w:tc>
          <w:tcPr>
            <w:tcW w:type="dxa" w:w="3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Phase 3 PCA components</w:t>
            </w:r>
          </w:p>
        </w:tc>
        <w:tc>
          <w:tcPr>
            <w:tcW w:type="dxa" w:w="4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Top-k principal components per behaviour for manifold projection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Input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Phase 3 cluster centroids</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Full-space centroids for sub-type steering vectors</w:t>
            </w:r>
          </w:p>
        </w:tc>
      </w:tr>
      <w:tr>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Input</w:t>
            </w:r>
          </w:p>
        </w:tc>
        <w:tc>
          <w:tcPr>
            <w:tcW w:type="dxa" w:w="3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Phase 2 overall means</w:t>
            </w:r>
          </w:p>
        </w:tc>
        <w:tc>
          <w:tcPr>
            <w:tcW w:type="dxa" w:w="4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Baseline activation means for difference-of-means computation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Output</w:t>
            </w:r>
          </w:p>
        </w:tc>
        <w:tc>
          <w:tcPr>
            <w:tcW w:type="dxa" w:w="3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Steering vector .npy files</w:t>
            </w:r>
          </w:p>
        </w:tc>
        <w:tc>
          <w:tcPr>
            <w:tcW w:type="dxa" w:w="4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Per-behaviour single-direction, manifold-projected, and subtype vectors</w:t>
            </w:r>
          </w:p>
        </w:tc>
      </w:tr>
      <w:tr>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Output</w:t>
            </w:r>
          </w:p>
        </w:tc>
        <w:tc>
          <w:tcPr>
            <w:tcW w:type="dxa" w:w="36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comparison_results.json</w:t>
            </w:r>
          </w:p>
        </w:tc>
        <w:tc>
          <w:tcPr>
            <w:tcW w:type="dxa" w:w="42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Steered outputs across all conditions (behaviour × method × alpha × task)</w:t>
            </w:r>
          </w:p>
        </w:tc>
      </w:tr>
    </w:tbl>
    <w:p>
      <w:pPr>
        <w:pStyle w:val="Heading1"/>
        <w:spacing w:after="160" w:before="360"/>
      </w:pPr>
      <w:r>
        <w:rPr>
          <w:rFonts w:ascii="Arial" w:cs="Arial" w:eastAsia="Arial" w:hAnsi="Arial"/>
          <w:b/>
          <w:bCs/>
          <w:color w:val="1B3A5C"/>
          <w:sz w:val="32"/>
          <w:szCs w:val="32"/>
        </w:rPr>
        <w:t xml:space="preserve">2. Step 1: Building Steering Vectors</w:t>
      </w:r>
    </w:p>
    <w:p>
      <w:pPr>
        <w:pStyle w:val="Heading2"/>
        <w:spacing w:after="120" w:before="280"/>
      </w:pPr>
      <w:r>
        <w:rPr>
          <w:rFonts w:ascii="Arial" w:cs="Arial" w:eastAsia="Arial" w:hAnsi="Arial"/>
          <w:b/>
          <w:bCs/>
          <w:color w:val="2E6B9E"/>
          <w:sz w:val="26"/>
          <w:szCs w:val="26"/>
        </w:rPr>
        <w:t xml:space="preserve">2.1 Single-Direction Vector (Baseline)</w:t>
      </w:r>
    </w:p>
    <w:p>
      <w:pPr>
        <w:spacing w:after="80" w:before="80" w:line="276"/>
      </w:pPr>
      <w:r>
        <w:rPr>
          <w:rFonts w:ascii="Arial" w:cs="Arial" w:eastAsia="Arial" w:hAnsi="Arial"/>
          <w:color w:val="333333"/>
          <w:sz w:val="21"/>
          <w:szCs w:val="21"/>
        </w:rPr>
        <w:t xml:space="preserve">The single-direction vector is computed as the difference between the mean activation of instances exhibiting the target behaviour and the overall mean activation, normalised to unit length. This is Venhoff et al.’s method, equivalent to Huang et al.’s Equation 2. It captures the primary direction that distinguishes a behaviour from the general population of activations.</w:t>
      </w:r>
    </w:p>
    <w:p>
      <w:pPr>
        <w:pStyle w:val="Heading2"/>
        <w:spacing w:after="120" w:before="280"/>
      </w:pPr>
      <w:r>
        <w:rPr>
          <w:rFonts w:ascii="Arial" w:cs="Arial" w:eastAsia="Arial" w:hAnsi="Arial"/>
          <w:b/>
          <w:bCs/>
          <w:color w:val="2E6B9E"/>
          <w:sz w:val="26"/>
          <w:szCs w:val="26"/>
        </w:rPr>
        <w:t xml:space="preserve">2.2 Manifold-Projected Vector</w:t>
      </w:r>
    </w:p>
    <w:p>
      <w:pPr>
        <w:spacing w:after="80" w:before="80" w:line="276"/>
      </w:pPr>
      <w:r>
        <w:rPr>
          <w:rFonts w:ascii="Arial" w:cs="Arial" w:eastAsia="Arial" w:hAnsi="Arial"/>
          <w:color w:val="333333"/>
          <w:sz w:val="21"/>
          <w:szCs w:val="21"/>
        </w:rPr>
        <w:t xml:space="preserve">The manifold-projected vector applies Huang et al.’s Equation 9 to the single-direction vector. Given the top-k principal components U_eff from Phase 3’s PCA (where k = d_eff_70 for the behaviour), the projection is computed as r_manifold = U_eff multiplied by U_eff transposed multiplied by r. The result is then normalised to unit length.</w:t>
      </w:r>
    </w:p>
    <w:p>
      <w:pPr>
        <w:spacing w:after="80" w:before="80" w:line="276"/>
      </w:pPr>
      <w:r>
        <w:rPr>
          <w:rFonts w:ascii="Arial" w:cs="Arial" w:eastAsia="Arial" w:hAnsi="Arial"/>
          <w:color w:val="333333"/>
          <w:sz w:val="21"/>
          <w:szCs w:val="21"/>
        </w:rPr>
        <w:t xml:space="preserve">This projection strips out the component of the steering direction that lies in the orthogonal complement of the behaviour’s manifold. Huang et al. showed theoretically (Theorem 4.1) that this orthogonal component is interference noise whose expected norm scales with the trace of the noise covariance matrix, and that it amplifies through transformer layers (Theorem 4.2). By projecting it away, the steering direction becomes more precise, allowing larger alpha values without model collapse.</w:t>
      </w:r>
    </w:p>
    <w:p>
      <w:pPr>
        <w:spacing w:after="80" w:before="80" w:line="276"/>
      </w:pPr>
      <w:r>
        <w:rPr>
          <w:rFonts w:ascii="Arial" w:cs="Arial" w:eastAsia="Arial" w:hAnsi="Arial"/>
          <w:b/>
          <w:bCs/>
          <w:color w:val="333333"/>
          <w:sz w:val="21"/>
          <w:szCs w:val="21"/>
        </w:rPr>
        <w:t xml:space="preserve">The cosine similarity </w:t>
      </w:r>
      <w:r>
        <w:rPr>
          <w:rFonts w:ascii="Arial" w:cs="Arial" w:eastAsia="Arial" w:hAnsi="Arial"/>
          <w:color w:val="333333"/>
          <w:sz w:val="21"/>
          <w:szCs w:val="21"/>
        </w:rPr>
        <w:t xml:space="preserve">between the original and projected vectors is logged as a diagnostic. A cosine similarity near 1.0 means the original vector already lay mostly within the manifold — projection has little effect. A cosine similarity well below 1.0 (e.g. 0.6–0.8) indicates substantial interference noise was removed, and manifold steering is likely to outperform single-direction steering.</w:t>
      </w:r>
    </w:p>
    <w:p>
      <w:pPr>
        <w:pStyle w:val="Heading2"/>
        <w:spacing w:after="120" w:before="280"/>
      </w:pPr>
      <w:r>
        <w:rPr>
          <w:rFonts w:ascii="Arial" w:cs="Arial" w:eastAsia="Arial" w:hAnsi="Arial"/>
          <w:b/>
          <w:bCs/>
          <w:color w:val="2E6B9E"/>
          <w:sz w:val="26"/>
          <w:szCs w:val="26"/>
        </w:rPr>
        <w:t xml:space="preserve">2.3 Subtype-Specific Vectors</w:t>
      </w:r>
    </w:p>
    <w:p>
      <w:pPr>
        <w:spacing w:after="80" w:before="80" w:line="276"/>
      </w:pPr>
      <w:r>
        <w:rPr>
          <w:rFonts w:ascii="Arial" w:cs="Arial" w:eastAsia="Arial" w:hAnsi="Arial"/>
          <w:color w:val="333333"/>
          <w:sz w:val="21"/>
          <w:szCs w:val="21"/>
        </w:rPr>
        <w:t xml:space="preserve">For behaviours where Phase 3’s clustering identified distinct sub-types, a separate steering vector is constructed for each cluster. Each subtype vector points from the overall mean to the cluster’s centroid in full activation space, normalised to unit length. These vectors enable the fine-grained control experiment: suppressing one sub-type (e.g. redundant re-verification backtracking) while preserving another (genuine error-correction backtracking).</w:t>
      </w:r>
    </w:p>
    <w:p>
      <w:pPr>
        <w:pStyle w:val="Heading1"/>
        <w:spacing w:after="160" w:before="360"/>
      </w:pPr>
      <w:r>
        <w:rPr>
          <w:rFonts w:ascii="Arial" w:cs="Arial" w:eastAsia="Arial" w:hAnsi="Arial"/>
          <w:b/>
          <w:bCs/>
          <w:color w:val="1B3A5C"/>
          <w:sz w:val="32"/>
          <w:szCs w:val="32"/>
        </w:rPr>
        <w:t xml:space="preserve">3. Step 2: Running the Steering Comparison</w:t>
      </w:r>
    </w:p>
    <w:p>
      <w:pPr>
        <w:pStyle w:val="Heading2"/>
        <w:spacing w:after="120" w:before="280"/>
      </w:pPr>
      <w:r>
        <w:rPr>
          <w:rFonts w:ascii="Arial" w:cs="Arial" w:eastAsia="Arial" w:hAnsi="Arial"/>
          <w:b/>
          <w:bCs/>
          <w:color w:val="2E6B9E"/>
          <w:sz w:val="26"/>
          <w:szCs w:val="26"/>
        </w:rPr>
        <w:t xml:space="preserve">3.1 Experimental Design</w:t>
      </w:r>
    </w:p>
    <w:p>
      <w:pPr>
        <w:spacing w:after="80" w:before="80" w:line="276"/>
      </w:pPr>
      <w:r>
        <w:rPr>
          <w:rFonts w:ascii="Arial" w:cs="Arial" w:eastAsia="Arial" w:hAnsi="Arial"/>
          <w:color w:val="333333"/>
          <w:sz w:val="21"/>
          <w:szCs w:val="21"/>
        </w:rPr>
        <w:t xml:space="preserve">The comparison experiment generates steered reasoning chains across a grid of conditions. The grid has four dimensions: behaviour (4 target behaviours), method (vanilla, single-direction, manifold-projected), alpha (8 values from 0.0 to 3.0), and task (50 held-out test tasks). Vanilla is only run at alpha=0 since it represents the unsteered baseline.</w:t>
      </w:r>
    </w:p>
    <w:p>
      <w:pPr>
        <w:spacing w:after="80" w:before="80" w:line="276"/>
      </w:pPr>
      <w:r>
        <w:rPr>
          <w:rFonts w:ascii="Arial" w:cs="Arial" w:eastAsia="Arial" w:hAnsi="Arial"/>
          <w:color w:val="333333"/>
          <w:sz w:val="21"/>
          <w:szCs w:val="21"/>
        </w:rPr>
        <w:t xml:space="preserve">For each non-vanilla condition, a SteeredModel wrapper is instantiated with the appropriate steering vector and alpha. The wrapper registers a forward hook at the selected layer that modifies the residual stream during generation, implementing the intervention h’ = h minus alpha times r times (r transposed times h). Generation uses greedy decoding with up to 1,000 tokens, matching the Phase 1 protocol.</w:t>
      </w:r>
    </w:p>
    <w:p>
      <w:pPr>
        <w:pStyle w:val="Heading2"/>
        <w:spacing w:after="120" w:before="280"/>
      </w:pPr>
      <w:r>
        <w:rPr>
          <w:rFonts w:ascii="Arial" w:cs="Arial" w:eastAsia="Arial" w:hAnsi="Arial"/>
          <w:b/>
          <w:bCs/>
          <w:color w:val="2E6B9E"/>
          <w:sz w:val="26"/>
          <w:szCs w:val="26"/>
        </w:rPr>
        <w:t xml:space="preserve">3.2 The Intervention Mechanism</w:t>
      </w:r>
    </w:p>
    <w:p>
      <w:pPr>
        <w:spacing w:after="80" w:before="80" w:line="276"/>
      </w:pPr>
      <w:r>
        <w:rPr>
          <w:rFonts w:ascii="Arial" w:cs="Arial" w:eastAsia="Arial" w:hAnsi="Arial"/>
          <w:color w:val="333333"/>
          <w:sz w:val="21"/>
          <w:szCs w:val="21"/>
        </w:rPr>
        <w:t xml:space="preserve">At each token generation step, the forward hook intercepts the hidden states at the target layer. For every position in the sequence, the component of the activation aligned with the steering direction is computed (a scalar projection), scaled by alpha, and subtracted from the activation. This is mathematically equivalent to removing alpha times the projection of each activation onto the steering vector. The modified activations flow through the remaining layers and produce the next-token logits.</w:t>
      </w:r>
    </w:p>
    <w:p>
      <w:pPr>
        <w:spacing w:after="80" w:before="80" w:line="276"/>
      </w:pPr>
      <w:r>
        <w:rPr>
          <w:rFonts w:ascii="Arial" w:cs="Arial" w:eastAsia="Arial" w:hAnsi="Arial"/>
          <w:color w:val="333333"/>
          <w:sz w:val="21"/>
          <w:szCs w:val="21"/>
        </w:rPr>
        <w:t xml:space="preserve">The subtract mode reduces the target behaviour. The add mode (available but not used in the main comparison) amplifies it. Venhoff et al.’s experiments showed that positive steering increases behaviours like backtracking, while negative steering reduces them.</w:t>
      </w:r>
    </w:p>
    <w:p>
      <w:pPr>
        <w:pStyle w:val="Heading2"/>
        <w:spacing w:after="120" w:before="280"/>
      </w:pPr>
      <w:r>
        <w:rPr>
          <w:rFonts w:ascii="Arial" w:cs="Arial" w:eastAsia="Arial" w:hAnsi="Arial"/>
          <w:b/>
          <w:bCs/>
          <w:color w:val="2E6B9E"/>
          <w:sz w:val="26"/>
          <w:szCs w:val="26"/>
        </w:rPr>
        <w:t xml:space="preserve">3.3 Alpha Sweep</w:t>
      </w:r>
    </w:p>
    <w:p>
      <w:pPr>
        <w:spacing w:after="80" w:before="80" w:line="276"/>
      </w:pPr>
      <w:r>
        <w:rPr>
          <w:rFonts w:ascii="Arial" w:cs="Arial" w:eastAsia="Arial" w:hAnsi="Arial"/>
          <w:color w:val="333333"/>
          <w:sz w:val="21"/>
          <w:szCs w:val="21"/>
        </w:rPr>
        <w:t xml:space="preserve">The default alpha values are [0.0, 0.3, 0.5, 0.7, 1.0, 1.5, 2.0, 3.0]. This range is chosen to span from no intervention to strong intervention, matching the range where Huang et al. observed both the effectiveness and the collapse of single-direction steering. The key prediction is that manifold-projected steering will continue reducing tokens at alpha values (1.5, 2.0, 3.0) where single-direction steering plateaus or causes model collapse.</w:t>
      </w:r>
    </w:p>
    <w:p>
      <w:pPr>
        <w:pStyle w:val="Heading2"/>
        <w:spacing w:after="120" w:before="280"/>
      </w:pPr>
      <w:r>
        <w:rPr>
          <w:rFonts w:ascii="Arial" w:cs="Arial" w:eastAsia="Arial" w:hAnsi="Arial"/>
          <w:b/>
          <w:bCs/>
          <w:color w:val="2E6B9E"/>
          <w:sz w:val="26"/>
          <w:szCs w:val="26"/>
        </w:rPr>
        <w:t xml:space="preserve">3.4 Checkpointing</w:t>
      </w:r>
    </w:p>
    <w:p>
      <w:pPr>
        <w:spacing w:after="80" w:before="80" w:line="276"/>
      </w:pPr>
      <w:r>
        <w:rPr>
          <w:rFonts w:ascii="Arial" w:cs="Arial" w:eastAsia="Arial" w:hAnsi="Arial"/>
          <w:color w:val="333333"/>
          <w:sz w:val="21"/>
          <w:szCs w:val="21"/>
        </w:rPr>
        <w:t xml:space="preserve">The comparison loop checkpoints results to disk after each method completes for a given behaviour and alpha. If interrupted, re-running the script detects existing results and skips completed conditions. On Colab with a T4 GPU, the full comparison takes approximately 3–6 hours for 50 test tasks.</w:t>
      </w:r>
    </w:p>
    <w:p>
      <w:pPr>
        <w:pStyle w:val="Heading2"/>
        <w:spacing w:after="120" w:before="280"/>
      </w:pPr>
      <w:r>
        <w:rPr>
          <w:rFonts w:ascii="Arial" w:cs="Arial" w:eastAsia="Arial" w:hAnsi="Arial"/>
          <w:b/>
          <w:bCs/>
          <w:color w:val="2E6B9E"/>
          <w:sz w:val="26"/>
          <w:szCs w:val="26"/>
        </w:rPr>
        <w:t xml:space="preserve">3.5 Compute Estimate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Component</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T4 GPU</w:t>
            </w:r>
          </w:p>
        </w:tc>
        <w:tc>
          <w:tcPr>
            <w:tcW w:type="dxa" w:w="20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A100</w:t>
            </w:r>
          </w:p>
        </w:tc>
      </w:tr>
      <w:tr>
        <w:tc>
          <w:tcPr>
            <w:tcW w:type="dxa" w:w="5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Build vectors (CPU)</w:t>
            </w:r>
          </w:p>
        </w:tc>
        <w:tc>
          <w:tcPr>
            <w:tcW w:type="dxa" w:w="2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~5 sec</w:t>
            </w:r>
          </w:p>
        </w:tc>
        <w:tc>
          <w:tcPr>
            <w:tcW w:type="dxa" w:w="2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~5 sec</w:t>
            </w:r>
          </w:p>
        </w:tc>
      </w:tr>
      <w:tr>
        <w:tc>
          <w:tcPr>
            <w:tcW w:type="dxa" w:w="5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Steering comparison (50 tasks × 4 behaviours × 8 alphas × 3 methods)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3–6 hours</w:t>
            </w:r>
          </w:p>
        </w:tc>
        <w:tc>
          <w:tcPr>
            <w:tcW w:type="dxa" w:w="2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1–2 hours</w:t>
            </w:r>
          </w:p>
        </w:tc>
      </w:tr>
      <w:tr>
        <w:tc>
          <w:tcPr>
            <w:tcW w:type="dxa" w:w="5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Total</w:t>
            </w:r>
          </w:p>
        </w:tc>
        <w:tc>
          <w:tcPr>
            <w:tcW w:type="dxa" w:w="20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3–6 hours</w:t>
            </w:r>
          </w:p>
        </w:tc>
        <w:tc>
          <w:tcPr>
            <w:tcW w:type="dxa" w:w="20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1–2 hours</w:t>
            </w:r>
          </w:p>
        </w:tc>
      </w:tr>
    </w:tbl>
    <w:p>
      <w:pPr>
        <w:pStyle w:val="Heading1"/>
        <w:spacing w:after="160" w:before="360"/>
      </w:pPr>
      <w:r>
        <w:rPr>
          <w:rFonts w:ascii="Arial" w:cs="Arial" w:eastAsia="Arial" w:hAnsi="Arial"/>
          <w:b/>
          <w:bCs/>
          <w:color w:val="1B3A5C"/>
          <w:sz w:val="32"/>
          <w:szCs w:val="32"/>
        </w:rPr>
        <w:t xml:space="preserve">4. Step 3: Summary and Initial Results</w:t>
      </w:r>
    </w:p>
    <w:p>
      <w:pPr>
        <w:spacing w:after="80" w:before="80" w:line="276"/>
      </w:pPr>
      <w:r>
        <w:rPr>
          <w:rFonts w:ascii="Arial" w:cs="Arial" w:eastAsia="Arial" w:hAnsi="Arial"/>
          <w:color w:val="333333"/>
          <w:sz w:val="21"/>
          <w:szCs w:val="21"/>
        </w:rPr>
        <w:t xml:space="preserve">The summary step (CPU only) loads the comparison results and computes mean token counts grouped by behaviour, method, and alpha. The key metric is token reduction relative to the vanilla baseline. The central prediction is that manifold-projected steering achieves greater token reduction than single-direction steering at the same alpha, and that this advantage grows at higher alpha values where single-direction steering degrades.</w:t>
      </w:r>
    </w:p>
    <w:p>
      <w:pPr>
        <w:spacing w:after="80" w:before="80" w:line="276"/>
      </w:pPr>
      <w:r>
        <w:rPr>
          <w:rFonts w:ascii="Arial" w:cs="Arial" w:eastAsia="Arial" w:hAnsi="Arial"/>
          <w:color w:val="333333"/>
          <w:sz w:val="21"/>
          <w:szCs w:val="21"/>
        </w:rPr>
        <w:t xml:space="preserve">The summary also reports per-behaviour patterns. Following Huang et al.’s finding that overthinking is more pronounced on simpler problems, we expect the token reduction to vary by task category and difficulty. The full accuracy evaluation (Pass@1 on GSM8K, MATH500) is deferred to Phase 5.</w:t>
      </w:r>
    </w:p>
    <w:p>
      <w:pPr>
        <w:pStyle w:val="Heading1"/>
        <w:spacing w:after="160" w:before="360"/>
      </w:pPr>
      <w:r>
        <w:rPr>
          <w:rFonts w:ascii="Arial" w:cs="Arial" w:eastAsia="Arial" w:hAnsi="Arial"/>
          <w:b/>
          <w:bCs/>
          <w:color w:val="1B3A5C"/>
          <w:sz w:val="32"/>
          <w:szCs w:val="32"/>
        </w:rPr>
        <w:t xml:space="preserve">5. File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326"/>
      </w:tblGrid>
      <w:tr>
        <w:tc>
          <w:tcPr>
            <w:tcW w:type="dxa" w:w="4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File Path</w:t>
            </w:r>
          </w:p>
        </w:tc>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Lines</w:t>
            </w:r>
          </w:p>
        </w:tc>
        <w:tc>
          <w:tcPr>
            <w:tcW w:type="dxa" w:w="3326"/>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spacing w:after="0" w:before="0"/>
            </w:pPr>
            <w:r>
              <w:rPr>
                <w:rFonts w:ascii="Arial" w:cs="Arial" w:eastAsia="Arial" w:hAnsi="Arial"/>
                <w:b/>
                <w:bCs/>
                <w:color w:val="FFFFFF"/>
                <w:sz w:val="19"/>
                <w:szCs w:val="19"/>
              </w:rPr>
              <w:t xml:space="preserve">Purpose</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src/steering/manifold_projection.py</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273</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Builds all three vector types: single-direction, manifold-projected, subtype-specific</w:t>
            </w:r>
          </w:p>
        </w:tc>
      </w:tr>
      <w:tr>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src/steering/apply_steering.py</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286</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SteeredModel wrapper, forward hook intervention, comparison experiment loop</w:t>
            </w:r>
          </w:p>
        </w:tc>
      </w:tr>
      <w:tr>
        <w:tc>
          <w:tcPr>
            <w:tcW w:type="dxa" w:w="45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bCs/>
                <w:color w:val="333333"/>
                <w:sz w:val="20"/>
                <w:szCs w:val="20"/>
              </w:rPr>
              <w:t xml:space="preserve">scripts/run_phase4.py</w:t>
            </w:r>
          </w:p>
        </w:tc>
        <w:tc>
          <w:tcPr>
            <w:tcW w:type="dxa" w:w="1200"/>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309</w:t>
            </w:r>
          </w:p>
        </w:tc>
        <w:tc>
          <w:tcPr>
            <w:tcW w:type="dxa" w:w="3326"/>
            <w:tcBorders>
              <w:top w:val="single" w:color="BBBBBB" w:sz="1"/>
              <w:left w:val="single" w:color="BBBBBB" w:sz="1"/>
              <w:bottom w:val="single" w:color="BBBBBB" w:sz="1"/>
              <w:right w:val="single" w:color="BBBBBB" w:sz="1"/>
            </w:tcBorders>
            <w:shd w:fill="F0F4F8"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CLI orchestrator: build_vectors, run_comparison, summary</w:t>
            </w:r>
          </w:p>
        </w:tc>
      </w:tr>
    </w:tbl>
    <w:p>
      <w:pPr>
        <w:pStyle w:val="Heading1"/>
        <w:spacing w:after="160" w:before="360"/>
      </w:pPr>
      <w:r>
        <w:rPr>
          <w:rFonts w:ascii="Arial" w:cs="Arial" w:eastAsia="Arial" w:hAnsi="Arial"/>
          <w:b/>
          <w:bCs/>
          <w:color w:val="1B3A5C"/>
          <w:sz w:val="32"/>
          <w:szCs w:val="32"/>
        </w:rPr>
        <w:t xml:space="preserve">6. Running the Pipeline</w:t>
      </w:r>
    </w:p>
    <w:p>
      <w:pPr>
        <w:spacing w:after="60" w:before="60" w:line="240"/>
        <w:ind w:left="360"/>
      </w:pPr>
      <w:r>
        <w:rPr>
          <w:rFonts w:ascii="Consolas" w:cs="Consolas" w:eastAsia="Consolas" w:hAnsi="Consolas"/>
          <w:color w:val="2D2D2D"/>
          <w:sz w:val="18"/>
          <w:szCs w:val="18"/>
        </w:rPr>
        <w:t xml:space="preserve">python scripts/run_phase4.py                          # All steps</w:t>
      </w:r>
    </w:p>
    <w:p>
      <w:pPr>
        <w:spacing w:after="60" w:before="60" w:line="240"/>
        <w:ind w:left="360"/>
      </w:pPr>
      <w:r>
        <w:rPr>
          <w:rFonts w:ascii="Consolas" w:cs="Consolas" w:eastAsia="Consolas" w:hAnsi="Consolas"/>
          <w:color w:val="2D2D2D"/>
          <w:sz w:val="18"/>
          <w:szCs w:val="18"/>
        </w:rPr>
        <w:t xml:space="preserve">python scripts/run_phase4.py --step build_vectors     # CPU only, ~5 sec</w:t>
      </w:r>
    </w:p>
    <w:p>
      <w:pPr>
        <w:spacing w:after="60" w:before="60" w:line="240"/>
        <w:ind w:left="360"/>
      </w:pPr>
      <w:r>
        <w:rPr>
          <w:rFonts w:ascii="Consolas" w:cs="Consolas" w:eastAsia="Consolas" w:hAnsi="Consolas"/>
          <w:color w:val="2D2D2D"/>
          <w:sz w:val="18"/>
          <w:szCs w:val="18"/>
        </w:rPr>
        <w:t xml:space="preserve">python scripts/run_phase4.py --step run_comparison    # GPU, 3-6 hours</w:t>
      </w:r>
    </w:p>
    <w:p>
      <w:pPr>
        <w:spacing w:after="60" w:before="60" w:line="240"/>
        <w:ind w:left="360"/>
      </w:pPr>
      <w:r>
        <w:rPr>
          <w:rFonts w:ascii="Consolas" w:cs="Consolas" w:eastAsia="Consolas" w:hAnsi="Consolas"/>
          <w:color w:val="2D2D2D"/>
          <w:sz w:val="18"/>
          <w:szCs w:val="18"/>
        </w:rPr>
        <w:t xml:space="preserve">python scripts/run_phase4.py --step summary           # CPU only, instant</w:t>
      </w:r>
    </w:p>
    <w:p>
      <w:pPr>
        <w:spacing w:after="60" w:before="60" w:line="240"/>
        <w:ind w:left="360"/>
      </w:pPr>
      <w:r>
        <w:rPr>
          <w:rFonts w:ascii="Consolas" w:cs="Consolas" w:eastAsia="Consolas" w:hAnsi="Consolas"/>
          <w:color w:val="2D2D2D"/>
          <w:sz w:val="18"/>
          <w:szCs w:val="18"/>
        </w:rPr>
        <w:t xml:space="preserve">python scripts/run_phase4.py --n-tasks 10             # Debug with 10 tasks</w:t>
      </w:r>
    </w:p>
    <w:p>
      <w:pPr>
        <w:pStyle w:val="Heading1"/>
        <w:spacing w:after="160" w:before="360"/>
      </w:pPr>
      <w:r>
        <w:rPr>
          <w:rFonts w:ascii="Arial" w:cs="Arial" w:eastAsia="Arial" w:hAnsi="Arial"/>
          <w:b/>
          <w:bCs/>
          <w:color w:val="1B3A5C"/>
          <w:sz w:val="32"/>
          <w:szCs w:val="32"/>
        </w:rPr>
        <w:t xml:space="preserve">7. Connection to Phase 5</w:t>
      </w:r>
    </w:p>
    <w:p>
      <w:pPr>
        <w:spacing w:after="80" w:before="80" w:line="276"/>
      </w:pPr>
      <w:r>
        <w:rPr>
          <w:rFonts w:ascii="Arial" w:cs="Arial" w:eastAsia="Arial" w:hAnsi="Arial"/>
          <w:color w:val="333333"/>
          <w:sz w:val="21"/>
          <w:szCs w:val="21"/>
        </w:rPr>
        <w:t xml:space="preserve">Phase 4’s comparison_results.json is consumed by Phase 5 (Evaluation), which adds two layers of analysis. First, it re-annotates the steered outputs using GPT-4o to measure behaviour fractions (replicating Venhoff et al.’s Figure 4, extended with manifold steering). Second, it runs the steered models on benchmark datasets (GSM8K, MATH500) to measure accuracy (Pass@1) alongside token reduction, producing the accuracy-efficiency Pareto curves that are the final deliverable of the project.</w:t>
      </w:r>
    </w:p>
    <w:p>
      <w:pPr>
        <w:spacing w:after="0" w:before="200"/>
      </w:pPr>
    </w:p>
    <w:p>
      <w:pPr>
        <w:pBdr>
          <w:top w:val="single" w:color="CCCCCC" w:sz="2" w:space="8"/>
        </w:pBdr>
        <w:spacing w:after="0" w:before="200"/>
        <w:jc w:val="center"/>
      </w:pPr>
      <w:r>
        <w:rPr>
          <w:rFonts w:ascii="Arial" w:cs="Arial" w:eastAsia="Arial" w:hAnsi="Arial"/>
          <w:i/>
          <w:iCs/>
          <w:color w:val="999999"/>
          <w:sz w:val="18"/>
          <w:szCs w:val="18"/>
        </w:rPr>
        <w:t xml:space="preserve">End of Phase 4 Documentation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Reasoning on a Manifold — Phase 4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B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2026-03-25T17:08:07.549Z</dcterms:created>
  <dcterms:modified xsi:type="dcterms:W3CDTF">2026-03-25T17:08:07.569Z</dcterms:modified>
</cp:coreProperties>
</file>

<file path=docProps/custom.xml><?xml version="1.0" encoding="utf-8"?>
<Properties xmlns="http://schemas.openxmlformats.org/officeDocument/2006/custom-properties" xmlns:vt="http://schemas.openxmlformats.org/officeDocument/2006/docPropsVTypes"/>
</file>