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Arial" w:cs="Arial" w:eastAsia="Arial" w:hAnsi="Arial"/>
          <w:b/>
          <w:bCs/>
          <w:color w:val="1B3A5C"/>
          <w:sz w:val="52"/>
          <w:szCs w:val="52"/>
        </w:rPr>
        <w:t xml:space="preserve">Reasoning on a Manifold</w:t>
      </w:r>
    </w:p>
    <w:p>
      <w:pPr>
        <w:spacing w:after="120"/>
        <w:jc w:val="center"/>
      </w:pPr>
      <w:r>
        <w:rPr>
          <w:rFonts w:ascii="Arial" w:cs="Arial" w:eastAsia="Arial" w:hAnsi="Arial"/>
          <w:i/>
          <w:iCs/>
          <w:color w:val="555555"/>
          <w:sz w:val="26"/>
          <w:szCs w:val="26"/>
        </w:rPr>
        <w:t xml:space="preserve">Do Individual Reasoning Behaviours Have Manifold Structure?</w:t>
      </w:r>
    </w:p>
    <w:p>
      <w:pPr>
        <w:spacing w:after="0" w:before="300"/>
      </w:pPr>
    </w:p>
    <w:p>
      <w:pPr>
        <w:pBdr>
          <w:top w:val="single" w:color="CCCCCC" w:sz="2" w:space="12"/>
        </w:pBdr>
        <w:spacing w:after="60"/>
        <w:jc w:val="center"/>
      </w:pPr>
      <w:r>
        <w:rPr>
          <w:rFonts w:ascii="Arial" w:cs="Arial" w:eastAsia="Arial" w:hAnsi="Arial"/>
          <w:b/>
          <w:bCs/>
          <w:color w:val="2E6B9E"/>
          <w:sz w:val="28"/>
          <w:szCs w:val="28"/>
        </w:rPr>
        <w:t xml:space="preserve">Phase 5: Evaluation</w:t>
      </w:r>
    </w:p>
    <w:p>
      <w:pPr>
        <w:jc w:val="center"/>
      </w:pPr>
      <w:r>
        <w:rPr>
          <w:rFonts w:ascii="Arial" w:cs="Arial" w:eastAsia="Arial" w:hAnsi="Arial"/>
          <w:color w:val="777777"/>
          <w:sz w:val="22"/>
          <w:szCs w:val="22"/>
        </w:rPr>
        <w:t xml:space="preserve">Technical Documentation — March 2026</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1. Overview</w:t>
      </w:r>
    </w:p>
    <w:p>
      <w:pPr>
        <w:spacing w:after="80" w:before="80" w:line="276"/>
      </w:pPr>
      <w:r>
        <w:rPr>
          <w:rFonts w:ascii="Arial" w:cs="Arial" w:eastAsia="Arial" w:hAnsi="Arial"/>
          <w:color w:val="333333"/>
          <w:sz w:val="21"/>
          <w:szCs w:val="21"/>
        </w:rPr>
        <w:t xml:space="preserve">Phase 5 is the final evaluation phase. It measures whether manifold-projected steering achieves better outcomes than single-direction steering on two dimensions: behavioural control (does the target behaviour fraction decrease more?) and problem-solving accuracy (does the model still solve problems correctly?). The deliverables are the paper’s evaluation tables and figures.</w:t>
      </w:r>
    </w:p>
    <w:p>
      <w:pPr>
        <w:spacing w:after="80" w:before="80" w:line="276"/>
      </w:pPr>
      <w:r>
        <w:rPr>
          <w:rFonts w:ascii="Arial" w:cs="Arial" w:eastAsia="Arial" w:hAnsi="Arial"/>
          <w:color w:val="333333"/>
          <w:sz w:val="21"/>
          <w:szCs w:val="21"/>
        </w:rPr>
        <w:t xml:space="preserve">Phase 5 has three distinct compute profiles. Step 1 (re-annotation) requires the OpenAI API but no GPU. Step 2 (behaviour fractions) and Steps 4–5 (figures and summary) are CPU-only and instant. Step 3 (accuracy benchmarks) requires a GPU to run steered inference on GSM8K.</w:t>
      </w:r>
    </w:p>
    <w:p>
      <w:pPr>
        <w:pStyle w:val="Heading2"/>
        <w:spacing w:after="120" w:before="280"/>
      </w:pPr>
      <w:r>
        <w:rPr>
          <w:rFonts w:ascii="Arial" w:cs="Arial" w:eastAsia="Arial" w:hAnsi="Arial"/>
          <w:b/>
          <w:bCs/>
          <w:color w:val="2E6B9E"/>
          <w:sz w:val="26"/>
          <w:szCs w:val="26"/>
        </w:rPr>
        <w:t xml:space="preserve">1.1 The Two Evaluation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Dimension</w:t>
            </w:r>
          </w:p>
        </w:tc>
        <w:tc>
          <w:tcPr>
            <w:tcW w:type="dxa" w:w="65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What It Measures</w:t>
            </w:r>
          </w:p>
        </w:tc>
      </w:tr>
      <w:tr>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Behavioural Control</w:t>
            </w:r>
          </w:p>
        </w:tc>
        <w:tc>
          <w:tcPr>
            <w:tcW w:type="dxa" w:w="6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How much does the target behaviour fraction change under steering? Does manifold steering suppress the target more effectively than single-direction steering? Does it cause less collateral disruption to non-target behaviours?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Accuracy Preservation</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Does the steered model still solve math problems correctly? Does manifold steering achieve a better Pareto frontier (more token reduction for the same accuracy, or better accuracy for the same reduction)?</w:t>
            </w:r>
          </w:p>
        </w:tc>
      </w:tr>
    </w:tbl>
    <w:p>
      <w:pPr>
        <w:pStyle w:val="Heading2"/>
        <w:spacing w:after="120" w:before="280"/>
      </w:pPr>
      <w:r>
        <w:rPr>
          <w:rFonts w:ascii="Arial" w:cs="Arial" w:eastAsia="Arial" w:hAnsi="Arial"/>
          <w:b/>
          <w:bCs/>
          <w:color w:val="2E6B9E"/>
          <w:sz w:val="26"/>
          <w:szCs w:val="26"/>
        </w:rPr>
        <w:t xml:space="preserve">1.2 Compute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c>
          <w:tcPr>
            <w:tcW w:type="dxa" w:w="3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Step</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Time</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GPU?</w:t>
            </w:r>
          </w:p>
        </w:tc>
        <w:tc>
          <w:tcPr>
            <w:tcW w:type="dxa" w:w="25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API Cost</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Annotate steered outputs</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30–60 min</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2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~$5–15</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Behaviour fractions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Instant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Accuracy benchmarks (GSM8K)</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2–4 hours</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Yes</w:t>
            </w:r>
          </w:p>
        </w:tc>
        <w:tc>
          <w:tcPr>
            <w:tcW w:type="dxa" w:w="2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Figures + summary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Instant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w:t>
            </w:r>
          </w:p>
        </w:tc>
      </w:tr>
    </w:tbl>
    <w:p>
      <w:pPr>
        <w:pStyle w:val="Heading1"/>
        <w:spacing w:after="160" w:before="360"/>
      </w:pPr>
      <w:r>
        <w:rPr>
          <w:rFonts w:ascii="Arial" w:cs="Arial" w:eastAsia="Arial" w:hAnsi="Arial"/>
          <w:b/>
          <w:bCs/>
          <w:color w:val="1B3A5C"/>
          <w:sz w:val="32"/>
          <w:szCs w:val="32"/>
        </w:rPr>
        <w:t xml:space="preserve">2. Step 1: Re-Annotating Steered Outputs</w:t>
      </w:r>
    </w:p>
    <w:p>
      <w:pPr>
        <w:spacing w:after="80" w:before="80" w:line="276"/>
      </w:pPr>
      <w:r>
        <w:rPr>
          <w:rFonts w:ascii="Arial" w:cs="Arial" w:eastAsia="Arial" w:hAnsi="Arial"/>
          <w:color w:val="333333"/>
          <w:sz w:val="21"/>
          <w:szCs w:val="21"/>
        </w:rPr>
        <w:t xml:space="preserve">The steered reasoning chains from Phase 4 must be re-annotated to measure how the distribution of reasoning behaviours changes under steering. This uses the same GPT-4o annotation pipeline from Phase 1, applied to each steered output. The annotations classify every sentence into one of six behavioural categories.</w:t>
      </w:r>
    </w:p>
    <w:p>
      <w:pPr>
        <w:spacing w:after="80" w:before="80" w:line="276"/>
      </w:pPr>
      <w:r>
        <w:rPr>
          <w:rFonts w:ascii="Arial" w:cs="Arial" w:eastAsia="Arial" w:hAnsi="Arial"/>
          <w:color w:val="333333"/>
          <w:sz w:val="21"/>
          <w:szCs w:val="21"/>
        </w:rPr>
        <w:t xml:space="preserve">The annotated steered outputs are saved alongside their metadata (behaviour targeted, method used, alpha value, task ID), enabling grouping and comparison across conditions. Checkpointing and resume logic ensure the annotation can survive Colab disconnections.</w:t>
      </w:r>
    </w:p>
    <w:p>
      <w:pPr>
        <w:pStyle w:val="Heading1"/>
        <w:spacing w:after="160" w:before="360"/>
      </w:pPr>
      <w:r>
        <w:rPr>
          <w:rFonts w:ascii="Arial" w:cs="Arial" w:eastAsia="Arial" w:hAnsi="Arial"/>
          <w:b/>
          <w:bCs/>
          <w:color w:val="1B3A5C"/>
          <w:sz w:val="32"/>
          <w:szCs w:val="32"/>
        </w:rPr>
        <w:t xml:space="preserve">3. Step 2: Behaviour Fraction Analysis</w:t>
      </w:r>
    </w:p>
    <w:p>
      <w:pPr>
        <w:spacing w:after="80" w:before="80" w:line="276"/>
      </w:pPr>
      <w:r>
        <w:rPr>
          <w:rFonts w:ascii="Arial" w:cs="Arial" w:eastAsia="Arial" w:hAnsi="Arial"/>
          <w:color w:val="333333"/>
          <w:sz w:val="21"/>
          <w:szCs w:val="21"/>
        </w:rPr>
        <w:t xml:space="preserve">Once the steered outputs are annotated, the fraction of sentences in each behavioural category is computed for every (behaviour, method, alpha) condition and averaged across tasks. This produces the data for the behaviour fraction comparison bar charts, which extend Venhoff et al.’s Figure 4 with the manifold-projected condition.</w:t>
      </w:r>
    </w:p>
    <w:p>
      <w:pPr>
        <w:spacing w:after="80" w:before="80" w:line="276"/>
      </w:pPr>
      <w:r>
        <w:rPr>
          <w:rFonts w:ascii="Arial" w:cs="Arial" w:eastAsia="Arial" w:hAnsi="Arial"/>
          <w:color w:val="333333"/>
          <w:sz w:val="21"/>
          <w:szCs w:val="21"/>
        </w:rPr>
        <w:t xml:space="preserve">The key comparisons are as follows. First, for a given target behaviour and alpha, does manifold-projected steering reduce the target behaviour fraction more than single-direction steering? Second, does manifold-projected steering cause less collateral disruption to non-target behaviours? For example, when steering on backtracking at alpha=1.0, does the uncertainty estimation fraction remain closer to the vanilla baseline under manifold steering than under single-direction steering?</w:t>
      </w:r>
    </w:p>
    <w:p>
      <w:pPr>
        <w:pStyle w:val="Heading1"/>
        <w:spacing w:after="160" w:before="360"/>
      </w:pPr>
      <w:r>
        <w:rPr>
          <w:rFonts w:ascii="Arial" w:cs="Arial" w:eastAsia="Arial" w:hAnsi="Arial"/>
          <w:b/>
          <w:bCs/>
          <w:color w:val="1B3A5C"/>
          <w:sz w:val="32"/>
          <w:szCs w:val="32"/>
        </w:rPr>
        <w:t xml:space="preserve">4. Step 3: Accuracy Benchmarks</w:t>
      </w:r>
    </w:p>
    <w:p>
      <w:pPr>
        <w:pStyle w:val="Heading2"/>
        <w:spacing w:after="120" w:before="280"/>
      </w:pPr>
      <w:r>
        <w:rPr>
          <w:rFonts w:ascii="Arial" w:cs="Arial" w:eastAsia="Arial" w:hAnsi="Arial"/>
          <w:b/>
          <w:bCs/>
          <w:color w:val="2E6B9E"/>
          <w:sz w:val="26"/>
          <w:szCs w:val="26"/>
        </w:rPr>
        <w:t xml:space="preserve">4.1 Dataset</w:t>
      </w:r>
    </w:p>
    <w:p>
      <w:pPr>
        <w:spacing w:after="80" w:before="80" w:line="276"/>
      </w:pPr>
      <w:r>
        <w:rPr>
          <w:rFonts w:ascii="Arial" w:cs="Arial" w:eastAsia="Arial" w:hAnsi="Arial"/>
          <w:b w:val="false"/>
          <w:bCs w:val="false"/>
          <w:color w:val="333333"/>
          <w:sz w:val="21"/>
          <w:szCs w:val="21"/>
        </w:rPr>
        <w:t xml:space="preserve">The primary accuracy benchmark is </w:t>
      </w:r>
      <w:r>
        <w:rPr>
          <w:rFonts w:ascii="Arial" w:cs="Arial" w:eastAsia="Arial" w:hAnsi="Arial"/>
          <w:b/>
          <w:bCs/>
          <w:color w:val="333333"/>
          <w:sz w:val="21"/>
          <w:szCs w:val="21"/>
        </w:rPr>
        <w:t xml:space="preserve">GSM8K</w:t>
      </w:r>
      <w:r>
        <w:rPr>
          <w:rFonts w:ascii="Arial" w:cs="Arial" w:eastAsia="Arial" w:hAnsi="Arial"/>
          <w:color w:val="333333"/>
          <w:sz w:val="21"/>
          <w:szCs w:val="21"/>
        </w:rPr>
        <w:t xml:space="preserve"> (Grade School Math 8K), a dataset of 1,319 grade-school math word problems with numerical answers. This matches Huang et al.’s evaluation protocol. Each problem has a gold answer in the format #### &lt;number&gt;. The evaluation metric is Pass@1: the fraction of problems where the model’s predicted answer matches the gold answer exactly.</w:t>
      </w:r>
    </w:p>
    <w:p>
      <w:pPr>
        <w:pStyle w:val="Heading2"/>
        <w:spacing w:after="120" w:before="280"/>
      </w:pPr>
      <w:r>
        <w:rPr>
          <w:rFonts w:ascii="Arial" w:cs="Arial" w:eastAsia="Arial" w:hAnsi="Arial"/>
          <w:b/>
          <w:bCs/>
          <w:color w:val="2E6B9E"/>
          <w:sz w:val="26"/>
          <w:szCs w:val="26"/>
        </w:rPr>
        <w:t xml:space="preserve">4.2 Answer Extraction</w:t>
      </w:r>
    </w:p>
    <w:p>
      <w:pPr>
        <w:spacing w:after="80" w:before="80" w:line="276"/>
      </w:pPr>
      <w:r>
        <w:rPr>
          <w:rFonts w:ascii="Arial" w:cs="Arial" w:eastAsia="Arial" w:hAnsi="Arial"/>
          <w:color w:val="333333"/>
          <w:sz w:val="21"/>
          <w:szCs w:val="21"/>
        </w:rPr>
        <w:t xml:space="preserve">The answer extraction module handles three common output formats: the #### pattern used by GSM8K itself, the “the answer is X” pattern common in chain-of-thought reasoning, and a fallback to the last numerical value in the output. Numerical comparison uses a tolerance of 1e-6 for floating-point answers.</w:t>
      </w:r>
    </w:p>
    <w:p>
      <w:pPr>
        <w:pStyle w:val="Heading2"/>
        <w:spacing w:after="120" w:before="280"/>
      </w:pPr>
      <w:r>
        <w:rPr>
          <w:rFonts w:ascii="Arial" w:cs="Arial" w:eastAsia="Arial" w:hAnsi="Arial"/>
          <w:b/>
          <w:bCs/>
          <w:color w:val="2E6B9E"/>
          <w:sz w:val="26"/>
          <w:szCs w:val="26"/>
        </w:rPr>
        <w:t xml:space="preserve">4.3 Experimental Grid</w:t>
      </w:r>
    </w:p>
    <w:p>
      <w:pPr>
        <w:spacing w:after="80" w:before="80" w:line="276"/>
      </w:pPr>
      <w:r>
        <w:rPr>
          <w:rFonts w:ascii="Arial" w:cs="Arial" w:eastAsia="Arial" w:hAnsi="Arial"/>
          <w:color w:val="333333"/>
          <w:sz w:val="21"/>
          <w:szCs w:val="21"/>
        </w:rPr>
        <w:t xml:space="preserve">The benchmark is run for a subset of alpha values (0.0, 0.5, 1.0, 1.5) rather than the full sweep, since each alpha requires a complete pass through the GSM8K test set. For each (behaviour, method, alpha) condition, the model generates answers for all test problems using the appropriate steering vector. The results are checkpointed after each condition.</w:t>
      </w:r>
    </w:p>
    <w:p>
      <w:pPr>
        <w:pStyle w:val="Heading2"/>
        <w:spacing w:after="120" w:before="280"/>
      </w:pPr>
      <w:r>
        <w:rPr>
          <w:rFonts w:ascii="Arial" w:cs="Arial" w:eastAsia="Arial" w:hAnsi="Arial"/>
          <w:b/>
          <w:bCs/>
          <w:color w:val="2E6B9E"/>
          <w:sz w:val="26"/>
          <w:szCs w:val="26"/>
        </w:rPr>
        <w:t xml:space="preserve">4.4 The Pareto Curve</w:t>
      </w:r>
    </w:p>
    <w:p>
      <w:pPr>
        <w:spacing w:after="80" w:before="80" w:line="276"/>
      </w:pPr>
      <w:r>
        <w:rPr>
          <w:rFonts w:ascii="Arial" w:cs="Arial" w:eastAsia="Arial" w:hAnsi="Arial"/>
          <w:color w:val="333333"/>
          <w:sz w:val="21"/>
          <w:szCs w:val="21"/>
        </w:rPr>
        <w:t xml:space="preserve">The accuracy-efficiency Pareto curve plots Pass@1 accuracy (y-axis) against token reduction percentage (x-axis). Each point represents a (method, alpha) condition. The ideal position is the upper-right corner: high accuracy and high token reduction. If manifold-projected points consistently sit above and to the right of single-direction points, manifold steering achieves a strictly better trade-off.</w:t>
      </w:r>
    </w:p>
    <w:p>
      <w:pPr>
        <w:spacing w:after="80" w:before="80" w:line="276"/>
      </w:pPr>
      <w:r>
        <w:rPr>
          <w:rFonts w:ascii="Arial" w:cs="Arial" w:eastAsia="Arial" w:hAnsi="Arial"/>
          <w:color w:val="333333"/>
          <w:sz w:val="21"/>
          <w:szCs w:val="21"/>
        </w:rPr>
        <w:t xml:space="preserve">Following Huang et al.’s finding that overthinking is more pronounced on simpler problems, we expect larger token reductions on GSM8K (a relatively easy benchmark) than would be seen on harder benchmarks like AIME2024.</w:t>
      </w:r>
    </w:p>
    <w:p>
      <w:pPr>
        <w:pStyle w:val="Heading1"/>
        <w:spacing w:after="160" w:before="360"/>
      </w:pPr>
      <w:r>
        <w:rPr>
          <w:rFonts w:ascii="Arial" w:cs="Arial" w:eastAsia="Arial" w:hAnsi="Arial"/>
          <w:b/>
          <w:bCs/>
          <w:color w:val="1B3A5C"/>
          <w:sz w:val="32"/>
          <w:szCs w:val="32"/>
        </w:rPr>
        <w:t xml:space="preserve">5. Steps 4–5: Figures and Summary</w:t>
      </w:r>
    </w:p>
    <w:p>
      <w:pPr>
        <w:pStyle w:val="Heading2"/>
        <w:spacing w:after="120" w:before="280"/>
      </w:pPr>
      <w:r>
        <w:rPr>
          <w:rFonts w:ascii="Arial" w:cs="Arial" w:eastAsia="Arial" w:hAnsi="Arial"/>
          <w:b/>
          <w:bCs/>
          <w:color w:val="2E6B9E"/>
          <w:sz w:val="26"/>
          <w:szCs w:val="26"/>
        </w:rPr>
        <w:t xml:space="preserve">5.1 Figures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Figure</w:t>
            </w:r>
          </w:p>
        </w:tc>
        <w:tc>
          <w:tcPr>
            <w:tcW w:type="dxa" w:w="55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Alpha sweep curves</w:t>
            </w:r>
          </w:p>
        </w:tc>
        <w:tc>
          <w:tcPr>
            <w:tcW w:type="dxa" w:w="5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Token count vs alpha, per method. Shows whether manifold steering continues reducing tokens at high alpha where single-direction steering plateaus.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Behaviour fraction bars</w:t>
            </w:r>
          </w:p>
        </w:tc>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Per-behaviour fraction comparison at alpha=1.0 across vanilla, single-direction, and manifold-projected. Extends Venhoff Figure 4.</w:t>
            </w:r>
          </w:p>
        </w:tc>
      </w:tr>
      <w:tr>
        <w:tc>
          <w:tcPr>
            <w:tcW w:type="dxa" w:w="3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Pareto curve</w:t>
            </w:r>
          </w:p>
        </w:tc>
        <w:tc>
          <w:tcPr>
            <w:tcW w:type="dxa" w:w="55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Pass@1 accuracy vs token reduction on GSM8K. Shows whether manifold steering achieves better trade-offs.</w:t>
            </w:r>
          </w:p>
        </w:tc>
      </w:tr>
    </w:tbl>
    <w:p>
      <w:pPr>
        <w:pStyle w:val="Heading2"/>
        <w:spacing w:after="120" w:before="280"/>
      </w:pPr>
      <w:r>
        <w:rPr>
          <w:rFonts w:ascii="Arial" w:cs="Arial" w:eastAsia="Arial" w:hAnsi="Arial"/>
          <w:b/>
          <w:bCs/>
          <w:color w:val="2E6B9E"/>
          <w:sz w:val="26"/>
          <w:szCs w:val="26"/>
        </w:rPr>
        <w:t xml:space="preserve">5.2 Final Summary Table</w:t>
      </w:r>
    </w:p>
    <w:p>
      <w:pPr>
        <w:spacing w:after="80" w:before="80" w:line="276"/>
      </w:pPr>
      <w:r>
        <w:rPr>
          <w:rFonts w:ascii="Arial" w:cs="Arial" w:eastAsia="Arial" w:hAnsi="Arial"/>
          <w:color w:val="333333"/>
          <w:sz w:val="21"/>
          <w:szCs w:val="21"/>
        </w:rPr>
        <w:t xml:space="preserve">The summary step prints a comprehensive table showing, for each behaviour: the vanilla baseline token count, the best token reduction achieved by each method (with the corresponding alpha), and the GSM8K accuracy at that alpha. This is the content that goes directly into the paper’s results section.</w:t>
      </w:r>
    </w:p>
    <w:p>
      <w:pPr>
        <w:pStyle w:val="Heading1"/>
        <w:spacing w:after="160" w:before="360"/>
      </w:pPr>
      <w:r>
        <w:rPr>
          <w:rFonts w:ascii="Arial" w:cs="Arial" w:eastAsia="Arial" w:hAnsi="Arial"/>
          <w:b/>
          <w:bCs/>
          <w:color w:val="1B3A5C"/>
          <w:sz w:val="32"/>
          <w:szCs w:val="32"/>
        </w:rPr>
        <w:t xml:space="preserve">6. File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c>
          <w:tcPr>
            <w:tcW w:type="dxa" w:w="4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 Path</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Lines</w:t>
            </w:r>
          </w:p>
        </w:tc>
        <w:tc>
          <w:tcPr>
            <w:tcW w:type="dxa" w:w="33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Purpose</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src/evaluation/behaviour_fractions.py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197</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Re-annotate steered outputs, compute per-condition behaviour fractions</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src/evaluation/benchmark_accuracy.py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292</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GSM8K evaluation: answer extraction, numerical matching, benchmark loop</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src/evaluation/results_plotting.py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208</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Alpha sweeps, fraction bars, Pareto curves</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scripts/run_phase5.py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406</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CLI orchestrator: annotate, fractions, benchmark, figures, summary</w:t>
            </w:r>
          </w:p>
        </w:tc>
      </w:tr>
    </w:tbl>
    <w:p>
      <w:pPr>
        <w:pStyle w:val="Heading1"/>
        <w:spacing w:after="160" w:before="360"/>
      </w:pPr>
      <w:r>
        <w:rPr>
          <w:rFonts w:ascii="Arial" w:cs="Arial" w:eastAsia="Arial" w:hAnsi="Arial"/>
          <w:b/>
          <w:bCs/>
          <w:color w:val="1B3A5C"/>
          <w:sz w:val="32"/>
          <w:szCs w:val="32"/>
        </w:rPr>
        <w:t xml:space="preserve">7. Running the Pipeline</w:t>
      </w:r>
    </w:p>
    <w:p>
      <w:pPr>
        <w:spacing w:after="60" w:before="60" w:line="240"/>
        <w:ind w:left="360"/>
      </w:pPr>
      <w:r>
        <w:rPr>
          <w:rFonts w:ascii="Consolas" w:cs="Consolas" w:eastAsia="Consolas" w:hAnsi="Consolas"/>
          <w:color w:val="2D2D2D"/>
          <w:sz w:val="18"/>
          <w:szCs w:val="18"/>
        </w:rPr>
        <w:t xml:space="preserve">python scripts/run_phase5.py                          # All steps</w:t>
      </w:r>
    </w:p>
    <w:p>
      <w:pPr>
        <w:spacing w:after="60" w:before="60" w:line="240"/>
        <w:ind w:left="360"/>
      </w:pPr>
      <w:r>
        <w:rPr>
          <w:rFonts w:ascii="Consolas" w:cs="Consolas" w:eastAsia="Consolas" w:hAnsi="Consolas"/>
          <w:color w:val="2D2D2D"/>
          <w:sz w:val="18"/>
          <w:szCs w:val="18"/>
        </w:rPr>
        <w:t xml:space="preserve">python scripts/run_phase5.py --step annotate          # GPT-4o re-annotation</w:t>
      </w:r>
    </w:p>
    <w:p>
      <w:pPr>
        <w:spacing w:after="60" w:before="60" w:line="240"/>
        <w:ind w:left="360"/>
      </w:pPr>
      <w:r>
        <w:rPr>
          <w:rFonts w:ascii="Consolas" w:cs="Consolas" w:eastAsia="Consolas" w:hAnsi="Consolas"/>
          <w:color w:val="2D2D2D"/>
          <w:sz w:val="18"/>
          <w:szCs w:val="18"/>
        </w:rPr>
        <w:t xml:space="preserve">python scripts/run_phase5.py --step fractions         # Compute fractions (CPU)</w:t>
      </w:r>
    </w:p>
    <w:p>
      <w:pPr>
        <w:spacing w:after="60" w:before="60" w:line="240"/>
        <w:ind w:left="360"/>
      </w:pPr>
      <w:r>
        <w:rPr>
          <w:rFonts w:ascii="Consolas" w:cs="Consolas" w:eastAsia="Consolas" w:hAnsi="Consolas"/>
          <w:color w:val="2D2D2D"/>
          <w:sz w:val="18"/>
          <w:szCs w:val="18"/>
        </w:rPr>
        <w:t xml:space="preserve">python scripts/run_phase5.py --step benchmark         # GSM8K accuracy (GPU)</w:t>
      </w:r>
    </w:p>
    <w:p>
      <w:pPr>
        <w:spacing w:after="60" w:before="60" w:line="240"/>
        <w:ind w:left="360"/>
      </w:pPr>
      <w:r>
        <w:rPr>
          <w:rFonts w:ascii="Consolas" w:cs="Consolas" w:eastAsia="Consolas" w:hAnsi="Consolas"/>
          <w:color w:val="2D2D2D"/>
          <w:sz w:val="18"/>
          <w:szCs w:val="18"/>
        </w:rPr>
        <w:t xml:space="preserve">python scripts/run_phase5.py --step figures           # Generate plots (CPU)</w:t>
      </w:r>
    </w:p>
    <w:p>
      <w:pPr>
        <w:spacing w:after="60" w:before="60" w:line="240"/>
        <w:ind w:left="360"/>
      </w:pPr>
      <w:r>
        <w:rPr>
          <w:rFonts w:ascii="Consolas" w:cs="Consolas" w:eastAsia="Consolas" w:hAnsi="Consolas"/>
          <w:color w:val="2D2D2D"/>
          <w:sz w:val="18"/>
          <w:szCs w:val="18"/>
        </w:rPr>
        <w:t xml:space="preserve">python scripts/run_phase5.py --step summary           # Print final results (CPU)</w:t>
      </w:r>
    </w:p>
    <w:p>
      <w:pPr>
        <w:spacing w:after="60" w:before="60" w:line="240"/>
        <w:ind w:left="360"/>
      </w:pPr>
      <w:r>
        <w:rPr>
          <w:rFonts w:ascii="Consolas" w:cs="Consolas" w:eastAsia="Consolas" w:hAnsi="Consolas"/>
          <w:color w:val="2D2D2D"/>
          <w:sz w:val="18"/>
          <w:szCs w:val="18"/>
        </w:rPr>
        <w:t xml:space="preserve">python scripts/run_phase5.py --max-bench 100          # Limit benchmark to 100 problems</w:t>
      </w:r>
    </w:p>
    <w:p>
      <w:pPr>
        <w:spacing w:after="60" w:before="60" w:line="240"/>
        <w:ind w:left="360"/>
      </w:pPr>
      <w:r>
        <w:rPr>
          <w:rFonts w:ascii="Consolas" w:cs="Consolas" w:eastAsia="Consolas" w:hAnsi="Consolas"/>
          <w:color w:val="2D2D2D"/>
          <w:sz w:val="18"/>
          <w:szCs w:val="18"/>
        </w:rPr>
        <w:t xml:space="preserve">python scripts/run_phase5.py --skip-benchmark         # Skip GPU step entirely</w:t>
      </w:r>
    </w:p>
    <w:p>
      <w:pPr>
        <w:pStyle w:val="Heading1"/>
        <w:spacing w:after="160" w:before="360"/>
      </w:pPr>
      <w:r>
        <w:rPr>
          <w:rFonts w:ascii="Arial" w:cs="Arial" w:eastAsia="Arial" w:hAnsi="Arial"/>
          <w:b/>
          <w:bCs/>
          <w:color w:val="1B3A5C"/>
          <w:sz w:val="32"/>
          <w:szCs w:val="32"/>
        </w:rPr>
        <w:t xml:space="preserve">8. Complete Project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1200"/>
        <w:gridCol w:w="3126"/>
      </w:tblGrid>
      <w:tr>
        <w:tc>
          <w:tcPr>
            <w:tcW w:type="dxa" w:w="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Phase</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Files</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Lines</w:t>
            </w:r>
          </w:p>
        </w:tc>
        <w:tc>
          <w:tcPr>
            <w:tcW w:type="dxa" w:w="31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Status</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w:t>
            </w:r>
          </w:p>
        </w:tc>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Data Generation</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6+2</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1,249</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Activation Extraction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1,343</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w:t>
            </w:r>
          </w:p>
        </w:tc>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PCA Manifold Analysis</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3+1</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1,257</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Manifold Steering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868</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w:t>
            </w:r>
          </w:p>
        </w:tc>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Evaluation</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3+1</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1,103</w:t>
            </w:r>
          </w:p>
        </w:tc>
        <w:tc>
          <w:tcPr>
            <w:tcW w:type="dxa" w:w="31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Total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22+6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6,022</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All phases complete</w:t>
            </w:r>
          </w:p>
        </w:tc>
      </w:tr>
    </w:tbl>
    <w:p>
      <w:pPr>
        <w:spacing w:after="80" w:before="80" w:line="276"/>
      </w:pPr>
      <w:r>
        <w:rPr>
          <w:rFonts w:ascii="Arial" w:cs="Arial" w:eastAsia="Arial" w:hAnsi="Arial"/>
          <w:color w:val="333333"/>
          <w:sz w:val="21"/>
          <w:szCs w:val="21"/>
        </w:rPr>
        <w:t xml:space="preserve">The complete project comprises 22 source modules and 6 scripts totalling 6,022 lines of Python, plus 3 Colab notebooks, a GPU guide, a configuration file, an environment specification, a setup script, a README, and 5 documentation Word files.</w:t>
      </w:r>
    </w:p>
    <w:p>
      <w:pPr>
        <w:spacing w:after="0" w:before="200"/>
      </w:pPr>
    </w:p>
    <w:p>
      <w:pPr>
        <w:pBdr>
          <w:top w:val="single" w:color="CCCCCC" w:sz="2" w:space="8"/>
        </w:pBdr>
        <w:spacing w:after="0" w:before="200"/>
        <w:jc w:val="center"/>
      </w:pPr>
      <w:r>
        <w:rPr>
          <w:rFonts w:ascii="Arial" w:cs="Arial" w:eastAsia="Arial" w:hAnsi="Arial"/>
          <w:i/>
          <w:iCs/>
          <w:color w:val="999999"/>
          <w:sz w:val="18"/>
          <w:szCs w:val="18"/>
        </w:rPr>
        <w:t xml:space="preserve">End of Phase 5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Reasoning on a Manifold — Phase 5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2026-03-26T10:58:58.499Z</dcterms:created>
  <dcterms:modified xsi:type="dcterms:W3CDTF">2026-03-26T10:58:58.500Z</dcterms:modified>
</cp:coreProperties>
</file>

<file path=docProps/custom.xml><?xml version="1.0" encoding="utf-8"?>
<Properties xmlns="http://schemas.openxmlformats.org/officeDocument/2006/custom-properties" xmlns:vt="http://schemas.openxmlformats.org/officeDocument/2006/docPropsVTypes"/>
</file>