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
      </w:pPr>
      <w:r>
        <w:rPr>
          <w:rFonts w:ascii="Arial" w:cs="Arial" w:eastAsia="Arial" w:hAnsi="Arial"/>
          <w:b/>
          <w:bCs/>
          <w:i w:val="false"/>
          <w:iCs w:val="false"/>
          <w:color w:val="1B2A4A"/>
          <w:sz w:val="34"/>
          <w:szCs w:val="34"/>
        </w:rPr>
        <w:t xml:space="preserve">Sector Module - Food Chain / Multi-Branch F&amp;B</w:t>
      </w:r>
    </w:p>
    <w:p>
      <w:pPr>
        <w:spacing w:after="0" w:before="0"/>
      </w:pPr>
      <w:r>
        <w:rPr>
          <w:rFonts w:ascii="Arial" w:cs="Arial" w:eastAsia="Arial" w:hAnsi="Arial"/>
          <w:b/>
          <w:bCs/>
          <w:i w:val="false"/>
          <w:iCs w:val="false"/>
          <w:color w:val="C8860A"/>
          <w:sz w:val="19"/>
          <w:szCs w:val="19"/>
        </w:rPr>
        <w:t xml:space="preserve">Supplement to Core Questionnaire  |  ZWZ / McDonald's Type Operations</w:t>
      </w:r>
    </w:p>
    <w:p>
      <w:pPr>
        <w:pBdr>
          <w:bottom w:val="single" w:color="C8A86B" w:sz="10" w:space="5"/>
        </w:pBdr>
        <w:spacing w:after="160" w:before="60"/>
      </w:pPr>
      <w:r>
        <w:rPr>
          <w:rFonts w:ascii="Arial" w:cs="Arial" w:eastAsia="Arial" w:hAnsi="Arial"/>
          <w:b w:val="false"/>
          <w:bCs w:val="false"/>
          <w:i/>
          <w:iCs/>
          <w:color w:val="3D3D3D"/>
          <w:sz w:val="16"/>
          <w:szCs w:val="16"/>
        </w:rPr>
        <w:t xml:space="preserve">Complete this module in addition to the Core Questionnaire. All responses supplement the core risk identification and calibration process. Taxonomy, scoring doctrine, and escalation logic remain as defined in the Pillar 1 Master Architecture.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5398"/>
      </w:tblGrid>
      <w:tr>
        <w:tc>
          <w:tcPr>
            <w:tcW w:type="dxa" w:w="15398"/>
            <w:tcBorders>
              <w:top w:val="single" w:color="C8860A" w:sz="2"/>
              <w:left w:val="single" w:color="C8860A" w:sz="8"/>
              <w:bottom w:val="single" w:color="C8860A" w:sz="2"/>
              <w:right w:val="single" w:color="C8860A" w:sz="2"/>
            </w:tcBorders>
            <w:shd w:fill="FEF3E2" w:val="clear"/>
            <w:tcMar>
              <w:top w:type="dxa" w:w="110"/>
              <w:left w:type="dxa" w:w="200"/>
              <w:bottom w:type="dxa" w:w="110"/>
              <w:right w:type="dxa" w:w="160"/>
            </w:tcMar>
          </w:tcPr>
          <w:p>
            <w:pPr>
              <w:spacing w:after="60" w:before="0"/>
            </w:pPr>
            <w:r>
              <w:rPr>
                <w:rFonts w:ascii="Arial" w:cs="Arial" w:eastAsia="Arial" w:hAnsi="Arial"/>
                <w:b/>
                <w:bCs/>
                <w:i w:val="false"/>
                <w:iCs w:val="false"/>
                <w:color w:val="C8860A"/>
                <w:sz w:val="18"/>
                <w:szCs w:val="18"/>
              </w:rPr>
              <w:t xml:space="preserve">Module Scope</w:t>
            </w:r>
          </w:p>
          <w:p>
            <w:pPr>
              <w:spacing w:after="24" w:before="24"/>
              <w:ind w:left="680" w:hanging="397"/>
            </w:pPr>
            <w:r>
              <w:rPr>
                <w:rFonts w:ascii="Arial" w:cs="Arial" w:eastAsia="Arial" w:hAnsi="Arial"/>
                <w:color w:val="C8A86B"/>
                <w:sz w:val="17"/>
                <w:szCs w:val="17"/>
              </w:rPr>
              <w:t xml:space="preserve">- </w:t>
            </w:r>
            <w:r>
              <w:rPr>
                <w:rFonts w:ascii="Arial" w:cs="Arial" w:eastAsia="Arial" w:hAnsi="Arial"/>
                <w:b w:val="false"/>
                <w:bCs w:val="false"/>
                <w:color w:val="3D3D3D"/>
                <w:sz w:val="17"/>
                <w:szCs w:val="17"/>
              </w:rPr>
              <w:t xml:space="preserve">This module covers F&amp;B-specific operational, regulatory, supply chain, and brand risks.</w:t>
            </w:r>
          </w:p>
          <w:p>
            <w:pPr>
              <w:spacing w:after="24" w:before="24"/>
              <w:ind w:left="680" w:hanging="397"/>
            </w:pPr>
            <w:r>
              <w:rPr>
                <w:rFonts w:ascii="Arial" w:cs="Arial" w:eastAsia="Arial" w:hAnsi="Arial"/>
                <w:color w:val="C8A86B"/>
                <w:sz w:val="17"/>
                <w:szCs w:val="17"/>
              </w:rPr>
              <w:t xml:space="preserve">- </w:t>
            </w:r>
            <w:r>
              <w:rPr>
                <w:rFonts w:ascii="Arial" w:cs="Arial" w:eastAsia="Arial" w:hAnsi="Arial"/>
                <w:b w:val="false"/>
                <w:bCs w:val="false"/>
                <w:color w:val="3D3D3D"/>
                <w:sz w:val="17"/>
                <w:szCs w:val="17"/>
              </w:rPr>
              <w:t xml:space="preserve">All questions feed into the 6-dimension impact model: Financial, Operational, Regulatory, Reputational, Quality, Strategic.</w:t>
            </w:r>
          </w:p>
          <w:p>
            <w:pPr>
              <w:spacing w:after="24" w:before="24"/>
              <w:ind w:left="680" w:hanging="397"/>
            </w:pPr>
            <w:r>
              <w:rPr>
                <w:rFonts w:ascii="Arial" w:cs="Arial" w:eastAsia="Arial" w:hAnsi="Arial"/>
                <w:color w:val="C8A86B"/>
                <w:sz w:val="17"/>
                <w:szCs w:val="17"/>
              </w:rPr>
              <w:t xml:space="preserve">- </w:t>
            </w:r>
            <w:r>
              <w:rPr>
                <w:rFonts w:ascii="Arial" w:cs="Arial" w:eastAsia="Arial" w:hAnsi="Arial"/>
                <w:b w:val="false"/>
                <w:bCs w:val="false"/>
                <w:color w:val="3D3D3D"/>
                <w:sz w:val="17"/>
                <w:szCs w:val="17"/>
              </w:rPr>
              <w:t xml:space="preserve">Do not modify taxonomy or scoring logic based on responses to this module.</w:t>
            </w:r>
          </w:p>
          <w:p>
            <w:pPr>
              <w:spacing w:after="24" w:before="24"/>
              <w:ind w:left="680" w:hanging="397"/>
            </w:pPr>
            <w:r>
              <w:rPr>
                <w:rFonts w:ascii="Arial" w:cs="Arial" w:eastAsia="Arial" w:hAnsi="Arial"/>
                <w:color w:val="C8A86B"/>
                <w:sz w:val="17"/>
                <w:szCs w:val="17"/>
              </w:rPr>
              <w:t xml:space="preserve">- </w:t>
            </w:r>
            <w:r>
              <w:rPr>
                <w:rFonts w:ascii="Arial" w:cs="Arial" w:eastAsia="Arial" w:hAnsi="Arial"/>
                <w:b w:val="false"/>
                <w:bCs w:val="false"/>
                <w:color w:val="3D3D3D"/>
                <w:sz w:val="17"/>
                <w:szCs w:val="17"/>
              </w:rPr>
              <w:t xml:space="preserve">Attach supporting documents where referenced: inspection records, lease agreements, central kitchen specs, franchise agreements.</w:t>
            </w:r>
          </w:p>
        </w:tc>
      </w:tr>
    </w:tbl>
    <w:p>
      <w:pPr>
        <w:spacing w:after="0" w:before="200"/>
      </w:pPr>
      <w:r>
        <w:t xml:space="preserve"/>
      </w:r>
    </w:p>
    <w:p>
      <w:pPr>
        <w:pBdr>
          <w:bottom w:val="single" w:color="C8A86B" w:sz="8" w:space="3"/>
        </w:pBdr>
        <w:spacing w:after="0" w:before="260"/>
      </w:pPr>
      <w:r>
        <w:rPr>
          <w:rFonts w:ascii="Arial" w:cs="Arial" w:eastAsia="Arial" w:hAnsi="Arial"/>
          <w:b/>
          <w:bCs/>
          <w:color w:val="C8A86B"/>
          <w:sz w:val="21"/>
          <w:szCs w:val="21"/>
        </w:rPr>
        <w:t xml:space="preserve">F1.  </w:t>
      </w:r>
      <w:r>
        <w:rPr>
          <w:rFonts w:ascii="Arial" w:cs="Arial" w:eastAsia="Arial" w:hAnsi="Arial"/>
          <w:b/>
          <w:bCs/>
          <w:color w:val="C8860A"/>
          <w:sz w:val="21"/>
          <w:szCs w:val="21"/>
        </w:rPr>
        <w:t xml:space="preserve">MULTI-BRANCH OPERATIONAL STRUCTURE</w:t>
      </w:r>
    </w:p>
    <w:p>
      <w:pPr>
        <w:spacing w:after="100" w:before="60"/>
      </w:pPr>
      <w:r>
        <w:rPr>
          <w:rFonts w:ascii="Arial" w:cs="Arial" w:eastAsia="Arial" w:hAnsi="Arial"/>
          <w:b w:val="false"/>
          <w:bCs w:val="false"/>
          <w:i/>
          <w:iCs/>
          <w:color w:val="666666"/>
          <w:sz w:val="16"/>
          <w:szCs w:val="16"/>
        </w:rPr>
        <w:t xml:space="preserve">Feeds: Operational Risk, Strategic Risk, Third-Party &amp; Dependency Risk.</w:t>
      </w:r>
    </w:p>
    <w:p>
      <w:pPr>
        <w:spacing w:after="0" w:before="80"/>
      </w:pPr>
      <w:r>
        <w:t xml:space="preserve"/>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9000"/>
        <w:gridCol w:w="5398"/>
      </w:tblGrid>
      <w:tr>
        <w:trPr>
          <w:tblHeader/>
        </w:trPr>
        <w:tc>
          <w:tcPr>
            <w:tcW w:type="dxa" w:w="1000"/>
            <w:tcBorders>
              <w:top w:val="single" w:color="12253A" w:sz="1"/>
              <w:left w:val="single" w:color="12253A" w:sz="1"/>
              <w:bottom w:val="single" w:color="12253A" w:sz="1"/>
              <w:right w:val="single" w:color="12253A" w:sz="1"/>
            </w:tcBorders>
            <w:shd w:fill="12253A" w:val="clear"/>
            <w:tcMar>
              <w:top w:type="dxa" w:w="80"/>
              <w:left w:type="dxa" w:w="100"/>
              <w:bottom w:type="dxa" w:w="80"/>
              <w:right w:type="dxa" w:w="100"/>
            </w:tcMar>
          </w:tcPr>
          <w:p>
            <w:pPr>
              <w:spacing w:after="0" w:before="0"/>
              <w:jc w:val="center"/>
            </w:pPr>
            <w:r>
              <w:rPr>
                <w:rFonts w:ascii="Arial" w:cs="Arial" w:eastAsia="Arial" w:hAnsi="Arial"/>
                <w:b/>
                <w:bCs/>
                <w:i w:val="false"/>
                <w:iCs w:val="false"/>
                <w:color w:val="FFFFFF"/>
                <w:sz w:val="17"/>
                <w:szCs w:val="17"/>
              </w:rPr>
              <w:t xml:space="preserve">Ref</w:t>
            </w:r>
          </w:p>
        </w:tc>
        <w:tc>
          <w:tcPr>
            <w:tcW w:type="dxa" w:w="9000"/>
            <w:tcBorders>
              <w:top w:val="single" w:color="12253A" w:sz="1"/>
              <w:left w:val="single" w:color="12253A" w:sz="1"/>
              <w:bottom w:val="single" w:color="12253A" w:sz="1"/>
              <w:right w:val="single" w:color="12253A" w:sz="1"/>
            </w:tcBorders>
            <w:shd w:fill="12253A" w:val="clear"/>
            <w:tcMar>
              <w:top w:type="dxa" w:w="80"/>
              <w:left w:type="dxa" w:w="100"/>
              <w:bottom w:type="dxa" w:w="80"/>
              <w:right w:type="dxa" w:w="100"/>
            </w:tcMar>
          </w:tcPr>
          <w:p>
            <w:pPr>
              <w:spacing w:after="0" w:before="0"/>
              <w:jc w:val="center"/>
            </w:pPr>
            <w:r>
              <w:rPr>
                <w:rFonts w:ascii="Arial" w:cs="Arial" w:eastAsia="Arial" w:hAnsi="Arial"/>
                <w:b/>
                <w:bCs/>
                <w:i w:val="false"/>
                <w:iCs w:val="false"/>
                <w:color w:val="FFFFFF"/>
                <w:sz w:val="17"/>
                <w:szCs w:val="17"/>
              </w:rPr>
              <w:t xml:space="preserve">Question</w:t>
            </w:r>
          </w:p>
        </w:tc>
        <w:tc>
          <w:tcPr>
            <w:tcW w:type="dxa" w:w="5398"/>
            <w:tcBorders>
              <w:top w:val="single" w:color="12253A" w:sz="1"/>
              <w:left w:val="single" w:color="12253A" w:sz="1"/>
              <w:bottom w:val="single" w:color="12253A" w:sz="1"/>
              <w:right w:val="single" w:color="12253A" w:sz="1"/>
            </w:tcBorders>
            <w:shd w:fill="12253A" w:val="clear"/>
            <w:tcMar>
              <w:top w:type="dxa" w:w="80"/>
              <w:left w:type="dxa" w:w="100"/>
              <w:bottom w:type="dxa" w:w="80"/>
              <w:right w:type="dxa" w:w="100"/>
            </w:tcMar>
          </w:tcPr>
          <w:p>
            <w:pPr>
              <w:spacing w:after="0" w:before="0"/>
              <w:jc w:val="center"/>
            </w:pPr>
            <w:r>
              <w:rPr>
                <w:rFonts w:ascii="Arial" w:cs="Arial" w:eastAsia="Arial" w:hAnsi="Arial"/>
                <w:b/>
                <w:bCs/>
                <w:i w:val="false"/>
                <w:iCs w:val="false"/>
                <w:color w:val="FFFFFF"/>
                <w:sz w:val="17"/>
                <w:szCs w:val="17"/>
              </w:rPr>
              <w:t xml:space="preserve">Response / Evidence</w:t>
            </w:r>
          </w:p>
        </w:tc>
      </w:tr>
      <w:tr>
        <w:tc>
          <w:tcPr>
            <w:tcW w:type="dxa" w:w="1000"/>
            <w:tcBorders>
              <w:top w:val="single" w:color="CBD5E0" w:sz="1"/>
              <w:left w:val="single" w:color="C8860A" w:sz="6"/>
              <w:bottom w:val="single" w:color="CBD5E0" w:sz="1"/>
              <w:right w:val="single" w:color="CBD5E0" w:sz="1"/>
            </w:tcBorders>
            <w:shd w:fill="2E4D7B" w:val="clear"/>
            <w:tcMar>
              <w:top w:type="dxa" w:w="80"/>
              <w:left w:type="dxa" w:w="80"/>
              <w:bottom w:type="dxa" w:w="80"/>
              <w:right w:type="dxa" w:w="80"/>
            </w:tcMar>
            <w:vAlign w:val="top"/>
          </w:tcPr>
          <w:p>
            <w:pPr>
              <w:spacing w:after="0" w:before="0"/>
              <w:jc w:val="center"/>
            </w:pPr>
            <w:r>
              <w:rPr>
                <w:rFonts w:ascii="Arial" w:cs="Arial" w:eastAsia="Arial" w:hAnsi="Arial"/>
                <w:b/>
                <w:bCs/>
                <w:i w:val="false"/>
                <w:iCs w:val="false"/>
                <w:color w:val="FFFFFF"/>
                <w:sz w:val="17"/>
                <w:szCs w:val="17"/>
              </w:rPr>
              <w:t xml:space="preserve">F1.1</w:t>
            </w:r>
          </w:p>
        </w:tc>
        <w:tc>
          <w:tcPr>
            <w:tcW w:type="dxa" w:w="9000"/>
            <w:tcBorders>
              <w:top w:val="single" w:color="CBD5E0" w:sz="1"/>
              <w:left w:val="single" w:color="C8860A" w:sz="2"/>
              <w:bottom w:val="single" w:color="CBD5E0" w:sz="1"/>
              <w:right w:val="single" w:color="CBD5E0" w:sz="1"/>
            </w:tcBorders>
            <w:shd w:fill="FEF3E2" w:val="clear"/>
            <w:tcMar>
              <w:top w:type="dxa" w:w="80"/>
              <w:left w:type="dxa" w:w="140"/>
              <w:bottom w:type="dxa" w:w="80"/>
              <w:right w:type="dxa" w:w="100"/>
            </w:tcMar>
            <w:vAlign w:val="top"/>
          </w:tcPr>
          <w:p>
            <w:pPr>
              <w:spacing w:after="48" w:before="0"/>
            </w:pPr>
            <w:r>
              <w:rPr>
                <w:rFonts w:ascii="Arial" w:cs="Arial" w:eastAsia="Arial" w:hAnsi="Arial"/>
                <w:b/>
                <w:bCs/>
                <w:i w:val="false"/>
                <w:iCs w:val="false"/>
                <w:color w:val="1B2A4A"/>
                <w:sz w:val="18"/>
                <w:szCs w:val="18"/>
              </w:rPr>
              <w:t xml:space="preserve">State the branch and outlet structure.</w:t>
            </w:r>
          </w:p>
          <w:p>
            <w:pPr>
              <w:spacing w:after="24" w:before="24"/>
              <w:ind w:left="680" w:hanging="397"/>
            </w:pPr>
            <w:r>
              <w:rPr>
                <w:rFonts w:ascii="Arial" w:cs="Arial" w:eastAsia="Arial" w:hAnsi="Arial"/>
                <w:color w:val="C8A86B"/>
                <w:sz w:val="17"/>
                <w:szCs w:val="17"/>
              </w:rPr>
              <w:t xml:space="preserve">- </w:t>
            </w:r>
            <w:r>
              <w:rPr>
                <w:rFonts w:ascii="Arial" w:cs="Arial" w:eastAsia="Arial" w:hAnsi="Arial"/>
                <w:b w:val="false"/>
                <w:bCs w:val="false"/>
                <w:color w:val="1A1A1A"/>
                <w:sz w:val="17"/>
                <w:szCs w:val="17"/>
              </w:rPr>
              <w:t xml:space="preserve">Total number of operational branches or outlets.</w:t>
            </w:r>
          </w:p>
          <w:p>
            <w:pPr>
              <w:spacing w:after="24" w:before="24"/>
              <w:ind w:left="680" w:hanging="397"/>
            </w:pPr>
            <w:r>
              <w:rPr>
                <w:rFonts w:ascii="Arial" w:cs="Arial" w:eastAsia="Arial" w:hAnsi="Arial"/>
                <w:color w:val="C8A86B"/>
                <w:sz w:val="17"/>
                <w:szCs w:val="17"/>
              </w:rPr>
              <w:t xml:space="preserve">- </w:t>
            </w:r>
            <w:r>
              <w:rPr>
                <w:rFonts w:ascii="Arial" w:cs="Arial" w:eastAsia="Arial" w:hAnsi="Arial"/>
                <w:b w:val="false"/>
                <w:bCs w:val="false"/>
                <w:color w:val="1A1A1A"/>
                <w:sz w:val="17"/>
                <w:szCs w:val="17"/>
              </w:rPr>
              <w:t xml:space="preserve">Owned versus franchised breakdown (number and %).</w:t>
            </w:r>
          </w:p>
          <w:p>
            <w:pPr>
              <w:spacing w:after="24" w:before="24"/>
              <w:ind w:left="680" w:hanging="397"/>
            </w:pPr>
            <w:r>
              <w:rPr>
                <w:rFonts w:ascii="Arial" w:cs="Arial" w:eastAsia="Arial" w:hAnsi="Arial"/>
                <w:color w:val="C8A86B"/>
                <w:sz w:val="17"/>
                <w:szCs w:val="17"/>
              </w:rPr>
              <w:t xml:space="preserve">- </w:t>
            </w:r>
            <w:r>
              <w:rPr>
                <w:rFonts w:ascii="Arial" w:cs="Arial" w:eastAsia="Arial" w:hAnsi="Arial"/>
                <w:b w:val="false"/>
                <w:bCs w:val="false"/>
                <w:color w:val="1A1A1A"/>
                <w:sz w:val="17"/>
                <w:szCs w:val="17"/>
              </w:rPr>
              <w:t xml:space="preserve">Geographic distribution: city, region, country.</w:t>
            </w:r>
          </w:p>
          <w:p>
            <w:pPr>
              <w:spacing w:after="24" w:before="24"/>
              <w:ind w:left="680" w:hanging="397"/>
            </w:pPr>
            <w:r>
              <w:rPr>
                <w:rFonts w:ascii="Arial" w:cs="Arial" w:eastAsia="Arial" w:hAnsi="Arial"/>
                <w:color w:val="C8A86B"/>
                <w:sz w:val="17"/>
                <w:szCs w:val="17"/>
              </w:rPr>
              <w:t xml:space="preserve">- </w:t>
            </w:r>
            <w:r>
              <w:rPr>
                <w:rFonts w:ascii="Arial" w:cs="Arial" w:eastAsia="Arial" w:hAnsi="Arial"/>
                <w:b w:val="false"/>
                <w:bCs w:val="false"/>
                <w:color w:val="1A1A1A"/>
                <w:sz w:val="17"/>
                <w:szCs w:val="17"/>
              </w:rPr>
              <w:t xml:space="preserve">Whether any single branch accounts for more than 30% of total revenue.</w:t>
            </w:r>
          </w:p>
          <w:p>
            <w:pPr>
              <w:spacing w:after="0" w:before="60"/>
            </w:pPr>
            <w:r>
              <w:rPr>
                <w:rFonts w:ascii="Arial" w:cs="Arial" w:eastAsia="Arial" w:hAnsi="Arial"/>
                <w:b/>
                <w:bCs/>
                <w:i/>
                <w:iCs/>
                <w:color w:val="C8860A"/>
                <w:sz w:val="15"/>
                <w:szCs w:val="15"/>
              </w:rPr>
              <w:t xml:space="preserve">F&amp;B Module</w:t>
            </w:r>
          </w:p>
        </w:tc>
        <w:tc>
          <w:tcPr>
            <w:tcW w:type="dxa" w:w="5398"/>
            <w:tcBorders>
              <w:top w:val="single" w:color="CBD5E0" w:sz="1"/>
              <w:left w:val="single" w:color="CBD5E0" w:sz="1"/>
              <w:bottom w:val="single" w:color="CBD5E0" w:sz="1"/>
              <w:right w:val="single" w:color="CBD5E0" w:sz="1"/>
            </w:tcBorders>
            <w:shd w:fill="F7F7F7" w:val="clear"/>
            <w:tcMar>
              <w:top w:type="dxa" w:w="80"/>
              <w:left w:type="dxa" w:w="120"/>
              <w:bottom w:type="dxa" w:w="80"/>
              <w:right w:type="dxa" w:w="100"/>
            </w:tcMar>
            <w:vAlign w:val="top"/>
          </w:tcPr>
          <w:p>
            <w:pPr>
              <w:spacing w:after="0" w:before="0"/>
            </w:pPr>
            <w:r>
              <w:rPr>
                <w:rFonts w:ascii="Arial" w:cs="Arial" w:eastAsia="Arial" w:hAnsi="Arial"/>
                <w:b w:val="false"/>
                <w:bCs w:val="false"/>
                <w:i w:val="false"/>
                <w:iCs w:val="false"/>
                <w:color w:val="1A1A1A"/>
                <w:sz w:val="17"/>
                <w:szCs w:val="17"/>
              </w:rPr>
              <w:t xml:space="preserve"/>
            </w:r>
          </w:p>
          <w:p>
            <w:pPr>
              <w:spacing w:after="0" w:before="0"/>
            </w:pPr>
            <w:r>
              <w:rPr>
                <w:rFonts w:ascii="Arial" w:cs="Arial" w:eastAsia="Arial" w:hAnsi="Arial"/>
                <w:b w:val="false"/>
                <w:bCs w:val="false"/>
                <w:i w:val="false"/>
                <w:iCs w:val="false"/>
                <w:color w:val="1A1A1A"/>
                <w:sz w:val="17"/>
                <w:szCs w:val="17"/>
              </w:rPr>
              <w:t xml:space="preserve"/>
            </w:r>
          </w:p>
          <w:p>
            <w:pPr>
              <w:spacing w:after="0" w:before="0"/>
            </w:pPr>
            <w:r>
              <w:rPr>
                <w:rFonts w:ascii="Arial" w:cs="Arial" w:eastAsia="Arial" w:hAnsi="Arial"/>
                <w:b w:val="false"/>
                <w:bCs w:val="false"/>
                <w:i w:val="false"/>
                <w:iCs w:val="false"/>
                <w:color w:val="1A1A1A"/>
                <w:sz w:val="17"/>
                <w:szCs w:val="17"/>
              </w:rPr>
              <w:t xml:space="preserve"/>
            </w:r>
          </w:p>
        </w:tc>
      </w:tr>
      <w:tr>
        <w:tc>
          <w:tcPr>
            <w:tcW w:type="dxa" w:w="1000"/>
            <w:tcBorders>
              <w:top w:val="single" w:color="CBD5E0" w:sz="1"/>
              <w:left w:val="single" w:color="C8860A" w:sz="6"/>
              <w:bottom w:val="single" w:color="CBD5E0" w:sz="1"/>
              <w:right w:val="single" w:color="CBD5E0" w:sz="1"/>
            </w:tcBorders>
            <w:shd w:fill="2E4D7B" w:val="clear"/>
            <w:tcMar>
              <w:top w:type="dxa" w:w="80"/>
              <w:left w:type="dxa" w:w="80"/>
              <w:bottom w:type="dxa" w:w="80"/>
              <w:right w:type="dxa" w:w="80"/>
            </w:tcMar>
            <w:vAlign w:val="top"/>
          </w:tcPr>
          <w:p>
            <w:pPr>
              <w:spacing w:after="0" w:before="0"/>
              <w:jc w:val="center"/>
            </w:pPr>
            <w:r>
              <w:rPr>
                <w:rFonts w:ascii="Arial" w:cs="Arial" w:eastAsia="Arial" w:hAnsi="Arial"/>
                <w:b/>
                <w:bCs/>
                <w:i w:val="false"/>
                <w:iCs w:val="false"/>
                <w:color w:val="FFFFFF"/>
                <w:sz w:val="17"/>
                <w:szCs w:val="17"/>
              </w:rPr>
              <w:t xml:space="preserve">F1.2</w:t>
            </w:r>
          </w:p>
        </w:tc>
        <w:tc>
          <w:tcPr>
            <w:tcW w:type="dxa" w:w="9000"/>
            <w:tcBorders>
              <w:top w:val="single" w:color="CBD5E0" w:sz="1"/>
              <w:left w:val="single" w:color="C8860A" w:sz="2"/>
              <w:bottom w:val="single" w:color="CBD5E0" w:sz="1"/>
              <w:right w:val="single" w:color="CBD5E0" w:sz="1"/>
            </w:tcBorders>
            <w:shd w:fill="FEF3E2" w:val="clear"/>
            <w:tcMar>
              <w:top w:type="dxa" w:w="80"/>
              <w:left w:type="dxa" w:w="140"/>
              <w:bottom w:type="dxa" w:w="80"/>
              <w:right w:type="dxa" w:w="100"/>
            </w:tcMar>
            <w:vAlign w:val="top"/>
          </w:tcPr>
          <w:p>
            <w:pPr>
              <w:spacing w:after="48" w:before="0"/>
            </w:pPr>
            <w:r>
              <w:rPr>
                <w:rFonts w:ascii="Arial" w:cs="Arial" w:eastAsia="Arial" w:hAnsi="Arial"/>
                <w:b/>
                <w:bCs/>
                <w:i w:val="false"/>
                <w:iCs w:val="false"/>
                <w:color w:val="1B2A4A"/>
                <w:sz w:val="18"/>
                <w:szCs w:val="18"/>
              </w:rPr>
              <w:t xml:space="preserve">State central kitchen dependency.</w:t>
            </w:r>
          </w:p>
          <w:p>
            <w:pPr>
              <w:spacing w:after="24" w:before="24"/>
              <w:ind w:left="680" w:hanging="397"/>
            </w:pPr>
            <w:r>
              <w:rPr>
                <w:rFonts w:ascii="Arial" w:cs="Arial" w:eastAsia="Arial" w:hAnsi="Arial"/>
                <w:color w:val="C8A86B"/>
                <w:sz w:val="17"/>
                <w:szCs w:val="17"/>
              </w:rPr>
              <w:t xml:space="preserve">- </w:t>
            </w:r>
            <w:r>
              <w:rPr>
                <w:rFonts w:ascii="Arial" w:cs="Arial" w:eastAsia="Arial" w:hAnsi="Arial"/>
                <w:b w:val="false"/>
                <w:bCs w:val="false"/>
                <w:color w:val="1A1A1A"/>
                <w:sz w:val="17"/>
                <w:szCs w:val="17"/>
              </w:rPr>
              <w:t xml:space="preserve">Whether a central kitchen or commissary exists (Yes / No).</w:t>
            </w:r>
          </w:p>
          <w:p>
            <w:pPr>
              <w:spacing w:after="24" w:before="24"/>
              <w:ind w:left="680" w:hanging="397"/>
            </w:pPr>
            <w:r>
              <w:rPr>
                <w:rFonts w:ascii="Arial" w:cs="Arial" w:eastAsia="Arial" w:hAnsi="Arial"/>
                <w:color w:val="C8A86B"/>
                <w:sz w:val="17"/>
                <w:szCs w:val="17"/>
              </w:rPr>
              <w:t xml:space="preserve">- </w:t>
            </w:r>
            <w:r>
              <w:rPr>
                <w:rFonts w:ascii="Arial" w:cs="Arial" w:eastAsia="Arial" w:hAnsi="Arial"/>
                <w:b w:val="false"/>
                <w:bCs w:val="false"/>
                <w:color w:val="1A1A1A"/>
                <w:sz w:val="17"/>
                <w:szCs w:val="17"/>
              </w:rPr>
              <w:t xml:space="preserve">Percentage of menu items produced centrally versus branch-level.</w:t>
            </w:r>
          </w:p>
          <w:p>
            <w:pPr>
              <w:spacing w:after="24" w:before="24"/>
              <w:ind w:left="680" w:hanging="397"/>
            </w:pPr>
            <w:r>
              <w:rPr>
                <w:rFonts w:ascii="Arial" w:cs="Arial" w:eastAsia="Arial" w:hAnsi="Arial"/>
                <w:color w:val="C8A86B"/>
                <w:sz w:val="17"/>
                <w:szCs w:val="17"/>
              </w:rPr>
              <w:t xml:space="preserve">- </w:t>
            </w:r>
            <w:r>
              <w:rPr>
                <w:rFonts w:ascii="Arial" w:cs="Arial" w:eastAsia="Arial" w:hAnsi="Arial"/>
                <w:b w:val="false"/>
                <w:bCs w:val="false"/>
                <w:color w:val="1A1A1A"/>
                <w:sz w:val="17"/>
                <w:szCs w:val="17"/>
              </w:rPr>
              <w:t xml:space="preserve">Number of branches dependent on the central kitchen.</w:t>
            </w:r>
          </w:p>
          <w:p>
            <w:pPr>
              <w:spacing w:after="24" w:before="24"/>
              <w:ind w:left="680" w:hanging="397"/>
            </w:pPr>
            <w:r>
              <w:rPr>
                <w:rFonts w:ascii="Arial" w:cs="Arial" w:eastAsia="Arial" w:hAnsi="Arial"/>
                <w:color w:val="C8A86B"/>
                <w:sz w:val="17"/>
                <w:szCs w:val="17"/>
              </w:rPr>
              <w:t xml:space="preserve">- </w:t>
            </w:r>
            <w:r>
              <w:rPr>
                <w:rFonts w:ascii="Arial" w:cs="Arial" w:eastAsia="Arial" w:hAnsi="Arial"/>
                <w:b w:val="false"/>
                <w:bCs w:val="false"/>
                <w:color w:val="1A1A1A"/>
                <w:sz w:val="17"/>
                <w:szCs w:val="17"/>
              </w:rPr>
              <w:t xml:space="preserve">Maximum downtime the business can absorb if the central kitchen is unavailable.</w:t>
            </w:r>
          </w:p>
          <w:p>
            <w:pPr>
              <w:spacing w:after="24" w:before="24"/>
              <w:ind w:left="680" w:hanging="397"/>
            </w:pPr>
            <w:r>
              <w:rPr>
                <w:rFonts w:ascii="Arial" w:cs="Arial" w:eastAsia="Arial" w:hAnsi="Arial"/>
                <w:color w:val="C8A86B"/>
                <w:sz w:val="17"/>
                <w:szCs w:val="17"/>
              </w:rPr>
              <w:t xml:space="preserve">- </w:t>
            </w:r>
            <w:r>
              <w:rPr>
                <w:rFonts w:ascii="Arial" w:cs="Arial" w:eastAsia="Arial" w:hAnsi="Arial"/>
                <w:b w:val="false"/>
                <w:bCs w:val="false"/>
                <w:color w:val="1A1A1A"/>
                <w:sz w:val="17"/>
                <w:szCs w:val="17"/>
              </w:rPr>
              <w:t xml:space="preserve">Whether a backup production facility exists.</w:t>
            </w:r>
          </w:p>
          <w:p>
            <w:pPr>
              <w:spacing w:after="0" w:before="60"/>
            </w:pPr>
            <w:r>
              <w:rPr>
                <w:rFonts w:ascii="Arial" w:cs="Arial" w:eastAsia="Arial" w:hAnsi="Arial"/>
                <w:b/>
                <w:bCs/>
                <w:i/>
                <w:iCs/>
                <w:color w:val="C8860A"/>
                <w:sz w:val="15"/>
                <w:szCs w:val="15"/>
              </w:rPr>
              <w:t xml:space="preserve">F&amp;B Module</w:t>
            </w:r>
          </w:p>
        </w:tc>
        <w:tc>
          <w:tcPr>
            <w:tcW w:type="dxa" w:w="5398"/>
            <w:tcBorders>
              <w:top w:val="single" w:color="CBD5E0" w:sz="1"/>
              <w:left w:val="single" w:color="CBD5E0" w:sz="1"/>
              <w:bottom w:val="single" w:color="CBD5E0" w:sz="1"/>
              <w:right w:val="single" w:color="CBD5E0" w:sz="1"/>
            </w:tcBorders>
            <w:shd w:fill="F7F7F7" w:val="clear"/>
            <w:tcMar>
              <w:top w:type="dxa" w:w="80"/>
              <w:left w:type="dxa" w:w="120"/>
              <w:bottom w:type="dxa" w:w="80"/>
              <w:right w:type="dxa" w:w="100"/>
            </w:tcMar>
            <w:vAlign w:val="top"/>
          </w:tcPr>
          <w:p>
            <w:pPr>
              <w:spacing w:after="0" w:before="0"/>
            </w:pPr>
            <w:r>
              <w:rPr>
                <w:rFonts w:ascii="Arial" w:cs="Arial" w:eastAsia="Arial" w:hAnsi="Arial"/>
                <w:b w:val="false"/>
                <w:bCs w:val="false"/>
                <w:i w:val="false"/>
                <w:iCs w:val="false"/>
                <w:color w:val="1A1A1A"/>
                <w:sz w:val="17"/>
                <w:szCs w:val="17"/>
              </w:rPr>
              <w:t xml:space="preserve"/>
            </w:r>
          </w:p>
          <w:p>
            <w:pPr>
              <w:spacing w:after="0" w:before="0"/>
            </w:pPr>
            <w:r>
              <w:rPr>
                <w:rFonts w:ascii="Arial" w:cs="Arial" w:eastAsia="Arial" w:hAnsi="Arial"/>
                <w:b w:val="false"/>
                <w:bCs w:val="false"/>
                <w:i w:val="false"/>
                <w:iCs w:val="false"/>
                <w:color w:val="1A1A1A"/>
                <w:sz w:val="17"/>
                <w:szCs w:val="17"/>
              </w:rPr>
              <w:t xml:space="preserve"/>
            </w:r>
          </w:p>
          <w:p>
            <w:pPr>
              <w:spacing w:after="0" w:before="0"/>
            </w:pPr>
            <w:r>
              <w:rPr>
                <w:rFonts w:ascii="Arial" w:cs="Arial" w:eastAsia="Arial" w:hAnsi="Arial"/>
                <w:b w:val="false"/>
                <w:bCs w:val="false"/>
                <w:i w:val="false"/>
                <w:iCs w:val="false"/>
                <w:color w:val="1A1A1A"/>
                <w:sz w:val="17"/>
                <w:szCs w:val="17"/>
              </w:rPr>
              <w:t xml:space="preserve"/>
            </w:r>
          </w:p>
        </w:tc>
      </w:tr>
      <w:tr>
        <w:tc>
          <w:tcPr>
            <w:tcW w:type="dxa" w:w="1000"/>
            <w:tcBorders>
              <w:top w:val="single" w:color="CBD5E0" w:sz="1"/>
              <w:left w:val="single" w:color="C8860A" w:sz="6"/>
              <w:bottom w:val="single" w:color="CBD5E0" w:sz="1"/>
              <w:right w:val="single" w:color="CBD5E0" w:sz="1"/>
            </w:tcBorders>
            <w:shd w:fill="2E4D7B" w:val="clear"/>
            <w:tcMar>
              <w:top w:type="dxa" w:w="80"/>
              <w:left w:type="dxa" w:w="80"/>
              <w:bottom w:type="dxa" w:w="80"/>
              <w:right w:type="dxa" w:w="80"/>
            </w:tcMar>
            <w:vAlign w:val="top"/>
          </w:tcPr>
          <w:p>
            <w:pPr>
              <w:spacing w:after="0" w:before="0"/>
              <w:jc w:val="center"/>
            </w:pPr>
            <w:r>
              <w:rPr>
                <w:rFonts w:ascii="Arial" w:cs="Arial" w:eastAsia="Arial" w:hAnsi="Arial"/>
                <w:b/>
                <w:bCs/>
                <w:i w:val="false"/>
                <w:iCs w:val="false"/>
                <w:color w:val="FFFFFF"/>
                <w:sz w:val="17"/>
                <w:szCs w:val="17"/>
              </w:rPr>
              <w:t xml:space="preserve">F1.3</w:t>
            </w:r>
          </w:p>
        </w:tc>
        <w:tc>
          <w:tcPr>
            <w:tcW w:type="dxa" w:w="9000"/>
            <w:tcBorders>
              <w:top w:val="single" w:color="CBD5E0" w:sz="1"/>
              <w:left w:val="single" w:color="C8860A" w:sz="2"/>
              <w:bottom w:val="single" w:color="CBD5E0" w:sz="1"/>
              <w:right w:val="single" w:color="CBD5E0" w:sz="1"/>
            </w:tcBorders>
            <w:shd w:fill="FEF3E2" w:val="clear"/>
            <w:tcMar>
              <w:top w:type="dxa" w:w="80"/>
              <w:left w:type="dxa" w:w="140"/>
              <w:bottom w:type="dxa" w:w="80"/>
              <w:right w:type="dxa" w:w="100"/>
            </w:tcMar>
            <w:vAlign w:val="top"/>
          </w:tcPr>
          <w:p>
            <w:pPr>
              <w:spacing w:after="48" w:before="0"/>
            </w:pPr>
            <w:r>
              <w:rPr>
                <w:rFonts w:ascii="Arial" w:cs="Arial" w:eastAsia="Arial" w:hAnsi="Arial"/>
                <w:b/>
                <w:bCs/>
                <w:i w:val="false"/>
                <w:iCs w:val="false"/>
                <w:color w:val="1B2A4A"/>
                <w:sz w:val="18"/>
                <w:szCs w:val="18"/>
              </w:rPr>
              <w:t xml:space="preserve">State franchise governance and control.</w:t>
            </w:r>
          </w:p>
          <w:p>
            <w:pPr>
              <w:spacing w:after="24" w:before="24"/>
              <w:ind w:left="680" w:hanging="397"/>
            </w:pPr>
            <w:r>
              <w:rPr>
                <w:rFonts w:ascii="Arial" w:cs="Arial" w:eastAsia="Arial" w:hAnsi="Arial"/>
                <w:color w:val="C8A86B"/>
                <w:sz w:val="17"/>
                <w:szCs w:val="17"/>
              </w:rPr>
              <w:t xml:space="preserve">- </w:t>
            </w:r>
            <w:r>
              <w:rPr>
                <w:rFonts w:ascii="Arial" w:cs="Arial" w:eastAsia="Arial" w:hAnsi="Arial"/>
                <w:b w:val="false"/>
                <w:bCs w:val="false"/>
                <w:color w:val="1A1A1A"/>
                <w:sz w:val="17"/>
                <w:szCs w:val="17"/>
              </w:rPr>
              <w:t xml:space="preserve">Whether franchise agreements define operational standards, quality controls, and compliance obligations.</w:t>
            </w:r>
          </w:p>
          <w:p>
            <w:pPr>
              <w:spacing w:after="24" w:before="24"/>
              <w:ind w:left="680" w:hanging="397"/>
            </w:pPr>
            <w:r>
              <w:rPr>
                <w:rFonts w:ascii="Arial" w:cs="Arial" w:eastAsia="Arial" w:hAnsi="Arial"/>
                <w:color w:val="C8A86B"/>
                <w:sz w:val="17"/>
                <w:szCs w:val="17"/>
              </w:rPr>
              <w:t xml:space="preserve">- </w:t>
            </w:r>
            <w:r>
              <w:rPr>
                <w:rFonts w:ascii="Arial" w:cs="Arial" w:eastAsia="Arial" w:hAnsi="Arial"/>
                <w:b w:val="false"/>
                <w:bCs w:val="false"/>
                <w:color w:val="1A1A1A"/>
                <w:sz w:val="17"/>
                <w:szCs w:val="17"/>
              </w:rPr>
              <w:t xml:space="preserve">How standards compliance is monitored across franchised outlets.</w:t>
            </w:r>
          </w:p>
          <w:p>
            <w:pPr>
              <w:spacing w:after="24" w:before="24"/>
              <w:ind w:left="680" w:hanging="397"/>
            </w:pPr>
            <w:r>
              <w:rPr>
                <w:rFonts w:ascii="Arial" w:cs="Arial" w:eastAsia="Arial" w:hAnsi="Arial"/>
                <w:color w:val="C8A86B"/>
                <w:sz w:val="17"/>
                <w:szCs w:val="17"/>
              </w:rPr>
              <w:t xml:space="preserve">- </w:t>
            </w:r>
            <w:r>
              <w:rPr>
                <w:rFonts w:ascii="Arial" w:cs="Arial" w:eastAsia="Arial" w:hAnsi="Arial"/>
                <w:b w:val="false"/>
                <w:bCs w:val="false"/>
                <w:color w:val="1A1A1A"/>
                <w:sz w:val="17"/>
                <w:szCs w:val="17"/>
              </w:rPr>
              <w:t xml:space="preserve">Whether franchisees are subject to the same food safety and regulatory obligations as owned outlets.</w:t>
            </w:r>
          </w:p>
          <w:p>
            <w:pPr>
              <w:spacing w:after="24" w:before="24"/>
              <w:ind w:left="680" w:hanging="397"/>
            </w:pPr>
            <w:r>
              <w:rPr>
                <w:rFonts w:ascii="Arial" w:cs="Arial" w:eastAsia="Arial" w:hAnsi="Arial"/>
                <w:color w:val="C8A86B"/>
                <w:sz w:val="17"/>
                <w:szCs w:val="17"/>
              </w:rPr>
              <w:t xml:space="preserve">- </w:t>
            </w:r>
            <w:r>
              <w:rPr>
                <w:rFonts w:ascii="Arial" w:cs="Arial" w:eastAsia="Arial" w:hAnsi="Arial"/>
                <w:b w:val="false"/>
                <w:bCs w:val="false"/>
                <w:color w:val="1A1A1A"/>
                <w:sz w:val="17"/>
                <w:szCs w:val="17"/>
              </w:rPr>
              <w:t xml:space="preserve">Whether any franchise agreement is at renewal risk within the next 12 months.</w:t>
            </w:r>
          </w:p>
          <w:p>
            <w:pPr>
              <w:spacing w:after="0" w:before="60"/>
            </w:pPr>
            <w:r>
              <w:rPr>
                <w:rFonts w:ascii="Arial" w:cs="Arial" w:eastAsia="Arial" w:hAnsi="Arial"/>
                <w:b/>
                <w:bCs/>
                <w:i/>
                <w:iCs/>
                <w:color w:val="C8860A"/>
                <w:sz w:val="15"/>
                <w:szCs w:val="15"/>
              </w:rPr>
              <w:t xml:space="preserve">F&amp;B Module</w:t>
            </w:r>
          </w:p>
        </w:tc>
        <w:tc>
          <w:tcPr>
            <w:tcW w:type="dxa" w:w="5398"/>
            <w:tcBorders>
              <w:top w:val="single" w:color="CBD5E0" w:sz="1"/>
              <w:left w:val="single" w:color="CBD5E0" w:sz="1"/>
              <w:bottom w:val="single" w:color="CBD5E0" w:sz="1"/>
              <w:right w:val="single" w:color="CBD5E0" w:sz="1"/>
            </w:tcBorders>
            <w:shd w:fill="F7F7F7" w:val="clear"/>
            <w:tcMar>
              <w:top w:type="dxa" w:w="80"/>
              <w:left w:type="dxa" w:w="120"/>
              <w:bottom w:type="dxa" w:w="80"/>
              <w:right w:type="dxa" w:w="100"/>
            </w:tcMar>
            <w:vAlign w:val="top"/>
          </w:tcPr>
          <w:p>
            <w:pPr>
              <w:spacing w:after="0" w:before="0"/>
            </w:pPr>
            <w:r>
              <w:rPr>
                <w:rFonts w:ascii="Arial" w:cs="Arial" w:eastAsia="Arial" w:hAnsi="Arial"/>
                <w:b w:val="false"/>
                <w:bCs w:val="false"/>
                <w:i w:val="false"/>
                <w:iCs w:val="false"/>
                <w:color w:val="1A1A1A"/>
                <w:sz w:val="17"/>
                <w:szCs w:val="17"/>
              </w:rPr>
              <w:t xml:space="preserve"/>
            </w:r>
          </w:p>
          <w:p>
            <w:pPr>
              <w:spacing w:after="0" w:before="0"/>
            </w:pPr>
            <w:r>
              <w:rPr>
                <w:rFonts w:ascii="Arial" w:cs="Arial" w:eastAsia="Arial" w:hAnsi="Arial"/>
                <w:b w:val="false"/>
                <w:bCs w:val="false"/>
                <w:i w:val="false"/>
                <w:iCs w:val="false"/>
                <w:color w:val="1A1A1A"/>
                <w:sz w:val="17"/>
                <w:szCs w:val="17"/>
              </w:rPr>
              <w:t xml:space="preserve"/>
            </w:r>
          </w:p>
          <w:p>
            <w:pPr>
              <w:spacing w:after="0" w:before="0"/>
            </w:pPr>
            <w:r>
              <w:rPr>
                <w:rFonts w:ascii="Arial" w:cs="Arial" w:eastAsia="Arial" w:hAnsi="Arial"/>
                <w:b w:val="false"/>
                <w:bCs w:val="false"/>
                <w:i w:val="false"/>
                <w:iCs w:val="false"/>
                <w:color w:val="1A1A1A"/>
                <w:sz w:val="17"/>
                <w:szCs w:val="17"/>
              </w:rPr>
              <w:t xml:space="preserve"/>
            </w:r>
          </w:p>
        </w:tc>
      </w:tr>
      <w:tr>
        <w:tc>
          <w:tcPr>
            <w:tcW w:type="dxa" w:w="1000"/>
            <w:tcBorders>
              <w:top w:val="single" w:color="CBD5E0" w:sz="1"/>
              <w:left w:val="single" w:color="C8860A" w:sz="6"/>
              <w:bottom w:val="single" w:color="CBD5E0" w:sz="1"/>
              <w:right w:val="single" w:color="CBD5E0" w:sz="1"/>
            </w:tcBorders>
            <w:shd w:fill="2E4D7B" w:val="clear"/>
            <w:tcMar>
              <w:top w:type="dxa" w:w="80"/>
              <w:left w:type="dxa" w:w="80"/>
              <w:bottom w:type="dxa" w:w="80"/>
              <w:right w:type="dxa" w:w="80"/>
            </w:tcMar>
            <w:vAlign w:val="top"/>
          </w:tcPr>
          <w:p>
            <w:pPr>
              <w:spacing w:after="0" w:before="0"/>
              <w:jc w:val="center"/>
            </w:pPr>
            <w:r>
              <w:rPr>
                <w:rFonts w:ascii="Arial" w:cs="Arial" w:eastAsia="Arial" w:hAnsi="Arial"/>
                <w:b/>
                <w:bCs/>
                <w:i w:val="false"/>
                <w:iCs w:val="false"/>
                <w:color w:val="FFFFFF"/>
                <w:sz w:val="17"/>
                <w:szCs w:val="17"/>
              </w:rPr>
              <w:t xml:space="preserve">F1.4</w:t>
            </w:r>
          </w:p>
        </w:tc>
        <w:tc>
          <w:tcPr>
            <w:tcW w:type="dxa" w:w="9000"/>
            <w:tcBorders>
              <w:top w:val="single" w:color="CBD5E0" w:sz="1"/>
              <w:left w:val="single" w:color="C8860A" w:sz="2"/>
              <w:bottom w:val="single" w:color="CBD5E0" w:sz="1"/>
              <w:right w:val="single" w:color="CBD5E0" w:sz="1"/>
            </w:tcBorders>
            <w:shd w:fill="FEF3E2" w:val="clear"/>
            <w:tcMar>
              <w:top w:type="dxa" w:w="80"/>
              <w:left w:type="dxa" w:w="140"/>
              <w:bottom w:type="dxa" w:w="80"/>
              <w:right w:type="dxa" w:w="100"/>
            </w:tcMar>
            <w:vAlign w:val="top"/>
          </w:tcPr>
          <w:p>
            <w:pPr>
              <w:spacing w:after="48" w:before="0"/>
            </w:pPr>
            <w:r>
              <w:rPr>
                <w:rFonts w:ascii="Arial" w:cs="Arial" w:eastAsia="Arial" w:hAnsi="Arial"/>
                <w:b/>
                <w:bCs/>
                <w:i w:val="false"/>
                <w:iCs w:val="false"/>
                <w:color w:val="1B2A4A"/>
                <w:sz w:val="18"/>
                <w:szCs w:val="18"/>
              </w:rPr>
              <w:t xml:space="preserve">State utility and infrastructure dependency.</w:t>
            </w:r>
          </w:p>
          <w:p>
            <w:pPr>
              <w:spacing w:after="24" w:before="24"/>
              <w:ind w:left="680" w:hanging="397"/>
            </w:pPr>
            <w:r>
              <w:rPr>
                <w:rFonts w:ascii="Arial" w:cs="Arial" w:eastAsia="Arial" w:hAnsi="Arial"/>
                <w:color w:val="C8A86B"/>
                <w:sz w:val="17"/>
                <w:szCs w:val="17"/>
              </w:rPr>
              <w:t xml:space="preserve">- </w:t>
            </w:r>
            <w:r>
              <w:rPr>
                <w:rFonts w:ascii="Arial" w:cs="Arial" w:eastAsia="Arial" w:hAnsi="Arial"/>
                <w:b w:val="false"/>
                <w:bCs w:val="false"/>
                <w:color w:val="1A1A1A"/>
                <w:sz w:val="17"/>
                <w:szCs w:val="17"/>
              </w:rPr>
              <w:t xml:space="preserve">Dependency on continuous power supply for refrigeration, cooking, and POS operations.</w:t>
            </w:r>
          </w:p>
          <w:p>
            <w:pPr>
              <w:spacing w:after="24" w:before="24"/>
              <w:ind w:left="680" w:hanging="397"/>
            </w:pPr>
            <w:r>
              <w:rPr>
                <w:rFonts w:ascii="Arial" w:cs="Arial" w:eastAsia="Arial" w:hAnsi="Arial"/>
                <w:color w:val="C8A86B"/>
                <w:sz w:val="17"/>
                <w:szCs w:val="17"/>
              </w:rPr>
              <w:t xml:space="preserve">- </w:t>
            </w:r>
            <w:r>
              <w:rPr>
                <w:rFonts w:ascii="Arial" w:cs="Arial" w:eastAsia="Arial" w:hAnsi="Arial"/>
                <w:b w:val="false"/>
                <w:bCs w:val="false"/>
                <w:color w:val="1A1A1A"/>
                <w:sz w:val="17"/>
                <w:szCs w:val="17"/>
              </w:rPr>
              <w:t xml:space="preserve">Whether backup power (generator) exists at branch level or central kitchen.</w:t>
            </w:r>
          </w:p>
          <w:p>
            <w:pPr>
              <w:spacing w:after="24" w:before="24"/>
              <w:ind w:left="680" w:hanging="397"/>
            </w:pPr>
            <w:r>
              <w:rPr>
                <w:rFonts w:ascii="Arial" w:cs="Arial" w:eastAsia="Arial" w:hAnsi="Arial"/>
                <w:color w:val="C8A86B"/>
                <w:sz w:val="17"/>
                <w:szCs w:val="17"/>
              </w:rPr>
              <w:t xml:space="preserve">- </w:t>
            </w:r>
            <w:r>
              <w:rPr>
                <w:rFonts w:ascii="Arial" w:cs="Arial" w:eastAsia="Arial" w:hAnsi="Arial"/>
                <w:b w:val="false"/>
                <w:bCs w:val="false"/>
                <w:color w:val="1A1A1A"/>
                <w:sz w:val="17"/>
                <w:szCs w:val="17"/>
              </w:rPr>
              <w:t xml:space="preserve">Water supply dependency and risk of interruption.</w:t>
            </w:r>
          </w:p>
          <w:p>
            <w:pPr>
              <w:spacing w:after="24" w:before="24"/>
              <w:ind w:left="680" w:hanging="397"/>
            </w:pPr>
            <w:r>
              <w:rPr>
                <w:rFonts w:ascii="Arial" w:cs="Arial" w:eastAsia="Arial" w:hAnsi="Arial"/>
                <w:color w:val="C8A86B"/>
                <w:sz w:val="17"/>
                <w:szCs w:val="17"/>
              </w:rPr>
              <w:t xml:space="preserve">- </w:t>
            </w:r>
            <w:r>
              <w:rPr>
                <w:rFonts w:ascii="Arial" w:cs="Arial" w:eastAsia="Arial" w:hAnsi="Arial"/>
                <w:b w:val="false"/>
                <w:bCs w:val="false"/>
                <w:color w:val="1A1A1A"/>
                <w:sz w:val="17"/>
                <w:szCs w:val="17"/>
              </w:rPr>
              <w:t xml:space="preserve">Operational impact if power or water is unavailable for 4 hours, 24 hours, 72 hours.</w:t>
            </w:r>
          </w:p>
          <w:p>
            <w:pPr>
              <w:spacing w:after="0" w:before="60"/>
            </w:pPr>
            <w:r>
              <w:rPr>
                <w:rFonts w:ascii="Arial" w:cs="Arial" w:eastAsia="Arial" w:hAnsi="Arial"/>
                <w:b/>
                <w:bCs/>
                <w:i/>
                <w:iCs/>
                <w:color w:val="C8860A"/>
                <w:sz w:val="15"/>
                <w:szCs w:val="15"/>
              </w:rPr>
              <w:t xml:space="preserve">F&amp;B Module</w:t>
            </w:r>
          </w:p>
        </w:tc>
        <w:tc>
          <w:tcPr>
            <w:tcW w:type="dxa" w:w="5398"/>
            <w:tcBorders>
              <w:top w:val="single" w:color="CBD5E0" w:sz="1"/>
              <w:left w:val="single" w:color="CBD5E0" w:sz="1"/>
              <w:bottom w:val="single" w:color="CBD5E0" w:sz="1"/>
              <w:right w:val="single" w:color="CBD5E0" w:sz="1"/>
            </w:tcBorders>
            <w:shd w:fill="F7F7F7" w:val="clear"/>
            <w:tcMar>
              <w:top w:type="dxa" w:w="80"/>
              <w:left w:type="dxa" w:w="120"/>
              <w:bottom w:type="dxa" w:w="80"/>
              <w:right w:type="dxa" w:w="100"/>
            </w:tcMar>
            <w:vAlign w:val="top"/>
          </w:tcPr>
          <w:p>
            <w:pPr>
              <w:spacing w:after="0" w:before="0"/>
            </w:pPr>
            <w:r>
              <w:rPr>
                <w:rFonts w:ascii="Arial" w:cs="Arial" w:eastAsia="Arial" w:hAnsi="Arial"/>
                <w:b w:val="false"/>
                <w:bCs w:val="false"/>
                <w:i w:val="false"/>
                <w:iCs w:val="false"/>
                <w:color w:val="1A1A1A"/>
                <w:sz w:val="17"/>
                <w:szCs w:val="17"/>
              </w:rPr>
              <w:t xml:space="preserve"/>
            </w:r>
          </w:p>
          <w:p>
            <w:pPr>
              <w:spacing w:after="0" w:before="0"/>
            </w:pPr>
            <w:r>
              <w:rPr>
                <w:rFonts w:ascii="Arial" w:cs="Arial" w:eastAsia="Arial" w:hAnsi="Arial"/>
                <w:b w:val="false"/>
                <w:bCs w:val="false"/>
                <w:i w:val="false"/>
                <w:iCs w:val="false"/>
                <w:color w:val="1A1A1A"/>
                <w:sz w:val="17"/>
                <w:szCs w:val="17"/>
              </w:rPr>
              <w:t xml:space="preserve"/>
            </w:r>
          </w:p>
          <w:p>
            <w:pPr>
              <w:spacing w:after="0" w:before="0"/>
            </w:pPr>
            <w:r>
              <w:rPr>
                <w:rFonts w:ascii="Arial" w:cs="Arial" w:eastAsia="Arial" w:hAnsi="Arial"/>
                <w:b w:val="false"/>
                <w:bCs w:val="false"/>
                <w:i w:val="false"/>
                <w:iCs w:val="false"/>
                <w:color w:val="1A1A1A"/>
                <w:sz w:val="17"/>
                <w:szCs w:val="17"/>
              </w:rPr>
              <w:t xml:space="preserve"/>
            </w:r>
          </w:p>
        </w:tc>
      </w:tr>
    </w:tbl>
    <w:p>
      <w:pPr>
        <w:spacing w:after="0" w:before="200"/>
      </w:pPr>
      <w:r>
        <w:t xml:space="preserve"/>
      </w:r>
    </w:p>
    <w:p>
      <w:pPr>
        <w:pBdr>
          <w:bottom w:val="single" w:color="C8A86B" w:sz="8" w:space="3"/>
        </w:pBdr>
        <w:spacing w:after="0" w:before="260"/>
      </w:pPr>
      <w:r>
        <w:rPr>
          <w:rFonts w:ascii="Arial" w:cs="Arial" w:eastAsia="Arial" w:hAnsi="Arial"/>
          <w:b/>
          <w:bCs/>
          <w:color w:val="C8A86B"/>
          <w:sz w:val="21"/>
          <w:szCs w:val="21"/>
        </w:rPr>
        <w:t xml:space="preserve">F2.  </w:t>
      </w:r>
      <w:r>
        <w:rPr>
          <w:rFonts w:ascii="Arial" w:cs="Arial" w:eastAsia="Arial" w:hAnsi="Arial"/>
          <w:b/>
          <w:bCs/>
          <w:color w:val="C8860A"/>
          <w:sz w:val="21"/>
          <w:szCs w:val="21"/>
        </w:rPr>
        <w:t xml:space="preserve">SUPPLY CHAIN &amp; INGREDIENT CONCENTRATION</w:t>
      </w:r>
    </w:p>
    <w:p>
      <w:pPr>
        <w:spacing w:after="100" w:before="60"/>
      </w:pPr>
      <w:r>
        <w:rPr>
          <w:rFonts w:ascii="Arial" w:cs="Arial" w:eastAsia="Arial" w:hAnsi="Arial"/>
          <w:b w:val="false"/>
          <w:bCs w:val="false"/>
          <w:i/>
          <w:iCs/>
          <w:color w:val="666666"/>
          <w:sz w:val="16"/>
          <w:szCs w:val="16"/>
        </w:rPr>
        <w:t xml:space="preserve">Feeds: Operational Risk, Financial Risk, Third-Party &amp; Dependency Risk.</w:t>
      </w:r>
    </w:p>
    <w:p>
      <w:pPr>
        <w:spacing w:after="0" w:before="80"/>
      </w:pPr>
      <w:r>
        <w:t xml:space="preserve"/>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9000"/>
        <w:gridCol w:w="5398"/>
      </w:tblGrid>
      <w:tr>
        <w:trPr>
          <w:tblHeader/>
        </w:trPr>
        <w:tc>
          <w:tcPr>
            <w:tcW w:type="dxa" w:w="1000"/>
            <w:tcBorders>
              <w:top w:val="single" w:color="12253A" w:sz="1"/>
              <w:left w:val="single" w:color="12253A" w:sz="1"/>
              <w:bottom w:val="single" w:color="12253A" w:sz="1"/>
              <w:right w:val="single" w:color="12253A" w:sz="1"/>
            </w:tcBorders>
            <w:shd w:fill="12253A" w:val="clear"/>
            <w:tcMar>
              <w:top w:type="dxa" w:w="80"/>
              <w:left w:type="dxa" w:w="100"/>
              <w:bottom w:type="dxa" w:w="80"/>
              <w:right w:type="dxa" w:w="100"/>
            </w:tcMar>
          </w:tcPr>
          <w:p>
            <w:pPr>
              <w:spacing w:after="0" w:before="0"/>
              <w:jc w:val="center"/>
            </w:pPr>
            <w:r>
              <w:rPr>
                <w:rFonts w:ascii="Arial" w:cs="Arial" w:eastAsia="Arial" w:hAnsi="Arial"/>
                <w:b/>
                <w:bCs/>
                <w:i w:val="false"/>
                <w:iCs w:val="false"/>
                <w:color w:val="FFFFFF"/>
                <w:sz w:val="17"/>
                <w:szCs w:val="17"/>
              </w:rPr>
              <w:t xml:space="preserve">Ref</w:t>
            </w:r>
          </w:p>
        </w:tc>
        <w:tc>
          <w:tcPr>
            <w:tcW w:type="dxa" w:w="9000"/>
            <w:tcBorders>
              <w:top w:val="single" w:color="12253A" w:sz="1"/>
              <w:left w:val="single" w:color="12253A" w:sz="1"/>
              <w:bottom w:val="single" w:color="12253A" w:sz="1"/>
              <w:right w:val="single" w:color="12253A" w:sz="1"/>
            </w:tcBorders>
            <w:shd w:fill="12253A" w:val="clear"/>
            <w:tcMar>
              <w:top w:type="dxa" w:w="80"/>
              <w:left w:type="dxa" w:w="100"/>
              <w:bottom w:type="dxa" w:w="80"/>
              <w:right w:type="dxa" w:w="100"/>
            </w:tcMar>
          </w:tcPr>
          <w:p>
            <w:pPr>
              <w:spacing w:after="0" w:before="0"/>
              <w:jc w:val="center"/>
            </w:pPr>
            <w:r>
              <w:rPr>
                <w:rFonts w:ascii="Arial" w:cs="Arial" w:eastAsia="Arial" w:hAnsi="Arial"/>
                <w:b/>
                <w:bCs/>
                <w:i w:val="false"/>
                <w:iCs w:val="false"/>
                <w:color w:val="FFFFFF"/>
                <w:sz w:val="17"/>
                <w:szCs w:val="17"/>
              </w:rPr>
              <w:t xml:space="preserve">Question</w:t>
            </w:r>
          </w:p>
        </w:tc>
        <w:tc>
          <w:tcPr>
            <w:tcW w:type="dxa" w:w="5398"/>
            <w:tcBorders>
              <w:top w:val="single" w:color="12253A" w:sz="1"/>
              <w:left w:val="single" w:color="12253A" w:sz="1"/>
              <w:bottom w:val="single" w:color="12253A" w:sz="1"/>
              <w:right w:val="single" w:color="12253A" w:sz="1"/>
            </w:tcBorders>
            <w:shd w:fill="12253A" w:val="clear"/>
            <w:tcMar>
              <w:top w:type="dxa" w:w="80"/>
              <w:left w:type="dxa" w:w="100"/>
              <w:bottom w:type="dxa" w:w="80"/>
              <w:right w:type="dxa" w:w="100"/>
            </w:tcMar>
          </w:tcPr>
          <w:p>
            <w:pPr>
              <w:spacing w:after="0" w:before="0"/>
              <w:jc w:val="center"/>
            </w:pPr>
            <w:r>
              <w:rPr>
                <w:rFonts w:ascii="Arial" w:cs="Arial" w:eastAsia="Arial" w:hAnsi="Arial"/>
                <w:b/>
                <w:bCs/>
                <w:i w:val="false"/>
                <w:iCs w:val="false"/>
                <w:color w:val="FFFFFF"/>
                <w:sz w:val="17"/>
                <w:szCs w:val="17"/>
              </w:rPr>
              <w:t xml:space="preserve">Response / Evidence</w:t>
            </w:r>
          </w:p>
        </w:tc>
      </w:tr>
      <w:tr>
        <w:tc>
          <w:tcPr>
            <w:tcW w:type="dxa" w:w="1000"/>
            <w:tcBorders>
              <w:top w:val="single" w:color="CBD5E0" w:sz="1"/>
              <w:left w:val="single" w:color="C8860A" w:sz="6"/>
              <w:bottom w:val="single" w:color="CBD5E0" w:sz="1"/>
              <w:right w:val="single" w:color="CBD5E0" w:sz="1"/>
            </w:tcBorders>
            <w:shd w:fill="2E4D7B" w:val="clear"/>
            <w:tcMar>
              <w:top w:type="dxa" w:w="80"/>
              <w:left w:type="dxa" w:w="80"/>
              <w:bottom w:type="dxa" w:w="80"/>
              <w:right w:type="dxa" w:w="80"/>
            </w:tcMar>
            <w:vAlign w:val="top"/>
          </w:tcPr>
          <w:p>
            <w:pPr>
              <w:spacing w:after="0" w:before="0"/>
              <w:jc w:val="center"/>
            </w:pPr>
            <w:r>
              <w:rPr>
                <w:rFonts w:ascii="Arial" w:cs="Arial" w:eastAsia="Arial" w:hAnsi="Arial"/>
                <w:b/>
                <w:bCs/>
                <w:i w:val="false"/>
                <w:iCs w:val="false"/>
                <w:color w:val="FFFFFF"/>
                <w:sz w:val="17"/>
                <w:szCs w:val="17"/>
              </w:rPr>
              <w:t xml:space="preserve">F2.1</w:t>
            </w:r>
          </w:p>
        </w:tc>
        <w:tc>
          <w:tcPr>
            <w:tcW w:type="dxa" w:w="9000"/>
            <w:tcBorders>
              <w:top w:val="single" w:color="CBD5E0" w:sz="1"/>
              <w:left w:val="single" w:color="C8860A" w:sz="2"/>
              <w:bottom w:val="single" w:color="CBD5E0" w:sz="1"/>
              <w:right w:val="single" w:color="CBD5E0" w:sz="1"/>
            </w:tcBorders>
            <w:shd w:fill="FEF3E2" w:val="clear"/>
            <w:tcMar>
              <w:top w:type="dxa" w:w="80"/>
              <w:left w:type="dxa" w:w="140"/>
              <w:bottom w:type="dxa" w:w="80"/>
              <w:right w:type="dxa" w:w="100"/>
            </w:tcMar>
            <w:vAlign w:val="top"/>
          </w:tcPr>
          <w:p>
            <w:pPr>
              <w:spacing w:after="48" w:before="0"/>
            </w:pPr>
            <w:r>
              <w:rPr>
                <w:rFonts w:ascii="Arial" w:cs="Arial" w:eastAsia="Arial" w:hAnsi="Arial"/>
                <w:b/>
                <w:bCs/>
                <w:i w:val="false"/>
                <w:iCs w:val="false"/>
                <w:color w:val="1B2A4A"/>
                <w:sz w:val="18"/>
                <w:szCs w:val="18"/>
              </w:rPr>
              <w:t xml:space="preserve">State ingredient and raw material supplier concentration.</w:t>
            </w:r>
          </w:p>
          <w:p>
            <w:pPr>
              <w:spacing w:after="24" w:before="24"/>
              <w:ind w:left="680" w:hanging="397"/>
            </w:pPr>
            <w:r>
              <w:rPr>
                <w:rFonts w:ascii="Arial" w:cs="Arial" w:eastAsia="Arial" w:hAnsi="Arial"/>
                <w:color w:val="C8A86B"/>
                <w:sz w:val="17"/>
                <w:szCs w:val="17"/>
              </w:rPr>
              <w:t xml:space="preserve">- </w:t>
            </w:r>
            <w:r>
              <w:rPr>
                <w:rFonts w:ascii="Arial" w:cs="Arial" w:eastAsia="Arial" w:hAnsi="Arial"/>
                <w:b w:val="false"/>
                <w:bCs w:val="false"/>
                <w:color w:val="1A1A1A"/>
                <w:sz w:val="17"/>
                <w:szCs w:val="17"/>
              </w:rPr>
              <w:t xml:space="preserve">Top 5 ingredient suppliers by annual spend (% of total procurement).</w:t>
            </w:r>
          </w:p>
          <w:p>
            <w:pPr>
              <w:spacing w:after="24" w:before="24"/>
              <w:ind w:left="680" w:hanging="397"/>
            </w:pPr>
            <w:r>
              <w:rPr>
                <w:rFonts w:ascii="Arial" w:cs="Arial" w:eastAsia="Arial" w:hAnsi="Arial"/>
                <w:color w:val="C8A86B"/>
                <w:sz w:val="17"/>
                <w:szCs w:val="17"/>
              </w:rPr>
              <w:t xml:space="preserve">- </w:t>
            </w:r>
            <w:r>
              <w:rPr>
                <w:rFonts w:ascii="Arial" w:cs="Arial" w:eastAsia="Arial" w:hAnsi="Arial"/>
                <w:b w:val="false"/>
                <w:bCs w:val="false"/>
                <w:color w:val="1A1A1A"/>
                <w:sz w:val="17"/>
                <w:szCs w:val="17"/>
              </w:rPr>
              <w:t xml:space="preserve">Whether any single supplier accounts for more than 40% of a critical ingredient category.</w:t>
            </w:r>
          </w:p>
          <w:p>
            <w:pPr>
              <w:spacing w:after="24" w:before="24"/>
              <w:ind w:left="680" w:hanging="397"/>
            </w:pPr>
            <w:r>
              <w:rPr>
                <w:rFonts w:ascii="Arial" w:cs="Arial" w:eastAsia="Arial" w:hAnsi="Arial"/>
                <w:color w:val="C8A86B"/>
                <w:sz w:val="17"/>
                <w:szCs w:val="17"/>
              </w:rPr>
              <w:t xml:space="preserve">- </w:t>
            </w:r>
            <w:r>
              <w:rPr>
                <w:rFonts w:ascii="Arial" w:cs="Arial" w:eastAsia="Arial" w:hAnsi="Arial"/>
                <w:b w:val="false"/>
                <w:bCs w:val="false"/>
                <w:color w:val="1A1A1A"/>
                <w:sz w:val="17"/>
                <w:szCs w:val="17"/>
              </w:rPr>
              <w:t xml:space="preserve">Contractual protection: long-term agreements, SLAs, penalty clauses.</w:t>
            </w:r>
          </w:p>
          <w:p>
            <w:pPr>
              <w:spacing w:after="24" w:before="24"/>
              <w:ind w:left="680" w:hanging="397"/>
            </w:pPr>
            <w:r>
              <w:rPr>
                <w:rFonts w:ascii="Arial" w:cs="Arial" w:eastAsia="Arial" w:hAnsi="Arial"/>
                <w:color w:val="C8A86B"/>
                <w:sz w:val="17"/>
                <w:szCs w:val="17"/>
              </w:rPr>
              <w:t xml:space="preserve">- </w:t>
            </w:r>
            <w:r>
              <w:rPr>
                <w:rFonts w:ascii="Arial" w:cs="Arial" w:eastAsia="Arial" w:hAnsi="Arial"/>
                <w:b w:val="false"/>
                <w:bCs w:val="false"/>
                <w:color w:val="1A1A1A"/>
                <w:sz w:val="17"/>
                <w:szCs w:val="17"/>
              </w:rPr>
              <w:t xml:space="preserve">Whether alternative suppliers exist and time required to switch.</w:t>
            </w:r>
          </w:p>
          <w:p>
            <w:pPr>
              <w:spacing w:after="0" w:before="60"/>
            </w:pPr>
            <w:r>
              <w:rPr>
                <w:rFonts w:ascii="Arial" w:cs="Arial" w:eastAsia="Arial" w:hAnsi="Arial"/>
                <w:b/>
                <w:bCs/>
                <w:i/>
                <w:iCs/>
                <w:color w:val="C8860A"/>
                <w:sz w:val="15"/>
                <w:szCs w:val="15"/>
              </w:rPr>
              <w:t xml:space="preserve">F&amp;B Module</w:t>
            </w:r>
          </w:p>
        </w:tc>
        <w:tc>
          <w:tcPr>
            <w:tcW w:type="dxa" w:w="5398"/>
            <w:tcBorders>
              <w:top w:val="single" w:color="CBD5E0" w:sz="1"/>
              <w:left w:val="single" w:color="CBD5E0" w:sz="1"/>
              <w:bottom w:val="single" w:color="CBD5E0" w:sz="1"/>
              <w:right w:val="single" w:color="CBD5E0" w:sz="1"/>
            </w:tcBorders>
            <w:shd w:fill="F7F7F7" w:val="clear"/>
            <w:tcMar>
              <w:top w:type="dxa" w:w="80"/>
              <w:left w:type="dxa" w:w="120"/>
              <w:bottom w:type="dxa" w:w="80"/>
              <w:right w:type="dxa" w:w="100"/>
            </w:tcMar>
            <w:vAlign w:val="top"/>
          </w:tcPr>
          <w:p>
            <w:pPr>
              <w:spacing w:after="0" w:before="0"/>
            </w:pPr>
            <w:r>
              <w:rPr>
                <w:rFonts w:ascii="Arial" w:cs="Arial" w:eastAsia="Arial" w:hAnsi="Arial"/>
                <w:b w:val="false"/>
                <w:bCs w:val="false"/>
                <w:i w:val="false"/>
                <w:iCs w:val="false"/>
                <w:color w:val="1A1A1A"/>
                <w:sz w:val="17"/>
                <w:szCs w:val="17"/>
              </w:rPr>
              <w:t xml:space="preserve"/>
            </w:r>
          </w:p>
          <w:p>
            <w:pPr>
              <w:spacing w:after="0" w:before="0"/>
            </w:pPr>
            <w:r>
              <w:rPr>
                <w:rFonts w:ascii="Arial" w:cs="Arial" w:eastAsia="Arial" w:hAnsi="Arial"/>
                <w:b w:val="false"/>
                <w:bCs w:val="false"/>
                <w:i w:val="false"/>
                <w:iCs w:val="false"/>
                <w:color w:val="1A1A1A"/>
                <w:sz w:val="17"/>
                <w:szCs w:val="17"/>
              </w:rPr>
              <w:t xml:space="preserve"/>
            </w:r>
          </w:p>
          <w:p>
            <w:pPr>
              <w:spacing w:after="0" w:before="0"/>
            </w:pPr>
            <w:r>
              <w:rPr>
                <w:rFonts w:ascii="Arial" w:cs="Arial" w:eastAsia="Arial" w:hAnsi="Arial"/>
                <w:b w:val="false"/>
                <w:bCs w:val="false"/>
                <w:i w:val="false"/>
                <w:iCs w:val="false"/>
                <w:color w:val="1A1A1A"/>
                <w:sz w:val="17"/>
                <w:szCs w:val="17"/>
              </w:rPr>
              <w:t xml:space="preserve"/>
            </w:r>
          </w:p>
        </w:tc>
      </w:tr>
      <w:tr>
        <w:tc>
          <w:tcPr>
            <w:tcW w:type="dxa" w:w="1000"/>
            <w:tcBorders>
              <w:top w:val="single" w:color="CBD5E0" w:sz="1"/>
              <w:left w:val="single" w:color="C8860A" w:sz="6"/>
              <w:bottom w:val="single" w:color="CBD5E0" w:sz="1"/>
              <w:right w:val="single" w:color="CBD5E0" w:sz="1"/>
            </w:tcBorders>
            <w:shd w:fill="2E4D7B" w:val="clear"/>
            <w:tcMar>
              <w:top w:type="dxa" w:w="80"/>
              <w:left w:type="dxa" w:w="80"/>
              <w:bottom w:type="dxa" w:w="80"/>
              <w:right w:type="dxa" w:w="80"/>
            </w:tcMar>
            <w:vAlign w:val="top"/>
          </w:tcPr>
          <w:p>
            <w:pPr>
              <w:spacing w:after="0" w:before="0"/>
              <w:jc w:val="center"/>
            </w:pPr>
            <w:r>
              <w:rPr>
                <w:rFonts w:ascii="Arial" w:cs="Arial" w:eastAsia="Arial" w:hAnsi="Arial"/>
                <w:b/>
                <w:bCs/>
                <w:i w:val="false"/>
                <w:iCs w:val="false"/>
                <w:color w:val="FFFFFF"/>
                <w:sz w:val="17"/>
                <w:szCs w:val="17"/>
              </w:rPr>
              <w:t xml:space="preserve">F2.2</w:t>
            </w:r>
          </w:p>
        </w:tc>
        <w:tc>
          <w:tcPr>
            <w:tcW w:type="dxa" w:w="9000"/>
            <w:tcBorders>
              <w:top w:val="single" w:color="CBD5E0" w:sz="1"/>
              <w:left w:val="single" w:color="C8860A" w:sz="2"/>
              <w:bottom w:val="single" w:color="CBD5E0" w:sz="1"/>
              <w:right w:val="single" w:color="CBD5E0" w:sz="1"/>
            </w:tcBorders>
            <w:shd w:fill="FEF3E2" w:val="clear"/>
            <w:tcMar>
              <w:top w:type="dxa" w:w="80"/>
              <w:left w:type="dxa" w:w="140"/>
              <w:bottom w:type="dxa" w:w="80"/>
              <w:right w:type="dxa" w:w="100"/>
            </w:tcMar>
            <w:vAlign w:val="top"/>
          </w:tcPr>
          <w:p>
            <w:pPr>
              <w:spacing w:after="48" w:before="0"/>
            </w:pPr>
            <w:r>
              <w:rPr>
                <w:rFonts w:ascii="Arial" w:cs="Arial" w:eastAsia="Arial" w:hAnsi="Arial"/>
                <w:b/>
                <w:bCs/>
                <w:i w:val="false"/>
                <w:iCs w:val="false"/>
                <w:color w:val="1B2A4A"/>
                <w:sz w:val="18"/>
                <w:szCs w:val="18"/>
              </w:rPr>
              <w:t xml:space="preserve">State cold chain and logistics dependency.</w:t>
            </w:r>
          </w:p>
          <w:p>
            <w:pPr>
              <w:spacing w:after="24" w:before="24"/>
              <w:ind w:left="680" w:hanging="397"/>
            </w:pPr>
            <w:r>
              <w:rPr>
                <w:rFonts w:ascii="Arial" w:cs="Arial" w:eastAsia="Arial" w:hAnsi="Arial"/>
                <w:color w:val="C8A86B"/>
                <w:sz w:val="17"/>
                <w:szCs w:val="17"/>
              </w:rPr>
              <w:t xml:space="preserve">- </w:t>
            </w:r>
            <w:r>
              <w:rPr>
                <w:rFonts w:ascii="Arial" w:cs="Arial" w:eastAsia="Arial" w:hAnsi="Arial"/>
                <w:b w:val="false"/>
                <w:bCs w:val="false"/>
                <w:color w:val="1A1A1A"/>
                <w:sz w:val="17"/>
                <w:szCs w:val="17"/>
              </w:rPr>
              <w:t xml:space="preserve">Logistics providers responsible for temperature-controlled delivery.</w:t>
            </w:r>
          </w:p>
          <w:p>
            <w:pPr>
              <w:spacing w:after="24" w:before="24"/>
              <w:ind w:left="680" w:hanging="397"/>
            </w:pPr>
            <w:r>
              <w:rPr>
                <w:rFonts w:ascii="Arial" w:cs="Arial" w:eastAsia="Arial" w:hAnsi="Arial"/>
                <w:color w:val="C8A86B"/>
                <w:sz w:val="17"/>
                <w:szCs w:val="17"/>
              </w:rPr>
              <w:t xml:space="preserve">- </w:t>
            </w:r>
            <w:r>
              <w:rPr>
                <w:rFonts w:ascii="Arial" w:cs="Arial" w:eastAsia="Arial" w:hAnsi="Arial"/>
                <w:b w:val="false"/>
                <w:bCs w:val="false"/>
                <w:color w:val="1A1A1A"/>
                <w:sz w:val="17"/>
                <w:szCs w:val="17"/>
              </w:rPr>
              <w:t xml:space="preserve">Whether cold chain is owned, contracted, or third-party.</w:t>
            </w:r>
          </w:p>
          <w:p>
            <w:pPr>
              <w:spacing w:after="24" w:before="24"/>
              <w:ind w:left="680" w:hanging="397"/>
            </w:pPr>
            <w:r>
              <w:rPr>
                <w:rFonts w:ascii="Arial" w:cs="Arial" w:eastAsia="Arial" w:hAnsi="Arial"/>
                <w:color w:val="C8A86B"/>
                <w:sz w:val="17"/>
                <w:szCs w:val="17"/>
              </w:rPr>
              <w:t xml:space="preserve">- </w:t>
            </w:r>
            <w:r>
              <w:rPr>
                <w:rFonts w:ascii="Arial" w:cs="Arial" w:eastAsia="Arial" w:hAnsi="Arial"/>
                <w:b w:val="false"/>
                <w:bCs w:val="false"/>
                <w:color w:val="1A1A1A"/>
                <w:sz w:val="17"/>
                <w:szCs w:val="17"/>
              </w:rPr>
              <w:t xml:space="preserve">Maximum acceptable delivery delay before product integrity is compromised.</w:t>
            </w:r>
          </w:p>
          <w:p>
            <w:pPr>
              <w:spacing w:after="24" w:before="24"/>
              <w:ind w:left="680" w:hanging="397"/>
            </w:pPr>
            <w:r>
              <w:rPr>
                <w:rFonts w:ascii="Arial" w:cs="Arial" w:eastAsia="Arial" w:hAnsi="Arial"/>
                <w:color w:val="C8A86B"/>
                <w:sz w:val="17"/>
                <w:szCs w:val="17"/>
              </w:rPr>
              <w:t xml:space="preserve">- </w:t>
            </w:r>
            <w:r>
              <w:rPr>
                <w:rFonts w:ascii="Arial" w:cs="Arial" w:eastAsia="Arial" w:hAnsi="Arial"/>
                <w:b w:val="false"/>
                <w:bCs w:val="false"/>
                <w:color w:val="1A1A1A"/>
                <w:sz w:val="17"/>
                <w:szCs w:val="17"/>
              </w:rPr>
              <w:t xml:space="preserve">Incident history: cold chain failures in the last three years.</w:t>
            </w:r>
          </w:p>
          <w:p>
            <w:pPr>
              <w:spacing w:after="0" w:before="60"/>
            </w:pPr>
            <w:r>
              <w:rPr>
                <w:rFonts w:ascii="Arial" w:cs="Arial" w:eastAsia="Arial" w:hAnsi="Arial"/>
                <w:b/>
                <w:bCs/>
                <w:i/>
                <w:iCs/>
                <w:color w:val="C8860A"/>
                <w:sz w:val="15"/>
                <w:szCs w:val="15"/>
              </w:rPr>
              <w:t xml:space="preserve">F&amp;B Module</w:t>
            </w:r>
          </w:p>
        </w:tc>
        <w:tc>
          <w:tcPr>
            <w:tcW w:type="dxa" w:w="5398"/>
            <w:tcBorders>
              <w:top w:val="single" w:color="CBD5E0" w:sz="1"/>
              <w:left w:val="single" w:color="CBD5E0" w:sz="1"/>
              <w:bottom w:val="single" w:color="CBD5E0" w:sz="1"/>
              <w:right w:val="single" w:color="CBD5E0" w:sz="1"/>
            </w:tcBorders>
            <w:shd w:fill="F7F7F7" w:val="clear"/>
            <w:tcMar>
              <w:top w:type="dxa" w:w="80"/>
              <w:left w:type="dxa" w:w="120"/>
              <w:bottom w:type="dxa" w:w="80"/>
              <w:right w:type="dxa" w:w="100"/>
            </w:tcMar>
            <w:vAlign w:val="top"/>
          </w:tcPr>
          <w:p>
            <w:pPr>
              <w:spacing w:after="0" w:before="0"/>
            </w:pPr>
            <w:r>
              <w:rPr>
                <w:rFonts w:ascii="Arial" w:cs="Arial" w:eastAsia="Arial" w:hAnsi="Arial"/>
                <w:b w:val="false"/>
                <w:bCs w:val="false"/>
                <w:i w:val="false"/>
                <w:iCs w:val="false"/>
                <w:color w:val="1A1A1A"/>
                <w:sz w:val="17"/>
                <w:szCs w:val="17"/>
              </w:rPr>
              <w:t xml:space="preserve"/>
            </w:r>
          </w:p>
          <w:p>
            <w:pPr>
              <w:spacing w:after="0" w:before="0"/>
            </w:pPr>
            <w:r>
              <w:rPr>
                <w:rFonts w:ascii="Arial" w:cs="Arial" w:eastAsia="Arial" w:hAnsi="Arial"/>
                <w:b w:val="false"/>
                <w:bCs w:val="false"/>
                <w:i w:val="false"/>
                <w:iCs w:val="false"/>
                <w:color w:val="1A1A1A"/>
                <w:sz w:val="17"/>
                <w:szCs w:val="17"/>
              </w:rPr>
              <w:t xml:space="preserve"/>
            </w:r>
          </w:p>
          <w:p>
            <w:pPr>
              <w:spacing w:after="0" w:before="0"/>
            </w:pPr>
            <w:r>
              <w:rPr>
                <w:rFonts w:ascii="Arial" w:cs="Arial" w:eastAsia="Arial" w:hAnsi="Arial"/>
                <w:b w:val="false"/>
                <w:bCs w:val="false"/>
                <w:i w:val="false"/>
                <w:iCs w:val="false"/>
                <w:color w:val="1A1A1A"/>
                <w:sz w:val="17"/>
                <w:szCs w:val="17"/>
              </w:rPr>
              <w:t xml:space="preserve"/>
            </w:r>
          </w:p>
        </w:tc>
      </w:tr>
      <w:tr>
        <w:tc>
          <w:tcPr>
            <w:tcW w:type="dxa" w:w="1000"/>
            <w:tcBorders>
              <w:top w:val="single" w:color="CBD5E0" w:sz="1"/>
              <w:left w:val="single" w:color="C8860A" w:sz="6"/>
              <w:bottom w:val="single" w:color="CBD5E0" w:sz="1"/>
              <w:right w:val="single" w:color="CBD5E0" w:sz="1"/>
            </w:tcBorders>
            <w:shd w:fill="2E4D7B" w:val="clear"/>
            <w:tcMar>
              <w:top w:type="dxa" w:w="80"/>
              <w:left w:type="dxa" w:w="80"/>
              <w:bottom w:type="dxa" w:w="80"/>
              <w:right w:type="dxa" w:w="80"/>
            </w:tcMar>
            <w:vAlign w:val="top"/>
          </w:tcPr>
          <w:p>
            <w:pPr>
              <w:spacing w:after="0" w:before="0"/>
              <w:jc w:val="center"/>
            </w:pPr>
            <w:r>
              <w:rPr>
                <w:rFonts w:ascii="Arial" w:cs="Arial" w:eastAsia="Arial" w:hAnsi="Arial"/>
                <w:b/>
                <w:bCs/>
                <w:i w:val="false"/>
                <w:iCs w:val="false"/>
                <w:color w:val="FFFFFF"/>
                <w:sz w:val="17"/>
                <w:szCs w:val="17"/>
              </w:rPr>
              <w:t xml:space="preserve">F2.3</w:t>
            </w:r>
          </w:p>
        </w:tc>
        <w:tc>
          <w:tcPr>
            <w:tcW w:type="dxa" w:w="9000"/>
            <w:tcBorders>
              <w:top w:val="single" w:color="CBD5E0" w:sz="1"/>
              <w:left w:val="single" w:color="C8860A" w:sz="2"/>
              <w:bottom w:val="single" w:color="CBD5E0" w:sz="1"/>
              <w:right w:val="single" w:color="CBD5E0" w:sz="1"/>
            </w:tcBorders>
            <w:shd w:fill="FEF3E2" w:val="clear"/>
            <w:tcMar>
              <w:top w:type="dxa" w:w="80"/>
              <w:left w:type="dxa" w:w="140"/>
              <w:bottom w:type="dxa" w:w="80"/>
              <w:right w:type="dxa" w:w="100"/>
            </w:tcMar>
            <w:vAlign w:val="top"/>
          </w:tcPr>
          <w:p>
            <w:pPr>
              <w:spacing w:after="48" w:before="0"/>
            </w:pPr>
            <w:r>
              <w:rPr>
                <w:rFonts w:ascii="Arial" w:cs="Arial" w:eastAsia="Arial" w:hAnsi="Arial"/>
                <w:b/>
                <w:bCs/>
                <w:i w:val="false"/>
                <w:iCs w:val="false"/>
                <w:color w:val="1B2A4A"/>
                <w:sz w:val="18"/>
                <w:szCs w:val="18"/>
              </w:rPr>
              <w:t xml:space="preserve">State menu concentration and substitution risk.</w:t>
            </w:r>
          </w:p>
          <w:p>
            <w:pPr>
              <w:spacing w:after="24" w:before="24"/>
              <w:ind w:left="680" w:hanging="397"/>
            </w:pPr>
            <w:r>
              <w:rPr>
                <w:rFonts w:ascii="Arial" w:cs="Arial" w:eastAsia="Arial" w:hAnsi="Arial"/>
                <w:color w:val="C8A86B"/>
                <w:sz w:val="17"/>
                <w:szCs w:val="17"/>
              </w:rPr>
              <w:t xml:space="preserve">- </w:t>
            </w:r>
            <w:r>
              <w:rPr>
                <w:rFonts w:ascii="Arial" w:cs="Arial" w:eastAsia="Arial" w:hAnsi="Arial"/>
                <w:b w:val="false"/>
                <w:bCs w:val="false"/>
                <w:color w:val="1A1A1A"/>
                <w:sz w:val="17"/>
                <w:szCs w:val="17"/>
              </w:rPr>
              <w:t xml:space="preserve">Whether the menu is heavily dependent on a small number of ingredients (identify top 3).</w:t>
            </w:r>
          </w:p>
          <w:p>
            <w:pPr>
              <w:spacing w:after="24" w:before="24"/>
              <w:ind w:left="680" w:hanging="397"/>
            </w:pPr>
            <w:r>
              <w:rPr>
                <w:rFonts w:ascii="Arial" w:cs="Arial" w:eastAsia="Arial" w:hAnsi="Arial"/>
                <w:color w:val="C8A86B"/>
                <w:sz w:val="17"/>
                <w:szCs w:val="17"/>
              </w:rPr>
              <w:t xml:space="preserve">- </w:t>
            </w:r>
            <w:r>
              <w:rPr>
                <w:rFonts w:ascii="Arial" w:cs="Arial" w:eastAsia="Arial" w:hAnsi="Arial"/>
                <w:b w:val="false"/>
                <w:bCs w:val="false"/>
                <w:color w:val="1A1A1A"/>
                <w:sz w:val="17"/>
                <w:szCs w:val="17"/>
              </w:rPr>
              <w:t xml:space="preserve">Whether any core ingredient is subject to price volatility, import restriction, or seasonal shortage.</w:t>
            </w:r>
          </w:p>
          <w:p>
            <w:pPr>
              <w:spacing w:after="24" w:before="24"/>
              <w:ind w:left="680" w:hanging="397"/>
            </w:pPr>
            <w:r>
              <w:rPr>
                <w:rFonts w:ascii="Arial" w:cs="Arial" w:eastAsia="Arial" w:hAnsi="Arial"/>
                <w:color w:val="C8A86B"/>
                <w:sz w:val="17"/>
                <w:szCs w:val="17"/>
              </w:rPr>
              <w:t xml:space="preserve">- </w:t>
            </w:r>
            <w:r>
              <w:rPr>
                <w:rFonts w:ascii="Arial" w:cs="Arial" w:eastAsia="Arial" w:hAnsi="Arial"/>
                <w:b w:val="false"/>
                <w:bCs w:val="false"/>
                <w:color w:val="1A1A1A"/>
                <w:sz w:val="17"/>
                <w:szCs w:val="17"/>
              </w:rPr>
              <w:t xml:space="preserve">Whether menu engineering allows substitution without brand or quality impact.</w:t>
            </w:r>
          </w:p>
          <w:p>
            <w:pPr>
              <w:spacing w:after="24" w:before="24"/>
              <w:ind w:left="680" w:hanging="397"/>
            </w:pPr>
            <w:r>
              <w:rPr>
                <w:rFonts w:ascii="Arial" w:cs="Arial" w:eastAsia="Arial" w:hAnsi="Arial"/>
                <w:color w:val="C8A86B"/>
                <w:sz w:val="17"/>
                <w:szCs w:val="17"/>
              </w:rPr>
              <w:t xml:space="preserve">- </w:t>
            </w:r>
            <w:r>
              <w:rPr>
                <w:rFonts w:ascii="Arial" w:cs="Arial" w:eastAsia="Arial" w:hAnsi="Arial"/>
                <w:b w:val="false"/>
                <w:bCs w:val="false"/>
                <w:color w:val="1A1A1A"/>
                <w:sz w:val="17"/>
                <w:szCs w:val="17"/>
              </w:rPr>
              <w:t xml:space="preserve">Whether a menu change requires regulatory re-approval.</w:t>
            </w:r>
          </w:p>
          <w:p>
            <w:pPr>
              <w:spacing w:after="0" w:before="60"/>
            </w:pPr>
            <w:r>
              <w:rPr>
                <w:rFonts w:ascii="Arial" w:cs="Arial" w:eastAsia="Arial" w:hAnsi="Arial"/>
                <w:b/>
                <w:bCs/>
                <w:i/>
                <w:iCs/>
                <w:color w:val="C8860A"/>
                <w:sz w:val="15"/>
                <w:szCs w:val="15"/>
              </w:rPr>
              <w:t xml:space="preserve">F&amp;B Module</w:t>
            </w:r>
          </w:p>
        </w:tc>
        <w:tc>
          <w:tcPr>
            <w:tcW w:type="dxa" w:w="5398"/>
            <w:tcBorders>
              <w:top w:val="single" w:color="CBD5E0" w:sz="1"/>
              <w:left w:val="single" w:color="CBD5E0" w:sz="1"/>
              <w:bottom w:val="single" w:color="CBD5E0" w:sz="1"/>
              <w:right w:val="single" w:color="CBD5E0" w:sz="1"/>
            </w:tcBorders>
            <w:shd w:fill="F7F7F7" w:val="clear"/>
            <w:tcMar>
              <w:top w:type="dxa" w:w="80"/>
              <w:left w:type="dxa" w:w="120"/>
              <w:bottom w:type="dxa" w:w="80"/>
              <w:right w:type="dxa" w:w="100"/>
            </w:tcMar>
            <w:vAlign w:val="top"/>
          </w:tcPr>
          <w:p>
            <w:pPr>
              <w:spacing w:after="0" w:before="0"/>
            </w:pPr>
            <w:r>
              <w:rPr>
                <w:rFonts w:ascii="Arial" w:cs="Arial" w:eastAsia="Arial" w:hAnsi="Arial"/>
                <w:b w:val="false"/>
                <w:bCs w:val="false"/>
                <w:i w:val="false"/>
                <w:iCs w:val="false"/>
                <w:color w:val="1A1A1A"/>
                <w:sz w:val="17"/>
                <w:szCs w:val="17"/>
              </w:rPr>
              <w:t xml:space="preserve"/>
            </w:r>
          </w:p>
          <w:p>
            <w:pPr>
              <w:spacing w:after="0" w:before="0"/>
            </w:pPr>
            <w:r>
              <w:rPr>
                <w:rFonts w:ascii="Arial" w:cs="Arial" w:eastAsia="Arial" w:hAnsi="Arial"/>
                <w:b w:val="false"/>
                <w:bCs w:val="false"/>
                <w:i w:val="false"/>
                <w:iCs w:val="false"/>
                <w:color w:val="1A1A1A"/>
                <w:sz w:val="17"/>
                <w:szCs w:val="17"/>
              </w:rPr>
              <w:t xml:space="preserve"/>
            </w:r>
          </w:p>
          <w:p>
            <w:pPr>
              <w:spacing w:after="0" w:before="0"/>
            </w:pPr>
            <w:r>
              <w:rPr>
                <w:rFonts w:ascii="Arial" w:cs="Arial" w:eastAsia="Arial" w:hAnsi="Arial"/>
                <w:b w:val="false"/>
                <w:bCs w:val="false"/>
                <w:i w:val="false"/>
                <w:iCs w:val="false"/>
                <w:color w:val="1A1A1A"/>
                <w:sz w:val="17"/>
                <w:szCs w:val="17"/>
              </w:rPr>
              <w:t xml:space="preserve"/>
            </w:r>
          </w:p>
        </w:tc>
      </w:tr>
    </w:tbl>
    <w:p>
      <w:pPr>
        <w:spacing w:after="0" w:before="200"/>
      </w:pPr>
      <w:r>
        <w:t xml:space="preserve"/>
      </w:r>
    </w:p>
    <w:p>
      <w:pPr>
        <w:pBdr>
          <w:bottom w:val="single" w:color="C8A86B" w:sz="8" w:space="3"/>
        </w:pBdr>
        <w:spacing w:after="0" w:before="260"/>
      </w:pPr>
      <w:r>
        <w:rPr>
          <w:rFonts w:ascii="Arial" w:cs="Arial" w:eastAsia="Arial" w:hAnsi="Arial"/>
          <w:b/>
          <w:bCs/>
          <w:color w:val="C8A86B"/>
          <w:sz w:val="21"/>
          <w:szCs w:val="21"/>
        </w:rPr>
        <w:t xml:space="preserve">F3.  </w:t>
      </w:r>
      <w:r>
        <w:rPr>
          <w:rFonts w:ascii="Arial" w:cs="Arial" w:eastAsia="Arial" w:hAnsi="Arial"/>
          <w:b/>
          <w:bCs/>
          <w:color w:val="C8860A"/>
          <w:sz w:val="21"/>
          <w:szCs w:val="21"/>
        </w:rPr>
        <w:t xml:space="preserve">FOOD SAFETY, QUALITY &amp; REGULATORY COMPLIANCE</w:t>
      </w:r>
    </w:p>
    <w:p>
      <w:pPr>
        <w:spacing w:after="100" w:before="60"/>
      </w:pPr>
      <w:r>
        <w:rPr>
          <w:rFonts w:ascii="Arial" w:cs="Arial" w:eastAsia="Arial" w:hAnsi="Arial"/>
          <w:b w:val="false"/>
          <w:bCs w:val="false"/>
          <w:i/>
          <w:iCs/>
          <w:color w:val="666666"/>
          <w:sz w:val="16"/>
          <w:szCs w:val="16"/>
        </w:rPr>
        <w:t xml:space="preserve">Feeds: Regulatory Risk, Quality Risk, Reputational Risk.</w:t>
      </w:r>
    </w:p>
    <w:p>
      <w:pPr>
        <w:spacing w:after="0" w:before="80"/>
      </w:pPr>
      <w:r>
        <w:t xml:space="preserve"/>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9000"/>
        <w:gridCol w:w="5398"/>
      </w:tblGrid>
      <w:tr>
        <w:trPr>
          <w:tblHeader/>
        </w:trPr>
        <w:tc>
          <w:tcPr>
            <w:tcW w:type="dxa" w:w="1000"/>
            <w:tcBorders>
              <w:top w:val="single" w:color="12253A" w:sz="1"/>
              <w:left w:val="single" w:color="12253A" w:sz="1"/>
              <w:bottom w:val="single" w:color="12253A" w:sz="1"/>
              <w:right w:val="single" w:color="12253A" w:sz="1"/>
            </w:tcBorders>
            <w:shd w:fill="12253A" w:val="clear"/>
            <w:tcMar>
              <w:top w:type="dxa" w:w="80"/>
              <w:left w:type="dxa" w:w="100"/>
              <w:bottom w:type="dxa" w:w="80"/>
              <w:right w:type="dxa" w:w="100"/>
            </w:tcMar>
          </w:tcPr>
          <w:p>
            <w:pPr>
              <w:spacing w:after="0" w:before="0"/>
              <w:jc w:val="center"/>
            </w:pPr>
            <w:r>
              <w:rPr>
                <w:rFonts w:ascii="Arial" w:cs="Arial" w:eastAsia="Arial" w:hAnsi="Arial"/>
                <w:b/>
                <w:bCs/>
                <w:i w:val="false"/>
                <w:iCs w:val="false"/>
                <w:color w:val="FFFFFF"/>
                <w:sz w:val="17"/>
                <w:szCs w:val="17"/>
              </w:rPr>
              <w:t xml:space="preserve">Ref</w:t>
            </w:r>
          </w:p>
        </w:tc>
        <w:tc>
          <w:tcPr>
            <w:tcW w:type="dxa" w:w="9000"/>
            <w:tcBorders>
              <w:top w:val="single" w:color="12253A" w:sz="1"/>
              <w:left w:val="single" w:color="12253A" w:sz="1"/>
              <w:bottom w:val="single" w:color="12253A" w:sz="1"/>
              <w:right w:val="single" w:color="12253A" w:sz="1"/>
            </w:tcBorders>
            <w:shd w:fill="12253A" w:val="clear"/>
            <w:tcMar>
              <w:top w:type="dxa" w:w="80"/>
              <w:left w:type="dxa" w:w="100"/>
              <w:bottom w:type="dxa" w:w="80"/>
              <w:right w:type="dxa" w:w="100"/>
            </w:tcMar>
          </w:tcPr>
          <w:p>
            <w:pPr>
              <w:spacing w:after="0" w:before="0"/>
              <w:jc w:val="center"/>
            </w:pPr>
            <w:r>
              <w:rPr>
                <w:rFonts w:ascii="Arial" w:cs="Arial" w:eastAsia="Arial" w:hAnsi="Arial"/>
                <w:b/>
                <w:bCs/>
                <w:i w:val="false"/>
                <w:iCs w:val="false"/>
                <w:color w:val="FFFFFF"/>
                <w:sz w:val="17"/>
                <w:szCs w:val="17"/>
              </w:rPr>
              <w:t xml:space="preserve">Question</w:t>
            </w:r>
          </w:p>
        </w:tc>
        <w:tc>
          <w:tcPr>
            <w:tcW w:type="dxa" w:w="5398"/>
            <w:tcBorders>
              <w:top w:val="single" w:color="12253A" w:sz="1"/>
              <w:left w:val="single" w:color="12253A" w:sz="1"/>
              <w:bottom w:val="single" w:color="12253A" w:sz="1"/>
              <w:right w:val="single" w:color="12253A" w:sz="1"/>
            </w:tcBorders>
            <w:shd w:fill="12253A" w:val="clear"/>
            <w:tcMar>
              <w:top w:type="dxa" w:w="80"/>
              <w:left w:type="dxa" w:w="100"/>
              <w:bottom w:type="dxa" w:w="80"/>
              <w:right w:type="dxa" w:w="100"/>
            </w:tcMar>
          </w:tcPr>
          <w:p>
            <w:pPr>
              <w:spacing w:after="0" w:before="0"/>
              <w:jc w:val="center"/>
            </w:pPr>
            <w:r>
              <w:rPr>
                <w:rFonts w:ascii="Arial" w:cs="Arial" w:eastAsia="Arial" w:hAnsi="Arial"/>
                <w:b/>
                <w:bCs/>
                <w:i w:val="false"/>
                <w:iCs w:val="false"/>
                <w:color w:val="FFFFFF"/>
                <w:sz w:val="17"/>
                <w:szCs w:val="17"/>
              </w:rPr>
              <w:t xml:space="preserve">Response / Evidence</w:t>
            </w:r>
          </w:p>
        </w:tc>
      </w:tr>
      <w:tr>
        <w:tc>
          <w:tcPr>
            <w:tcW w:type="dxa" w:w="1000"/>
            <w:tcBorders>
              <w:top w:val="single" w:color="CBD5E0" w:sz="1"/>
              <w:left w:val="single" w:color="C8860A" w:sz="6"/>
              <w:bottom w:val="single" w:color="CBD5E0" w:sz="1"/>
              <w:right w:val="single" w:color="CBD5E0" w:sz="1"/>
            </w:tcBorders>
            <w:shd w:fill="2E4D7B" w:val="clear"/>
            <w:tcMar>
              <w:top w:type="dxa" w:w="80"/>
              <w:left w:type="dxa" w:w="80"/>
              <w:bottom w:type="dxa" w:w="80"/>
              <w:right w:type="dxa" w:w="80"/>
            </w:tcMar>
            <w:vAlign w:val="top"/>
          </w:tcPr>
          <w:p>
            <w:pPr>
              <w:spacing w:after="0" w:before="0"/>
              <w:jc w:val="center"/>
            </w:pPr>
            <w:r>
              <w:rPr>
                <w:rFonts w:ascii="Arial" w:cs="Arial" w:eastAsia="Arial" w:hAnsi="Arial"/>
                <w:b/>
                <w:bCs/>
                <w:i w:val="false"/>
                <w:iCs w:val="false"/>
                <w:color w:val="FFFFFF"/>
                <w:sz w:val="17"/>
                <w:szCs w:val="17"/>
              </w:rPr>
              <w:t xml:space="preserve">F3.1</w:t>
            </w:r>
          </w:p>
        </w:tc>
        <w:tc>
          <w:tcPr>
            <w:tcW w:type="dxa" w:w="9000"/>
            <w:tcBorders>
              <w:top w:val="single" w:color="CBD5E0" w:sz="1"/>
              <w:left w:val="single" w:color="C8860A" w:sz="2"/>
              <w:bottom w:val="single" w:color="CBD5E0" w:sz="1"/>
              <w:right w:val="single" w:color="CBD5E0" w:sz="1"/>
            </w:tcBorders>
            <w:shd w:fill="FEF3E2" w:val="clear"/>
            <w:tcMar>
              <w:top w:type="dxa" w:w="80"/>
              <w:left w:type="dxa" w:w="140"/>
              <w:bottom w:type="dxa" w:w="80"/>
              <w:right w:type="dxa" w:w="100"/>
            </w:tcMar>
            <w:vAlign w:val="top"/>
          </w:tcPr>
          <w:p>
            <w:pPr>
              <w:spacing w:after="48" w:before="0"/>
            </w:pPr>
            <w:r>
              <w:rPr>
                <w:rFonts w:ascii="Arial" w:cs="Arial" w:eastAsia="Arial" w:hAnsi="Arial"/>
                <w:b/>
                <w:bCs/>
                <w:i w:val="false"/>
                <w:iCs w:val="false"/>
                <w:color w:val="1B2A4A"/>
                <w:sz w:val="18"/>
                <w:szCs w:val="18"/>
              </w:rPr>
              <w:t xml:space="preserve">State food safety governance and certification.</w:t>
            </w:r>
          </w:p>
          <w:p>
            <w:pPr>
              <w:spacing w:after="24" w:before="24"/>
              <w:ind w:left="680" w:hanging="397"/>
            </w:pPr>
            <w:r>
              <w:rPr>
                <w:rFonts w:ascii="Arial" w:cs="Arial" w:eastAsia="Arial" w:hAnsi="Arial"/>
                <w:color w:val="C8A86B"/>
                <w:sz w:val="17"/>
                <w:szCs w:val="17"/>
              </w:rPr>
              <w:t xml:space="preserve">- </w:t>
            </w:r>
            <w:r>
              <w:rPr>
                <w:rFonts w:ascii="Arial" w:cs="Arial" w:eastAsia="Arial" w:hAnsi="Arial"/>
                <w:b w:val="false"/>
                <w:bCs w:val="false"/>
                <w:color w:val="1A1A1A"/>
                <w:sz w:val="17"/>
                <w:szCs w:val="17"/>
              </w:rPr>
              <w:t xml:space="preserve">Whether HACCP certification is in place (Yes / No). State scope and expiry.</w:t>
            </w:r>
          </w:p>
          <w:p>
            <w:pPr>
              <w:spacing w:after="24" w:before="24"/>
              <w:ind w:left="680" w:hanging="397"/>
            </w:pPr>
            <w:r>
              <w:rPr>
                <w:rFonts w:ascii="Arial" w:cs="Arial" w:eastAsia="Arial" w:hAnsi="Arial"/>
                <w:color w:val="C8A86B"/>
                <w:sz w:val="17"/>
                <w:szCs w:val="17"/>
              </w:rPr>
              <w:t xml:space="preserve">- </w:t>
            </w:r>
            <w:r>
              <w:rPr>
                <w:rFonts w:ascii="Arial" w:cs="Arial" w:eastAsia="Arial" w:hAnsi="Arial"/>
                <w:b w:val="false"/>
                <w:bCs w:val="false"/>
                <w:color w:val="1A1A1A"/>
                <w:sz w:val="17"/>
                <w:szCs w:val="17"/>
              </w:rPr>
              <w:t xml:space="preserve">Whether ISO 22000 or equivalent food safety management system is adopted.</w:t>
            </w:r>
          </w:p>
          <w:p>
            <w:pPr>
              <w:spacing w:after="24" w:before="24"/>
              <w:ind w:left="680" w:hanging="397"/>
            </w:pPr>
            <w:r>
              <w:rPr>
                <w:rFonts w:ascii="Arial" w:cs="Arial" w:eastAsia="Arial" w:hAnsi="Arial"/>
                <w:color w:val="C8A86B"/>
                <w:sz w:val="17"/>
                <w:szCs w:val="17"/>
              </w:rPr>
              <w:t xml:space="preserve">- </w:t>
            </w:r>
            <w:r>
              <w:rPr>
                <w:rFonts w:ascii="Arial" w:cs="Arial" w:eastAsia="Arial" w:hAnsi="Arial"/>
                <w:b w:val="false"/>
                <w:bCs w:val="false"/>
                <w:color w:val="1A1A1A"/>
                <w:sz w:val="17"/>
                <w:szCs w:val="17"/>
              </w:rPr>
              <w:t xml:space="preserve">Frequency of internal food safety audits.</w:t>
            </w:r>
          </w:p>
          <w:p>
            <w:pPr>
              <w:spacing w:after="24" w:before="24"/>
              <w:ind w:left="680" w:hanging="397"/>
            </w:pPr>
            <w:r>
              <w:rPr>
                <w:rFonts w:ascii="Arial" w:cs="Arial" w:eastAsia="Arial" w:hAnsi="Arial"/>
                <w:color w:val="C8A86B"/>
                <w:sz w:val="17"/>
                <w:szCs w:val="17"/>
              </w:rPr>
              <w:t xml:space="preserve">- </w:t>
            </w:r>
            <w:r>
              <w:rPr>
                <w:rFonts w:ascii="Arial" w:cs="Arial" w:eastAsia="Arial" w:hAnsi="Arial"/>
                <w:b w:val="false"/>
                <w:bCs w:val="false"/>
                <w:color w:val="1A1A1A"/>
                <w:sz w:val="17"/>
                <w:szCs w:val="17"/>
              </w:rPr>
              <w:t xml:space="preserve">Who conducts audits: internal quality team, third-party auditor, or regulator.</w:t>
            </w:r>
          </w:p>
          <w:p>
            <w:pPr>
              <w:spacing w:after="0" w:before="60"/>
            </w:pPr>
            <w:r>
              <w:rPr>
                <w:rFonts w:ascii="Arial" w:cs="Arial" w:eastAsia="Arial" w:hAnsi="Arial"/>
                <w:b/>
                <w:bCs/>
                <w:i/>
                <w:iCs/>
                <w:color w:val="C8860A"/>
                <w:sz w:val="15"/>
                <w:szCs w:val="15"/>
              </w:rPr>
              <w:t xml:space="preserve">F&amp;B Module</w:t>
            </w:r>
          </w:p>
        </w:tc>
        <w:tc>
          <w:tcPr>
            <w:tcW w:type="dxa" w:w="5398"/>
            <w:tcBorders>
              <w:top w:val="single" w:color="CBD5E0" w:sz="1"/>
              <w:left w:val="single" w:color="CBD5E0" w:sz="1"/>
              <w:bottom w:val="single" w:color="CBD5E0" w:sz="1"/>
              <w:right w:val="single" w:color="CBD5E0" w:sz="1"/>
            </w:tcBorders>
            <w:shd w:fill="F7F7F7" w:val="clear"/>
            <w:tcMar>
              <w:top w:type="dxa" w:w="80"/>
              <w:left w:type="dxa" w:w="120"/>
              <w:bottom w:type="dxa" w:w="80"/>
              <w:right w:type="dxa" w:w="100"/>
            </w:tcMar>
            <w:vAlign w:val="top"/>
          </w:tcPr>
          <w:p>
            <w:pPr>
              <w:spacing w:after="0" w:before="0"/>
            </w:pPr>
            <w:r>
              <w:rPr>
                <w:rFonts w:ascii="Arial" w:cs="Arial" w:eastAsia="Arial" w:hAnsi="Arial"/>
                <w:b w:val="false"/>
                <w:bCs w:val="false"/>
                <w:i w:val="false"/>
                <w:iCs w:val="false"/>
                <w:color w:val="1A1A1A"/>
                <w:sz w:val="17"/>
                <w:szCs w:val="17"/>
              </w:rPr>
              <w:t xml:space="preserve"/>
            </w:r>
          </w:p>
          <w:p>
            <w:pPr>
              <w:spacing w:after="0" w:before="0"/>
            </w:pPr>
            <w:r>
              <w:rPr>
                <w:rFonts w:ascii="Arial" w:cs="Arial" w:eastAsia="Arial" w:hAnsi="Arial"/>
                <w:b w:val="false"/>
                <w:bCs w:val="false"/>
                <w:i w:val="false"/>
                <w:iCs w:val="false"/>
                <w:color w:val="1A1A1A"/>
                <w:sz w:val="17"/>
                <w:szCs w:val="17"/>
              </w:rPr>
              <w:t xml:space="preserve"/>
            </w:r>
          </w:p>
          <w:p>
            <w:pPr>
              <w:spacing w:after="0" w:before="0"/>
            </w:pPr>
            <w:r>
              <w:rPr>
                <w:rFonts w:ascii="Arial" w:cs="Arial" w:eastAsia="Arial" w:hAnsi="Arial"/>
                <w:b w:val="false"/>
                <w:bCs w:val="false"/>
                <w:i w:val="false"/>
                <w:iCs w:val="false"/>
                <w:color w:val="1A1A1A"/>
                <w:sz w:val="17"/>
                <w:szCs w:val="17"/>
              </w:rPr>
              <w:t xml:space="preserve"/>
            </w:r>
          </w:p>
        </w:tc>
      </w:tr>
      <w:tr>
        <w:tc>
          <w:tcPr>
            <w:tcW w:type="dxa" w:w="1000"/>
            <w:tcBorders>
              <w:top w:val="single" w:color="CBD5E0" w:sz="1"/>
              <w:left w:val="single" w:color="C8860A" w:sz="6"/>
              <w:bottom w:val="single" w:color="CBD5E0" w:sz="1"/>
              <w:right w:val="single" w:color="CBD5E0" w:sz="1"/>
            </w:tcBorders>
            <w:shd w:fill="2E4D7B" w:val="clear"/>
            <w:tcMar>
              <w:top w:type="dxa" w:w="80"/>
              <w:left w:type="dxa" w:w="80"/>
              <w:bottom w:type="dxa" w:w="80"/>
              <w:right w:type="dxa" w:w="80"/>
            </w:tcMar>
            <w:vAlign w:val="top"/>
          </w:tcPr>
          <w:p>
            <w:pPr>
              <w:spacing w:after="0" w:before="0"/>
              <w:jc w:val="center"/>
            </w:pPr>
            <w:r>
              <w:rPr>
                <w:rFonts w:ascii="Arial" w:cs="Arial" w:eastAsia="Arial" w:hAnsi="Arial"/>
                <w:b/>
                <w:bCs/>
                <w:i w:val="false"/>
                <w:iCs w:val="false"/>
                <w:color w:val="FFFFFF"/>
                <w:sz w:val="17"/>
                <w:szCs w:val="17"/>
              </w:rPr>
              <w:t xml:space="preserve">F3.2</w:t>
            </w:r>
          </w:p>
        </w:tc>
        <w:tc>
          <w:tcPr>
            <w:tcW w:type="dxa" w:w="9000"/>
            <w:tcBorders>
              <w:top w:val="single" w:color="CBD5E0" w:sz="1"/>
              <w:left w:val="single" w:color="C8860A" w:sz="2"/>
              <w:bottom w:val="single" w:color="CBD5E0" w:sz="1"/>
              <w:right w:val="single" w:color="CBD5E0" w:sz="1"/>
            </w:tcBorders>
            <w:shd w:fill="FEF3E2" w:val="clear"/>
            <w:tcMar>
              <w:top w:type="dxa" w:w="80"/>
              <w:left w:type="dxa" w:w="140"/>
              <w:bottom w:type="dxa" w:w="80"/>
              <w:right w:type="dxa" w:w="100"/>
            </w:tcMar>
            <w:vAlign w:val="top"/>
          </w:tcPr>
          <w:p>
            <w:pPr>
              <w:spacing w:after="48" w:before="0"/>
            </w:pPr>
            <w:r>
              <w:rPr>
                <w:rFonts w:ascii="Arial" w:cs="Arial" w:eastAsia="Arial" w:hAnsi="Arial"/>
                <w:b/>
                <w:bCs/>
                <w:i w:val="false"/>
                <w:iCs w:val="false"/>
                <w:color w:val="1B2A4A"/>
                <w:sz w:val="18"/>
                <w:szCs w:val="18"/>
              </w:rPr>
              <w:t xml:space="preserve">State health authority inspection record.</w:t>
            </w:r>
          </w:p>
          <w:p>
            <w:pPr>
              <w:spacing w:after="24" w:before="24"/>
              <w:ind w:left="680" w:hanging="397"/>
            </w:pPr>
            <w:r>
              <w:rPr>
                <w:rFonts w:ascii="Arial" w:cs="Arial" w:eastAsia="Arial" w:hAnsi="Arial"/>
                <w:color w:val="C8A86B"/>
                <w:sz w:val="17"/>
                <w:szCs w:val="17"/>
              </w:rPr>
              <w:t xml:space="preserve">- </w:t>
            </w:r>
            <w:r>
              <w:rPr>
                <w:rFonts w:ascii="Arial" w:cs="Arial" w:eastAsia="Arial" w:hAnsi="Arial"/>
                <w:b w:val="false"/>
                <w:bCs w:val="false"/>
                <w:color w:val="1A1A1A"/>
                <w:sz w:val="17"/>
                <w:szCs w:val="17"/>
              </w:rPr>
              <w:t xml:space="preserve">Regulatory authority responsible for food safety inspection in each jurisdiction.</w:t>
            </w:r>
          </w:p>
          <w:p>
            <w:pPr>
              <w:spacing w:after="24" w:before="24"/>
              <w:ind w:left="680" w:hanging="397"/>
            </w:pPr>
            <w:r>
              <w:rPr>
                <w:rFonts w:ascii="Arial" w:cs="Arial" w:eastAsia="Arial" w:hAnsi="Arial"/>
                <w:color w:val="C8A86B"/>
                <w:sz w:val="17"/>
                <w:szCs w:val="17"/>
              </w:rPr>
              <w:t xml:space="preserve">- </w:t>
            </w:r>
            <w:r>
              <w:rPr>
                <w:rFonts w:ascii="Arial" w:cs="Arial" w:eastAsia="Arial" w:hAnsi="Arial"/>
                <w:b w:val="false"/>
                <w:bCs w:val="false"/>
                <w:color w:val="1A1A1A"/>
                <w:sz w:val="17"/>
                <w:szCs w:val="17"/>
              </w:rPr>
              <w:t xml:space="preserve">Inspection frequency per outlet or kitchen.</w:t>
            </w:r>
          </w:p>
          <w:p>
            <w:pPr>
              <w:spacing w:after="24" w:before="24"/>
              <w:ind w:left="680" w:hanging="397"/>
            </w:pPr>
            <w:r>
              <w:rPr>
                <w:rFonts w:ascii="Arial" w:cs="Arial" w:eastAsia="Arial" w:hAnsi="Arial"/>
                <w:color w:val="C8A86B"/>
                <w:sz w:val="17"/>
                <w:szCs w:val="17"/>
              </w:rPr>
              <w:t xml:space="preserve">- </w:t>
            </w:r>
            <w:r>
              <w:rPr>
                <w:rFonts w:ascii="Arial" w:cs="Arial" w:eastAsia="Arial" w:hAnsi="Arial"/>
                <w:b w:val="false"/>
                <w:bCs w:val="false"/>
                <w:color w:val="1A1A1A"/>
                <w:sz w:val="17"/>
                <w:szCs w:val="17"/>
              </w:rPr>
              <w:t xml:space="preserve">Findings from the most recent inspection: ratings, violations, corrective actions required.</w:t>
            </w:r>
          </w:p>
          <w:p>
            <w:pPr>
              <w:spacing w:after="24" w:before="24"/>
              <w:ind w:left="680" w:hanging="397"/>
            </w:pPr>
            <w:r>
              <w:rPr>
                <w:rFonts w:ascii="Arial" w:cs="Arial" w:eastAsia="Arial" w:hAnsi="Arial"/>
                <w:color w:val="C8A86B"/>
                <w:sz w:val="17"/>
                <w:szCs w:val="17"/>
              </w:rPr>
              <w:t xml:space="preserve">- </w:t>
            </w:r>
            <w:r>
              <w:rPr>
                <w:rFonts w:ascii="Arial" w:cs="Arial" w:eastAsia="Arial" w:hAnsi="Arial"/>
                <w:b w:val="false"/>
                <w:bCs w:val="false"/>
                <w:color w:val="1A1A1A"/>
                <w:sz w:val="17"/>
                <w:szCs w:val="17"/>
              </w:rPr>
              <w:t xml:space="preserve">Whether any outlet has received a warning, closure notice, or formal penalty in the last three years.</w:t>
            </w:r>
          </w:p>
          <w:p>
            <w:pPr>
              <w:spacing w:after="0" w:before="60"/>
            </w:pPr>
            <w:r>
              <w:rPr>
                <w:rFonts w:ascii="Arial" w:cs="Arial" w:eastAsia="Arial" w:hAnsi="Arial"/>
                <w:b/>
                <w:bCs/>
                <w:i/>
                <w:iCs/>
                <w:color w:val="C8860A"/>
                <w:sz w:val="15"/>
                <w:szCs w:val="15"/>
              </w:rPr>
              <w:t xml:space="preserve">F&amp;B Module</w:t>
            </w:r>
          </w:p>
        </w:tc>
        <w:tc>
          <w:tcPr>
            <w:tcW w:type="dxa" w:w="5398"/>
            <w:tcBorders>
              <w:top w:val="single" w:color="CBD5E0" w:sz="1"/>
              <w:left w:val="single" w:color="CBD5E0" w:sz="1"/>
              <w:bottom w:val="single" w:color="CBD5E0" w:sz="1"/>
              <w:right w:val="single" w:color="CBD5E0" w:sz="1"/>
            </w:tcBorders>
            <w:shd w:fill="F7F7F7" w:val="clear"/>
            <w:tcMar>
              <w:top w:type="dxa" w:w="80"/>
              <w:left w:type="dxa" w:w="120"/>
              <w:bottom w:type="dxa" w:w="80"/>
              <w:right w:type="dxa" w:w="100"/>
            </w:tcMar>
            <w:vAlign w:val="top"/>
          </w:tcPr>
          <w:p>
            <w:pPr>
              <w:spacing w:after="0" w:before="0"/>
            </w:pPr>
            <w:r>
              <w:rPr>
                <w:rFonts w:ascii="Arial" w:cs="Arial" w:eastAsia="Arial" w:hAnsi="Arial"/>
                <w:b w:val="false"/>
                <w:bCs w:val="false"/>
                <w:i w:val="false"/>
                <w:iCs w:val="false"/>
                <w:color w:val="1A1A1A"/>
                <w:sz w:val="17"/>
                <w:szCs w:val="17"/>
              </w:rPr>
              <w:t xml:space="preserve"/>
            </w:r>
          </w:p>
          <w:p>
            <w:pPr>
              <w:spacing w:after="0" w:before="0"/>
            </w:pPr>
            <w:r>
              <w:rPr>
                <w:rFonts w:ascii="Arial" w:cs="Arial" w:eastAsia="Arial" w:hAnsi="Arial"/>
                <w:b w:val="false"/>
                <w:bCs w:val="false"/>
                <w:i w:val="false"/>
                <w:iCs w:val="false"/>
                <w:color w:val="1A1A1A"/>
                <w:sz w:val="17"/>
                <w:szCs w:val="17"/>
              </w:rPr>
              <w:t xml:space="preserve"/>
            </w:r>
          </w:p>
          <w:p>
            <w:pPr>
              <w:spacing w:after="0" w:before="0"/>
            </w:pPr>
            <w:r>
              <w:rPr>
                <w:rFonts w:ascii="Arial" w:cs="Arial" w:eastAsia="Arial" w:hAnsi="Arial"/>
                <w:b w:val="false"/>
                <w:bCs w:val="false"/>
                <w:i w:val="false"/>
                <w:iCs w:val="false"/>
                <w:color w:val="1A1A1A"/>
                <w:sz w:val="17"/>
                <w:szCs w:val="17"/>
              </w:rPr>
              <w:t xml:space="preserve"/>
            </w:r>
          </w:p>
        </w:tc>
      </w:tr>
      <w:tr>
        <w:tc>
          <w:tcPr>
            <w:tcW w:type="dxa" w:w="1000"/>
            <w:tcBorders>
              <w:top w:val="single" w:color="CBD5E0" w:sz="1"/>
              <w:left w:val="single" w:color="C8860A" w:sz="6"/>
              <w:bottom w:val="single" w:color="CBD5E0" w:sz="1"/>
              <w:right w:val="single" w:color="CBD5E0" w:sz="1"/>
            </w:tcBorders>
            <w:shd w:fill="2E4D7B" w:val="clear"/>
            <w:tcMar>
              <w:top w:type="dxa" w:w="80"/>
              <w:left w:type="dxa" w:w="80"/>
              <w:bottom w:type="dxa" w:w="80"/>
              <w:right w:type="dxa" w:w="80"/>
            </w:tcMar>
            <w:vAlign w:val="top"/>
          </w:tcPr>
          <w:p>
            <w:pPr>
              <w:spacing w:after="0" w:before="0"/>
              <w:jc w:val="center"/>
            </w:pPr>
            <w:r>
              <w:rPr>
                <w:rFonts w:ascii="Arial" w:cs="Arial" w:eastAsia="Arial" w:hAnsi="Arial"/>
                <w:b/>
                <w:bCs/>
                <w:i w:val="false"/>
                <w:iCs w:val="false"/>
                <w:color w:val="FFFFFF"/>
                <w:sz w:val="17"/>
                <w:szCs w:val="17"/>
              </w:rPr>
              <w:t xml:space="preserve">F3.3</w:t>
            </w:r>
          </w:p>
        </w:tc>
        <w:tc>
          <w:tcPr>
            <w:tcW w:type="dxa" w:w="9000"/>
            <w:tcBorders>
              <w:top w:val="single" w:color="CBD5E0" w:sz="1"/>
              <w:left w:val="single" w:color="C8860A" w:sz="2"/>
              <w:bottom w:val="single" w:color="CBD5E0" w:sz="1"/>
              <w:right w:val="single" w:color="CBD5E0" w:sz="1"/>
            </w:tcBorders>
            <w:shd w:fill="FEF3E2" w:val="clear"/>
            <w:tcMar>
              <w:top w:type="dxa" w:w="80"/>
              <w:left w:type="dxa" w:w="140"/>
              <w:bottom w:type="dxa" w:w="80"/>
              <w:right w:type="dxa" w:w="100"/>
            </w:tcMar>
            <w:vAlign w:val="top"/>
          </w:tcPr>
          <w:p>
            <w:pPr>
              <w:spacing w:after="48" w:before="0"/>
            </w:pPr>
            <w:r>
              <w:rPr>
                <w:rFonts w:ascii="Arial" w:cs="Arial" w:eastAsia="Arial" w:hAnsi="Arial"/>
                <w:b/>
                <w:bCs/>
                <w:i w:val="false"/>
                <w:iCs w:val="false"/>
                <w:color w:val="1B2A4A"/>
                <w:sz w:val="18"/>
                <w:szCs w:val="18"/>
              </w:rPr>
              <w:t xml:space="preserve">State food safety incident history.</w:t>
            </w:r>
          </w:p>
          <w:p>
            <w:pPr>
              <w:spacing w:after="24" w:before="24"/>
              <w:ind w:left="680" w:hanging="397"/>
            </w:pPr>
            <w:r>
              <w:rPr>
                <w:rFonts w:ascii="Arial" w:cs="Arial" w:eastAsia="Arial" w:hAnsi="Arial"/>
                <w:color w:val="C8A86B"/>
                <w:sz w:val="17"/>
                <w:szCs w:val="17"/>
              </w:rPr>
              <w:t xml:space="preserve">- </w:t>
            </w:r>
            <w:r>
              <w:rPr>
                <w:rFonts w:ascii="Arial" w:cs="Arial" w:eastAsia="Arial" w:hAnsi="Arial"/>
                <w:b w:val="false"/>
                <w:bCs w:val="false"/>
                <w:color w:val="1A1A1A"/>
                <w:sz w:val="17"/>
                <w:szCs w:val="17"/>
              </w:rPr>
              <w:t xml:space="preserve">Material food safety incidents in the last five years: contamination, illness complaint, allergen failure.</w:t>
            </w:r>
          </w:p>
          <w:p>
            <w:pPr>
              <w:spacing w:after="24" w:before="24"/>
              <w:ind w:left="680" w:hanging="397"/>
            </w:pPr>
            <w:r>
              <w:rPr>
                <w:rFonts w:ascii="Arial" w:cs="Arial" w:eastAsia="Arial" w:hAnsi="Arial"/>
                <w:color w:val="C8A86B"/>
                <w:sz w:val="17"/>
                <w:szCs w:val="17"/>
              </w:rPr>
              <w:t xml:space="preserve">- </w:t>
            </w:r>
            <w:r>
              <w:rPr>
                <w:rFonts w:ascii="Arial" w:cs="Arial" w:eastAsia="Arial" w:hAnsi="Arial"/>
                <w:b w:val="false"/>
                <w:bCs w:val="false"/>
                <w:color w:val="1A1A1A"/>
                <w:sz w:val="17"/>
                <w:szCs w:val="17"/>
              </w:rPr>
              <w:t xml:space="preserve">Financial impact and operational response for each.</w:t>
            </w:r>
          </w:p>
          <w:p>
            <w:pPr>
              <w:spacing w:after="24" w:before="24"/>
              <w:ind w:left="680" w:hanging="397"/>
            </w:pPr>
            <w:r>
              <w:rPr>
                <w:rFonts w:ascii="Arial" w:cs="Arial" w:eastAsia="Arial" w:hAnsi="Arial"/>
                <w:color w:val="C8A86B"/>
                <w:sz w:val="17"/>
                <w:szCs w:val="17"/>
              </w:rPr>
              <w:t xml:space="preserve">- </w:t>
            </w:r>
            <w:r>
              <w:rPr>
                <w:rFonts w:ascii="Arial" w:cs="Arial" w:eastAsia="Arial" w:hAnsi="Arial"/>
                <w:b w:val="false"/>
                <w:bCs w:val="false"/>
                <w:color w:val="1A1A1A"/>
                <w:sz w:val="17"/>
                <w:szCs w:val="17"/>
              </w:rPr>
              <w:t xml:space="preserve">Whether incidents resulted in regulatory action, media coverage, or brand damage.</w:t>
            </w:r>
          </w:p>
          <w:p>
            <w:pPr>
              <w:spacing w:after="24" w:before="24"/>
              <w:ind w:left="680" w:hanging="397"/>
            </w:pPr>
            <w:r>
              <w:rPr>
                <w:rFonts w:ascii="Arial" w:cs="Arial" w:eastAsia="Arial" w:hAnsi="Arial"/>
                <w:color w:val="C8A86B"/>
                <w:sz w:val="17"/>
                <w:szCs w:val="17"/>
              </w:rPr>
              <w:t xml:space="preserve">- </w:t>
            </w:r>
            <w:r>
              <w:rPr>
                <w:rFonts w:ascii="Arial" w:cs="Arial" w:eastAsia="Arial" w:hAnsi="Arial"/>
                <w:b w:val="false"/>
                <w:bCs w:val="false"/>
                <w:color w:val="1A1A1A"/>
                <w:sz w:val="17"/>
                <w:szCs w:val="17"/>
              </w:rPr>
              <w:t xml:space="preserve">Whether post-incident corrective action was formally documented and implemented.</w:t>
            </w:r>
          </w:p>
          <w:p>
            <w:pPr>
              <w:spacing w:after="0" w:before="60"/>
            </w:pPr>
            <w:r>
              <w:rPr>
                <w:rFonts w:ascii="Arial" w:cs="Arial" w:eastAsia="Arial" w:hAnsi="Arial"/>
                <w:b/>
                <w:bCs/>
                <w:i/>
                <w:iCs/>
                <w:color w:val="C8860A"/>
                <w:sz w:val="15"/>
                <w:szCs w:val="15"/>
              </w:rPr>
              <w:t xml:space="preserve">F&amp;B Module</w:t>
            </w:r>
          </w:p>
        </w:tc>
        <w:tc>
          <w:tcPr>
            <w:tcW w:type="dxa" w:w="5398"/>
            <w:tcBorders>
              <w:top w:val="single" w:color="CBD5E0" w:sz="1"/>
              <w:left w:val="single" w:color="CBD5E0" w:sz="1"/>
              <w:bottom w:val="single" w:color="CBD5E0" w:sz="1"/>
              <w:right w:val="single" w:color="CBD5E0" w:sz="1"/>
            </w:tcBorders>
            <w:shd w:fill="F7F7F7" w:val="clear"/>
            <w:tcMar>
              <w:top w:type="dxa" w:w="80"/>
              <w:left w:type="dxa" w:w="120"/>
              <w:bottom w:type="dxa" w:w="80"/>
              <w:right w:type="dxa" w:w="100"/>
            </w:tcMar>
            <w:vAlign w:val="top"/>
          </w:tcPr>
          <w:p>
            <w:pPr>
              <w:spacing w:after="0" w:before="0"/>
            </w:pPr>
            <w:r>
              <w:rPr>
                <w:rFonts w:ascii="Arial" w:cs="Arial" w:eastAsia="Arial" w:hAnsi="Arial"/>
                <w:b w:val="false"/>
                <w:bCs w:val="false"/>
                <w:i w:val="false"/>
                <w:iCs w:val="false"/>
                <w:color w:val="1A1A1A"/>
                <w:sz w:val="17"/>
                <w:szCs w:val="17"/>
              </w:rPr>
              <w:t xml:space="preserve"/>
            </w:r>
          </w:p>
          <w:p>
            <w:pPr>
              <w:spacing w:after="0" w:before="0"/>
            </w:pPr>
            <w:r>
              <w:rPr>
                <w:rFonts w:ascii="Arial" w:cs="Arial" w:eastAsia="Arial" w:hAnsi="Arial"/>
                <w:b w:val="false"/>
                <w:bCs w:val="false"/>
                <w:i w:val="false"/>
                <w:iCs w:val="false"/>
                <w:color w:val="1A1A1A"/>
                <w:sz w:val="17"/>
                <w:szCs w:val="17"/>
              </w:rPr>
              <w:t xml:space="preserve"/>
            </w:r>
          </w:p>
          <w:p>
            <w:pPr>
              <w:spacing w:after="0" w:before="0"/>
            </w:pPr>
            <w:r>
              <w:rPr>
                <w:rFonts w:ascii="Arial" w:cs="Arial" w:eastAsia="Arial" w:hAnsi="Arial"/>
                <w:b w:val="false"/>
                <w:bCs w:val="false"/>
                <w:i w:val="false"/>
                <w:iCs w:val="false"/>
                <w:color w:val="1A1A1A"/>
                <w:sz w:val="17"/>
                <w:szCs w:val="17"/>
              </w:rPr>
              <w:t xml:space="preserve"/>
            </w:r>
          </w:p>
        </w:tc>
      </w:tr>
      <w:tr>
        <w:tc>
          <w:tcPr>
            <w:tcW w:type="dxa" w:w="1000"/>
            <w:tcBorders>
              <w:top w:val="single" w:color="CBD5E0" w:sz="1"/>
              <w:left w:val="single" w:color="C8860A" w:sz="6"/>
              <w:bottom w:val="single" w:color="CBD5E0" w:sz="1"/>
              <w:right w:val="single" w:color="CBD5E0" w:sz="1"/>
            </w:tcBorders>
            <w:shd w:fill="2E4D7B" w:val="clear"/>
            <w:tcMar>
              <w:top w:type="dxa" w:w="80"/>
              <w:left w:type="dxa" w:w="80"/>
              <w:bottom w:type="dxa" w:w="80"/>
              <w:right w:type="dxa" w:w="80"/>
            </w:tcMar>
            <w:vAlign w:val="top"/>
          </w:tcPr>
          <w:p>
            <w:pPr>
              <w:spacing w:after="0" w:before="0"/>
              <w:jc w:val="center"/>
            </w:pPr>
            <w:r>
              <w:rPr>
                <w:rFonts w:ascii="Arial" w:cs="Arial" w:eastAsia="Arial" w:hAnsi="Arial"/>
                <w:b/>
                <w:bCs/>
                <w:i w:val="false"/>
                <w:iCs w:val="false"/>
                <w:color w:val="FFFFFF"/>
                <w:sz w:val="17"/>
                <w:szCs w:val="17"/>
              </w:rPr>
              <w:t xml:space="preserve">F3.4</w:t>
            </w:r>
          </w:p>
        </w:tc>
        <w:tc>
          <w:tcPr>
            <w:tcW w:type="dxa" w:w="9000"/>
            <w:tcBorders>
              <w:top w:val="single" w:color="CBD5E0" w:sz="1"/>
              <w:left w:val="single" w:color="C8860A" w:sz="2"/>
              <w:bottom w:val="single" w:color="CBD5E0" w:sz="1"/>
              <w:right w:val="single" w:color="CBD5E0" w:sz="1"/>
            </w:tcBorders>
            <w:shd w:fill="FEF3E2" w:val="clear"/>
            <w:tcMar>
              <w:top w:type="dxa" w:w="80"/>
              <w:left w:type="dxa" w:w="140"/>
              <w:bottom w:type="dxa" w:w="80"/>
              <w:right w:type="dxa" w:w="100"/>
            </w:tcMar>
            <w:vAlign w:val="top"/>
          </w:tcPr>
          <w:p>
            <w:pPr>
              <w:spacing w:after="48" w:before="0"/>
            </w:pPr>
            <w:r>
              <w:rPr>
                <w:rFonts w:ascii="Arial" w:cs="Arial" w:eastAsia="Arial" w:hAnsi="Arial"/>
                <w:b/>
                <w:bCs/>
                <w:i w:val="false"/>
                <w:iCs w:val="false"/>
                <w:color w:val="1B2A4A"/>
                <w:sz w:val="18"/>
                <w:szCs w:val="18"/>
              </w:rPr>
              <w:t xml:space="preserve">State labeling, allergen, and regulatory compliance posture.</w:t>
            </w:r>
          </w:p>
          <w:p>
            <w:pPr>
              <w:spacing w:after="24" w:before="24"/>
              <w:ind w:left="680" w:hanging="397"/>
            </w:pPr>
            <w:r>
              <w:rPr>
                <w:rFonts w:ascii="Arial" w:cs="Arial" w:eastAsia="Arial" w:hAnsi="Arial"/>
                <w:color w:val="C8A86B"/>
                <w:sz w:val="17"/>
                <w:szCs w:val="17"/>
              </w:rPr>
              <w:t xml:space="preserve">- </w:t>
            </w:r>
            <w:r>
              <w:rPr>
                <w:rFonts w:ascii="Arial" w:cs="Arial" w:eastAsia="Arial" w:hAnsi="Arial"/>
                <w:b w:val="false"/>
                <w:bCs w:val="false"/>
                <w:color w:val="1A1A1A"/>
                <w:sz w:val="17"/>
                <w:szCs w:val="17"/>
              </w:rPr>
              <w:t xml:space="preserve">Whether allergen labeling complies with applicable jurisdiction requirements.</w:t>
            </w:r>
          </w:p>
          <w:p>
            <w:pPr>
              <w:spacing w:after="24" w:before="24"/>
              <w:ind w:left="680" w:hanging="397"/>
            </w:pPr>
            <w:r>
              <w:rPr>
                <w:rFonts w:ascii="Arial" w:cs="Arial" w:eastAsia="Arial" w:hAnsi="Arial"/>
                <w:color w:val="C8A86B"/>
                <w:sz w:val="17"/>
                <w:szCs w:val="17"/>
              </w:rPr>
              <w:t xml:space="preserve">- </w:t>
            </w:r>
            <w:r>
              <w:rPr>
                <w:rFonts w:ascii="Arial" w:cs="Arial" w:eastAsia="Arial" w:hAnsi="Arial"/>
                <w:b w:val="false"/>
                <w:bCs w:val="false"/>
                <w:color w:val="1A1A1A"/>
                <w:sz w:val="17"/>
                <w:szCs w:val="17"/>
              </w:rPr>
              <w:t xml:space="preserve">Whether calorie or nutritional labeling is required and in place.</w:t>
            </w:r>
          </w:p>
          <w:p>
            <w:pPr>
              <w:spacing w:after="24" w:before="24"/>
              <w:ind w:left="680" w:hanging="397"/>
            </w:pPr>
            <w:r>
              <w:rPr>
                <w:rFonts w:ascii="Arial" w:cs="Arial" w:eastAsia="Arial" w:hAnsi="Arial"/>
                <w:color w:val="C8A86B"/>
                <w:sz w:val="17"/>
                <w:szCs w:val="17"/>
              </w:rPr>
              <w:t xml:space="preserve">- </w:t>
            </w:r>
            <w:r>
              <w:rPr>
                <w:rFonts w:ascii="Arial" w:cs="Arial" w:eastAsia="Arial" w:hAnsi="Arial"/>
                <w:b w:val="false"/>
                <w:bCs w:val="false"/>
                <w:color w:val="1A1A1A"/>
                <w:sz w:val="17"/>
                <w:szCs w:val="17"/>
              </w:rPr>
              <w:t xml:space="preserve">Whether pending regulatory changes to food labeling or safety standards are tracked.</w:t>
            </w:r>
          </w:p>
          <w:p>
            <w:pPr>
              <w:spacing w:after="24" w:before="24"/>
              <w:ind w:left="680" w:hanging="397"/>
            </w:pPr>
            <w:r>
              <w:rPr>
                <w:rFonts w:ascii="Arial" w:cs="Arial" w:eastAsia="Arial" w:hAnsi="Arial"/>
                <w:color w:val="C8A86B"/>
                <w:sz w:val="17"/>
                <w:szCs w:val="17"/>
              </w:rPr>
              <w:t xml:space="preserve">- </w:t>
            </w:r>
            <w:r>
              <w:rPr>
                <w:rFonts w:ascii="Arial" w:cs="Arial" w:eastAsia="Arial" w:hAnsi="Arial"/>
                <w:b w:val="false"/>
                <w:bCs w:val="false"/>
                <w:color w:val="1A1A1A"/>
                <w:sz w:val="17"/>
                <w:szCs w:val="17"/>
              </w:rPr>
              <w:t xml:space="preserve">Named compliance officer or function responsible for regulatory monitoring.</w:t>
            </w:r>
          </w:p>
          <w:p>
            <w:pPr>
              <w:spacing w:after="0" w:before="60"/>
            </w:pPr>
            <w:r>
              <w:rPr>
                <w:rFonts w:ascii="Arial" w:cs="Arial" w:eastAsia="Arial" w:hAnsi="Arial"/>
                <w:b/>
                <w:bCs/>
                <w:i/>
                <w:iCs/>
                <w:color w:val="C8860A"/>
                <w:sz w:val="15"/>
                <w:szCs w:val="15"/>
              </w:rPr>
              <w:t xml:space="preserve">F&amp;B Module</w:t>
            </w:r>
          </w:p>
        </w:tc>
        <w:tc>
          <w:tcPr>
            <w:tcW w:type="dxa" w:w="5398"/>
            <w:tcBorders>
              <w:top w:val="single" w:color="CBD5E0" w:sz="1"/>
              <w:left w:val="single" w:color="CBD5E0" w:sz="1"/>
              <w:bottom w:val="single" w:color="CBD5E0" w:sz="1"/>
              <w:right w:val="single" w:color="CBD5E0" w:sz="1"/>
            </w:tcBorders>
            <w:shd w:fill="F7F7F7" w:val="clear"/>
            <w:tcMar>
              <w:top w:type="dxa" w:w="80"/>
              <w:left w:type="dxa" w:w="120"/>
              <w:bottom w:type="dxa" w:w="80"/>
              <w:right w:type="dxa" w:w="100"/>
            </w:tcMar>
            <w:vAlign w:val="top"/>
          </w:tcPr>
          <w:p>
            <w:pPr>
              <w:spacing w:after="0" w:before="0"/>
            </w:pPr>
            <w:r>
              <w:rPr>
                <w:rFonts w:ascii="Arial" w:cs="Arial" w:eastAsia="Arial" w:hAnsi="Arial"/>
                <w:b w:val="false"/>
                <w:bCs w:val="false"/>
                <w:i w:val="false"/>
                <w:iCs w:val="false"/>
                <w:color w:val="1A1A1A"/>
                <w:sz w:val="17"/>
                <w:szCs w:val="17"/>
              </w:rPr>
              <w:t xml:space="preserve"/>
            </w:r>
          </w:p>
          <w:p>
            <w:pPr>
              <w:spacing w:after="0" w:before="0"/>
            </w:pPr>
            <w:r>
              <w:rPr>
                <w:rFonts w:ascii="Arial" w:cs="Arial" w:eastAsia="Arial" w:hAnsi="Arial"/>
                <w:b w:val="false"/>
                <w:bCs w:val="false"/>
                <w:i w:val="false"/>
                <w:iCs w:val="false"/>
                <w:color w:val="1A1A1A"/>
                <w:sz w:val="17"/>
                <w:szCs w:val="17"/>
              </w:rPr>
              <w:t xml:space="preserve"/>
            </w:r>
          </w:p>
          <w:p>
            <w:pPr>
              <w:spacing w:after="0" w:before="0"/>
            </w:pPr>
            <w:r>
              <w:rPr>
                <w:rFonts w:ascii="Arial" w:cs="Arial" w:eastAsia="Arial" w:hAnsi="Arial"/>
                <w:b w:val="false"/>
                <w:bCs w:val="false"/>
                <w:i w:val="false"/>
                <w:iCs w:val="false"/>
                <w:color w:val="1A1A1A"/>
                <w:sz w:val="17"/>
                <w:szCs w:val="17"/>
              </w:rPr>
              <w:t xml:space="preserve"/>
            </w:r>
          </w:p>
        </w:tc>
      </w:tr>
    </w:tbl>
    <w:p>
      <w:pPr>
        <w:spacing w:after="0" w:before="200"/>
      </w:pPr>
      <w:r>
        <w:t xml:space="preserve"/>
      </w:r>
    </w:p>
    <w:p>
      <w:pPr>
        <w:pBdr>
          <w:bottom w:val="single" w:color="C8A86B" w:sz="8" w:space="3"/>
        </w:pBdr>
        <w:spacing w:after="0" w:before="260"/>
      </w:pPr>
      <w:r>
        <w:rPr>
          <w:rFonts w:ascii="Arial" w:cs="Arial" w:eastAsia="Arial" w:hAnsi="Arial"/>
          <w:b/>
          <w:bCs/>
          <w:color w:val="C8A86B"/>
          <w:sz w:val="21"/>
          <w:szCs w:val="21"/>
        </w:rPr>
        <w:t xml:space="preserve">F4.  </w:t>
      </w:r>
      <w:r>
        <w:rPr>
          <w:rFonts w:ascii="Arial" w:cs="Arial" w:eastAsia="Arial" w:hAnsi="Arial"/>
          <w:b/>
          <w:bCs/>
          <w:color w:val="C8860A"/>
          <w:sz w:val="21"/>
          <w:szCs w:val="21"/>
        </w:rPr>
        <w:t xml:space="preserve">BRAND VULNERABILITY &amp; REAL ESTATE EXPOSURE</w:t>
      </w:r>
    </w:p>
    <w:p>
      <w:pPr>
        <w:spacing w:after="100" w:before="60"/>
      </w:pPr>
      <w:r>
        <w:rPr>
          <w:rFonts w:ascii="Arial" w:cs="Arial" w:eastAsia="Arial" w:hAnsi="Arial"/>
          <w:b w:val="false"/>
          <w:bCs w:val="false"/>
          <w:i/>
          <w:iCs/>
          <w:color w:val="666666"/>
          <w:sz w:val="16"/>
          <w:szCs w:val="16"/>
        </w:rPr>
        <w:t xml:space="preserve">Feeds: Reputational Risk, Strategic Risk, Financial Risk.</w:t>
      </w:r>
    </w:p>
    <w:p>
      <w:pPr>
        <w:spacing w:after="0" w:before="80"/>
      </w:pPr>
      <w:r>
        <w:t xml:space="preserve"/>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9000"/>
        <w:gridCol w:w="5398"/>
      </w:tblGrid>
      <w:tr>
        <w:trPr>
          <w:tblHeader/>
        </w:trPr>
        <w:tc>
          <w:tcPr>
            <w:tcW w:type="dxa" w:w="1000"/>
            <w:tcBorders>
              <w:top w:val="single" w:color="12253A" w:sz="1"/>
              <w:left w:val="single" w:color="12253A" w:sz="1"/>
              <w:bottom w:val="single" w:color="12253A" w:sz="1"/>
              <w:right w:val="single" w:color="12253A" w:sz="1"/>
            </w:tcBorders>
            <w:shd w:fill="12253A" w:val="clear"/>
            <w:tcMar>
              <w:top w:type="dxa" w:w="80"/>
              <w:left w:type="dxa" w:w="100"/>
              <w:bottom w:type="dxa" w:w="80"/>
              <w:right w:type="dxa" w:w="100"/>
            </w:tcMar>
          </w:tcPr>
          <w:p>
            <w:pPr>
              <w:spacing w:after="0" w:before="0"/>
              <w:jc w:val="center"/>
            </w:pPr>
            <w:r>
              <w:rPr>
                <w:rFonts w:ascii="Arial" w:cs="Arial" w:eastAsia="Arial" w:hAnsi="Arial"/>
                <w:b/>
                <w:bCs/>
                <w:i w:val="false"/>
                <w:iCs w:val="false"/>
                <w:color w:val="FFFFFF"/>
                <w:sz w:val="17"/>
                <w:szCs w:val="17"/>
              </w:rPr>
              <w:t xml:space="preserve">Ref</w:t>
            </w:r>
          </w:p>
        </w:tc>
        <w:tc>
          <w:tcPr>
            <w:tcW w:type="dxa" w:w="9000"/>
            <w:tcBorders>
              <w:top w:val="single" w:color="12253A" w:sz="1"/>
              <w:left w:val="single" w:color="12253A" w:sz="1"/>
              <w:bottom w:val="single" w:color="12253A" w:sz="1"/>
              <w:right w:val="single" w:color="12253A" w:sz="1"/>
            </w:tcBorders>
            <w:shd w:fill="12253A" w:val="clear"/>
            <w:tcMar>
              <w:top w:type="dxa" w:w="80"/>
              <w:left w:type="dxa" w:w="100"/>
              <w:bottom w:type="dxa" w:w="80"/>
              <w:right w:type="dxa" w:w="100"/>
            </w:tcMar>
          </w:tcPr>
          <w:p>
            <w:pPr>
              <w:spacing w:after="0" w:before="0"/>
              <w:jc w:val="center"/>
            </w:pPr>
            <w:r>
              <w:rPr>
                <w:rFonts w:ascii="Arial" w:cs="Arial" w:eastAsia="Arial" w:hAnsi="Arial"/>
                <w:b/>
                <w:bCs/>
                <w:i w:val="false"/>
                <w:iCs w:val="false"/>
                <w:color w:val="FFFFFF"/>
                <w:sz w:val="17"/>
                <w:szCs w:val="17"/>
              </w:rPr>
              <w:t xml:space="preserve">Question</w:t>
            </w:r>
          </w:p>
        </w:tc>
        <w:tc>
          <w:tcPr>
            <w:tcW w:type="dxa" w:w="5398"/>
            <w:tcBorders>
              <w:top w:val="single" w:color="12253A" w:sz="1"/>
              <w:left w:val="single" w:color="12253A" w:sz="1"/>
              <w:bottom w:val="single" w:color="12253A" w:sz="1"/>
              <w:right w:val="single" w:color="12253A" w:sz="1"/>
            </w:tcBorders>
            <w:shd w:fill="12253A" w:val="clear"/>
            <w:tcMar>
              <w:top w:type="dxa" w:w="80"/>
              <w:left w:type="dxa" w:w="100"/>
              <w:bottom w:type="dxa" w:w="80"/>
              <w:right w:type="dxa" w:w="100"/>
            </w:tcMar>
          </w:tcPr>
          <w:p>
            <w:pPr>
              <w:spacing w:after="0" w:before="0"/>
              <w:jc w:val="center"/>
            </w:pPr>
            <w:r>
              <w:rPr>
                <w:rFonts w:ascii="Arial" w:cs="Arial" w:eastAsia="Arial" w:hAnsi="Arial"/>
                <w:b/>
                <w:bCs/>
                <w:i w:val="false"/>
                <w:iCs w:val="false"/>
                <w:color w:val="FFFFFF"/>
                <w:sz w:val="17"/>
                <w:szCs w:val="17"/>
              </w:rPr>
              <w:t xml:space="preserve">Response / Evidence</w:t>
            </w:r>
          </w:p>
        </w:tc>
      </w:tr>
      <w:tr>
        <w:tc>
          <w:tcPr>
            <w:tcW w:type="dxa" w:w="1000"/>
            <w:tcBorders>
              <w:top w:val="single" w:color="CBD5E0" w:sz="1"/>
              <w:left w:val="single" w:color="C8860A" w:sz="6"/>
              <w:bottom w:val="single" w:color="CBD5E0" w:sz="1"/>
              <w:right w:val="single" w:color="CBD5E0" w:sz="1"/>
            </w:tcBorders>
            <w:shd w:fill="2E4D7B" w:val="clear"/>
            <w:tcMar>
              <w:top w:type="dxa" w:w="80"/>
              <w:left w:type="dxa" w:w="80"/>
              <w:bottom w:type="dxa" w:w="80"/>
              <w:right w:type="dxa" w:w="80"/>
            </w:tcMar>
            <w:vAlign w:val="top"/>
          </w:tcPr>
          <w:p>
            <w:pPr>
              <w:spacing w:after="0" w:before="0"/>
              <w:jc w:val="center"/>
            </w:pPr>
            <w:r>
              <w:rPr>
                <w:rFonts w:ascii="Arial" w:cs="Arial" w:eastAsia="Arial" w:hAnsi="Arial"/>
                <w:b/>
                <w:bCs/>
                <w:i w:val="false"/>
                <w:iCs w:val="false"/>
                <w:color w:val="FFFFFF"/>
                <w:sz w:val="17"/>
                <w:szCs w:val="17"/>
              </w:rPr>
              <w:t xml:space="preserve">F4.1</w:t>
            </w:r>
          </w:p>
        </w:tc>
        <w:tc>
          <w:tcPr>
            <w:tcW w:type="dxa" w:w="9000"/>
            <w:tcBorders>
              <w:top w:val="single" w:color="CBD5E0" w:sz="1"/>
              <w:left w:val="single" w:color="C8860A" w:sz="2"/>
              <w:bottom w:val="single" w:color="CBD5E0" w:sz="1"/>
              <w:right w:val="single" w:color="CBD5E0" w:sz="1"/>
            </w:tcBorders>
            <w:shd w:fill="FEF3E2" w:val="clear"/>
            <w:tcMar>
              <w:top w:type="dxa" w:w="80"/>
              <w:left w:type="dxa" w:w="140"/>
              <w:bottom w:type="dxa" w:w="80"/>
              <w:right w:type="dxa" w:w="100"/>
            </w:tcMar>
            <w:vAlign w:val="top"/>
          </w:tcPr>
          <w:p>
            <w:pPr>
              <w:spacing w:after="48" w:before="0"/>
            </w:pPr>
            <w:r>
              <w:rPr>
                <w:rFonts w:ascii="Arial" w:cs="Arial" w:eastAsia="Arial" w:hAnsi="Arial"/>
                <w:b/>
                <w:bCs/>
                <w:i w:val="false"/>
                <w:iCs w:val="false"/>
                <w:color w:val="1B2A4A"/>
                <w:sz w:val="18"/>
                <w:szCs w:val="18"/>
              </w:rPr>
              <w:t xml:space="preserve">State brand vulnerability exposure.</w:t>
            </w:r>
          </w:p>
          <w:p>
            <w:pPr>
              <w:spacing w:after="24" w:before="24"/>
              <w:ind w:left="680" w:hanging="397"/>
            </w:pPr>
            <w:r>
              <w:rPr>
                <w:rFonts w:ascii="Arial" w:cs="Arial" w:eastAsia="Arial" w:hAnsi="Arial"/>
                <w:color w:val="C8A86B"/>
                <w:sz w:val="17"/>
                <w:szCs w:val="17"/>
              </w:rPr>
              <w:t xml:space="preserve">- </w:t>
            </w:r>
            <w:r>
              <w:rPr>
                <w:rFonts w:ascii="Arial" w:cs="Arial" w:eastAsia="Arial" w:hAnsi="Arial"/>
                <w:b w:val="false"/>
                <w:bCs w:val="false"/>
                <w:color w:val="1A1A1A"/>
                <w:sz w:val="17"/>
                <w:szCs w:val="17"/>
              </w:rPr>
              <w:t xml:space="preserve">Whether the brand has experienced a viral negative event in the last three years (social media, media, review platforms).</w:t>
            </w:r>
          </w:p>
          <w:p>
            <w:pPr>
              <w:spacing w:after="24" w:before="24"/>
              <w:ind w:left="680" w:hanging="397"/>
            </w:pPr>
            <w:r>
              <w:rPr>
                <w:rFonts w:ascii="Arial" w:cs="Arial" w:eastAsia="Arial" w:hAnsi="Arial"/>
                <w:color w:val="C8A86B"/>
                <w:sz w:val="17"/>
                <w:szCs w:val="17"/>
              </w:rPr>
              <w:t xml:space="preserve">- </w:t>
            </w:r>
            <w:r>
              <w:rPr>
                <w:rFonts w:ascii="Arial" w:cs="Arial" w:eastAsia="Arial" w:hAnsi="Arial"/>
                <w:b w:val="false"/>
                <w:bCs w:val="false"/>
                <w:color w:val="1A1A1A"/>
                <w:sz w:val="17"/>
                <w:szCs w:val="17"/>
              </w:rPr>
              <w:t xml:space="preserve">Whether a food safety or hygiene incident has resulted in public or media attention.</w:t>
            </w:r>
          </w:p>
          <w:p>
            <w:pPr>
              <w:spacing w:after="24" w:before="24"/>
              <w:ind w:left="680" w:hanging="397"/>
            </w:pPr>
            <w:r>
              <w:rPr>
                <w:rFonts w:ascii="Arial" w:cs="Arial" w:eastAsia="Arial" w:hAnsi="Arial"/>
                <w:color w:val="C8A86B"/>
                <w:sz w:val="17"/>
                <w:szCs w:val="17"/>
              </w:rPr>
              <w:t xml:space="preserve">- </w:t>
            </w:r>
            <w:r>
              <w:rPr>
                <w:rFonts w:ascii="Arial" w:cs="Arial" w:eastAsia="Arial" w:hAnsi="Arial"/>
                <w:b w:val="false"/>
                <w:bCs w:val="false"/>
                <w:color w:val="1A1A1A"/>
                <w:sz w:val="17"/>
                <w:szCs w:val="17"/>
              </w:rPr>
              <w:t xml:space="preserve">Whether the brand is consumer-facing to the extent that a single incident could affect multiple outlets.</w:t>
            </w:r>
          </w:p>
          <w:p>
            <w:pPr>
              <w:spacing w:after="24" w:before="24"/>
              <w:ind w:left="680" w:hanging="397"/>
            </w:pPr>
            <w:r>
              <w:rPr>
                <w:rFonts w:ascii="Arial" w:cs="Arial" w:eastAsia="Arial" w:hAnsi="Arial"/>
                <w:color w:val="C8A86B"/>
                <w:sz w:val="17"/>
                <w:szCs w:val="17"/>
              </w:rPr>
              <w:t xml:space="preserve">- </w:t>
            </w:r>
            <w:r>
              <w:rPr>
                <w:rFonts w:ascii="Arial" w:cs="Arial" w:eastAsia="Arial" w:hAnsi="Arial"/>
                <w:b w:val="false"/>
                <w:bCs w:val="false"/>
                <w:color w:val="1A1A1A"/>
                <w:sz w:val="17"/>
                <w:szCs w:val="17"/>
              </w:rPr>
              <w:t xml:space="preserve">Whether a crisis communications protocol exists and is tested.</w:t>
            </w:r>
          </w:p>
          <w:p>
            <w:pPr>
              <w:spacing w:after="0" w:before="60"/>
            </w:pPr>
            <w:r>
              <w:rPr>
                <w:rFonts w:ascii="Arial" w:cs="Arial" w:eastAsia="Arial" w:hAnsi="Arial"/>
                <w:b/>
                <w:bCs/>
                <w:i/>
                <w:iCs/>
                <w:color w:val="C8860A"/>
                <w:sz w:val="15"/>
                <w:szCs w:val="15"/>
              </w:rPr>
              <w:t xml:space="preserve">F&amp;B Module</w:t>
            </w:r>
          </w:p>
        </w:tc>
        <w:tc>
          <w:tcPr>
            <w:tcW w:type="dxa" w:w="5398"/>
            <w:tcBorders>
              <w:top w:val="single" w:color="CBD5E0" w:sz="1"/>
              <w:left w:val="single" w:color="CBD5E0" w:sz="1"/>
              <w:bottom w:val="single" w:color="CBD5E0" w:sz="1"/>
              <w:right w:val="single" w:color="CBD5E0" w:sz="1"/>
            </w:tcBorders>
            <w:shd w:fill="F7F7F7" w:val="clear"/>
            <w:tcMar>
              <w:top w:type="dxa" w:w="80"/>
              <w:left w:type="dxa" w:w="120"/>
              <w:bottom w:type="dxa" w:w="80"/>
              <w:right w:type="dxa" w:w="100"/>
            </w:tcMar>
            <w:vAlign w:val="top"/>
          </w:tcPr>
          <w:p>
            <w:pPr>
              <w:spacing w:after="0" w:before="0"/>
            </w:pPr>
            <w:r>
              <w:rPr>
                <w:rFonts w:ascii="Arial" w:cs="Arial" w:eastAsia="Arial" w:hAnsi="Arial"/>
                <w:b w:val="false"/>
                <w:bCs w:val="false"/>
                <w:i w:val="false"/>
                <w:iCs w:val="false"/>
                <w:color w:val="1A1A1A"/>
                <w:sz w:val="17"/>
                <w:szCs w:val="17"/>
              </w:rPr>
              <w:t xml:space="preserve"/>
            </w:r>
          </w:p>
          <w:p>
            <w:pPr>
              <w:spacing w:after="0" w:before="0"/>
            </w:pPr>
            <w:r>
              <w:rPr>
                <w:rFonts w:ascii="Arial" w:cs="Arial" w:eastAsia="Arial" w:hAnsi="Arial"/>
                <w:b w:val="false"/>
                <w:bCs w:val="false"/>
                <w:i w:val="false"/>
                <w:iCs w:val="false"/>
                <w:color w:val="1A1A1A"/>
                <w:sz w:val="17"/>
                <w:szCs w:val="17"/>
              </w:rPr>
              <w:t xml:space="preserve"/>
            </w:r>
          </w:p>
          <w:p>
            <w:pPr>
              <w:spacing w:after="0" w:before="0"/>
            </w:pPr>
            <w:r>
              <w:rPr>
                <w:rFonts w:ascii="Arial" w:cs="Arial" w:eastAsia="Arial" w:hAnsi="Arial"/>
                <w:b w:val="false"/>
                <w:bCs w:val="false"/>
                <w:i w:val="false"/>
                <w:iCs w:val="false"/>
                <w:color w:val="1A1A1A"/>
                <w:sz w:val="17"/>
                <w:szCs w:val="17"/>
              </w:rPr>
              <w:t xml:space="preserve"/>
            </w:r>
          </w:p>
        </w:tc>
      </w:tr>
      <w:tr>
        <w:tc>
          <w:tcPr>
            <w:tcW w:type="dxa" w:w="1000"/>
            <w:tcBorders>
              <w:top w:val="single" w:color="CBD5E0" w:sz="1"/>
              <w:left w:val="single" w:color="C8860A" w:sz="6"/>
              <w:bottom w:val="single" w:color="CBD5E0" w:sz="1"/>
              <w:right w:val="single" w:color="CBD5E0" w:sz="1"/>
            </w:tcBorders>
            <w:shd w:fill="2E4D7B" w:val="clear"/>
            <w:tcMar>
              <w:top w:type="dxa" w:w="80"/>
              <w:left w:type="dxa" w:w="80"/>
              <w:bottom w:type="dxa" w:w="80"/>
              <w:right w:type="dxa" w:w="80"/>
            </w:tcMar>
            <w:vAlign w:val="top"/>
          </w:tcPr>
          <w:p>
            <w:pPr>
              <w:spacing w:after="0" w:before="0"/>
              <w:jc w:val="center"/>
            </w:pPr>
            <w:r>
              <w:rPr>
                <w:rFonts w:ascii="Arial" w:cs="Arial" w:eastAsia="Arial" w:hAnsi="Arial"/>
                <w:b/>
                <w:bCs/>
                <w:i w:val="false"/>
                <w:iCs w:val="false"/>
                <w:color w:val="FFFFFF"/>
                <w:sz w:val="17"/>
                <w:szCs w:val="17"/>
              </w:rPr>
              <w:t xml:space="preserve">F4.2</w:t>
            </w:r>
          </w:p>
        </w:tc>
        <w:tc>
          <w:tcPr>
            <w:tcW w:type="dxa" w:w="9000"/>
            <w:tcBorders>
              <w:top w:val="single" w:color="CBD5E0" w:sz="1"/>
              <w:left w:val="single" w:color="C8860A" w:sz="2"/>
              <w:bottom w:val="single" w:color="CBD5E0" w:sz="1"/>
              <w:right w:val="single" w:color="CBD5E0" w:sz="1"/>
            </w:tcBorders>
            <w:shd w:fill="FEF3E2" w:val="clear"/>
            <w:tcMar>
              <w:top w:type="dxa" w:w="80"/>
              <w:left w:type="dxa" w:w="140"/>
              <w:bottom w:type="dxa" w:w="80"/>
              <w:right w:type="dxa" w:w="100"/>
            </w:tcMar>
            <w:vAlign w:val="top"/>
          </w:tcPr>
          <w:p>
            <w:pPr>
              <w:spacing w:after="48" w:before="0"/>
            </w:pPr>
            <w:r>
              <w:rPr>
                <w:rFonts w:ascii="Arial" w:cs="Arial" w:eastAsia="Arial" w:hAnsi="Arial"/>
                <w:b/>
                <w:bCs/>
                <w:i w:val="false"/>
                <w:iCs w:val="false"/>
                <w:color w:val="1B2A4A"/>
                <w:sz w:val="18"/>
                <w:szCs w:val="18"/>
              </w:rPr>
              <w:t xml:space="preserve">State real estate and lease exposure.</w:t>
            </w:r>
          </w:p>
          <w:p>
            <w:pPr>
              <w:spacing w:after="24" w:before="24"/>
              <w:ind w:left="680" w:hanging="397"/>
            </w:pPr>
            <w:r>
              <w:rPr>
                <w:rFonts w:ascii="Arial" w:cs="Arial" w:eastAsia="Arial" w:hAnsi="Arial"/>
                <w:color w:val="C8A86B"/>
                <w:sz w:val="17"/>
                <w:szCs w:val="17"/>
              </w:rPr>
              <w:t xml:space="preserve">- </w:t>
            </w:r>
            <w:r>
              <w:rPr>
                <w:rFonts w:ascii="Arial" w:cs="Arial" w:eastAsia="Arial" w:hAnsi="Arial"/>
                <w:b w:val="false"/>
                <w:bCs w:val="false"/>
                <w:color w:val="1A1A1A"/>
                <w:sz w:val="17"/>
                <w:szCs w:val="17"/>
              </w:rPr>
              <w:t xml:space="preserve">Total number of leased premises.</w:t>
            </w:r>
          </w:p>
          <w:p>
            <w:pPr>
              <w:spacing w:after="24" w:before="24"/>
              <w:ind w:left="680" w:hanging="397"/>
            </w:pPr>
            <w:r>
              <w:rPr>
                <w:rFonts w:ascii="Arial" w:cs="Arial" w:eastAsia="Arial" w:hAnsi="Arial"/>
                <w:color w:val="C8A86B"/>
                <w:sz w:val="17"/>
                <w:szCs w:val="17"/>
              </w:rPr>
              <w:t xml:space="preserve">- </w:t>
            </w:r>
            <w:r>
              <w:rPr>
                <w:rFonts w:ascii="Arial" w:cs="Arial" w:eastAsia="Arial" w:hAnsi="Arial"/>
                <w:b w:val="false"/>
                <w:bCs w:val="false"/>
                <w:color w:val="1A1A1A"/>
                <w:sz w:val="17"/>
                <w:szCs w:val="17"/>
              </w:rPr>
              <w:t xml:space="preserve">Lease expiry profile: number of leases expiring within 12 months, 24 months, and 36 months.</w:t>
            </w:r>
          </w:p>
          <w:p>
            <w:pPr>
              <w:spacing w:after="24" w:before="24"/>
              <w:ind w:left="680" w:hanging="397"/>
            </w:pPr>
            <w:r>
              <w:rPr>
                <w:rFonts w:ascii="Arial" w:cs="Arial" w:eastAsia="Arial" w:hAnsi="Arial"/>
                <w:color w:val="C8A86B"/>
                <w:sz w:val="17"/>
                <w:szCs w:val="17"/>
              </w:rPr>
              <w:t xml:space="preserve">- </w:t>
            </w:r>
            <w:r>
              <w:rPr>
                <w:rFonts w:ascii="Arial" w:cs="Arial" w:eastAsia="Arial" w:hAnsi="Arial"/>
                <w:b w:val="false"/>
                <w:bCs w:val="false"/>
                <w:color w:val="1A1A1A"/>
                <w:sz w:val="17"/>
                <w:szCs w:val="17"/>
              </w:rPr>
              <w:t xml:space="preserve">Whether any lease is in a location critical to brand visibility or revenue contribution.</w:t>
            </w:r>
          </w:p>
          <w:p>
            <w:pPr>
              <w:spacing w:after="24" w:before="24"/>
              <w:ind w:left="680" w:hanging="397"/>
            </w:pPr>
            <w:r>
              <w:rPr>
                <w:rFonts w:ascii="Arial" w:cs="Arial" w:eastAsia="Arial" w:hAnsi="Arial"/>
                <w:color w:val="C8A86B"/>
                <w:sz w:val="17"/>
                <w:szCs w:val="17"/>
              </w:rPr>
              <w:t xml:space="preserve">- </w:t>
            </w:r>
            <w:r>
              <w:rPr>
                <w:rFonts w:ascii="Arial" w:cs="Arial" w:eastAsia="Arial" w:hAnsi="Arial"/>
                <w:b w:val="false"/>
                <w:bCs w:val="false"/>
                <w:color w:val="1A1A1A"/>
                <w:sz w:val="17"/>
                <w:szCs w:val="17"/>
              </w:rPr>
              <w:t xml:space="preserve">Whether early termination clauses or landlord break rights create operational risk.</w:t>
            </w:r>
          </w:p>
          <w:p>
            <w:pPr>
              <w:spacing w:after="24" w:before="24"/>
              <w:ind w:left="680" w:hanging="397"/>
            </w:pPr>
            <w:r>
              <w:rPr>
                <w:rFonts w:ascii="Arial" w:cs="Arial" w:eastAsia="Arial" w:hAnsi="Arial"/>
                <w:color w:val="C8A86B"/>
                <w:sz w:val="17"/>
                <w:szCs w:val="17"/>
              </w:rPr>
              <w:t xml:space="preserve">- </w:t>
            </w:r>
            <w:r>
              <w:rPr>
                <w:rFonts w:ascii="Arial" w:cs="Arial" w:eastAsia="Arial" w:hAnsi="Arial"/>
                <w:b w:val="false"/>
                <w:bCs w:val="false"/>
                <w:color w:val="1A1A1A"/>
                <w:sz w:val="17"/>
                <w:szCs w:val="17"/>
              </w:rPr>
              <w:t xml:space="preserve">Total lease liability as a proportion of annual revenue.</w:t>
            </w:r>
          </w:p>
          <w:p>
            <w:pPr>
              <w:spacing w:after="0" w:before="60"/>
            </w:pPr>
            <w:r>
              <w:rPr>
                <w:rFonts w:ascii="Arial" w:cs="Arial" w:eastAsia="Arial" w:hAnsi="Arial"/>
                <w:b/>
                <w:bCs/>
                <w:i/>
                <w:iCs/>
                <w:color w:val="C8860A"/>
                <w:sz w:val="15"/>
                <w:szCs w:val="15"/>
              </w:rPr>
              <w:t xml:space="preserve">F&amp;B Module</w:t>
            </w:r>
          </w:p>
        </w:tc>
        <w:tc>
          <w:tcPr>
            <w:tcW w:type="dxa" w:w="5398"/>
            <w:tcBorders>
              <w:top w:val="single" w:color="CBD5E0" w:sz="1"/>
              <w:left w:val="single" w:color="CBD5E0" w:sz="1"/>
              <w:bottom w:val="single" w:color="CBD5E0" w:sz="1"/>
              <w:right w:val="single" w:color="CBD5E0" w:sz="1"/>
            </w:tcBorders>
            <w:shd w:fill="F7F7F7" w:val="clear"/>
            <w:tcMar>
              <w:top w:type="dxa" w:w="80"/>
              <w:left w:type="dxa" w:w="120"/>
              <w:bottom w:type="dxa" w:w="80"/>
              <w:right w:type="dxa" w:w="100"/>
            </w:tcMar>
            <w:vAlign w:val="top"/>
          </w:tcPr>
          <w:p>
            <w:pPr>
              <w:spacing w:after="0" w:before="0"/>
            </w:pPr>
            <w:r>
              <w:rPr>
                <w:rFonts w:ascii="Arial" w:cs="Arial" w:eastAsia="Arial" w:hAnsi="Arial"/>
                <w:b w:val="false"/>
                <w:bCs w:val="false"/>
                <w:i w:val="false"/>
                <w:iCs w:val="false"/>
                <w:color w:val="1A1A1A"/>
                <w:sz w:val="17"/>
                <w:szCs w:val="17"/>
              </w:rPr>
              <w:t xml:space="preserve"/>
            </w:r>
          </w:p>
          <w:p>
            <w:pPr>
              <w:spacing w:after="0" w:before="0"/>
            </w:pPr>
            <w:r>
              <w:rPr>
                <w:rFonts w:ascii="Arial" w:cs="Arial" w:eastAsia="Arial" w:hAnsi="Arial"/>
                <w:b w:val="false"/>
                <w:bCs w:val="false"/>
                <w:i w:val="false"/>
                <w:iCs w:val="false"/>
                <w:color w:val="1A1A1A"/>
                <w:sz w:val="17"/>
                <w:szCs w:val="17"/>
              </w:rPr>
              <w:t xml:space="preserve"/>
            </w:r>
          </w:p>
          <w:p>
            <w:pPr>
              <w:spacing w:after="0" w:before="0"/>
            </w:pPr>
            <w:r>
              <w:rPr>
                <w:rFonts w:ascii="Arial" w:cs="Arial" w:eastAsia="Arial" w:hAnsi="Arial"/>
                <w:b w:val="false"/>
                <w:bCs w:val="false"/>
                <w:i w:val="false"/>
                <w:iCs w:val="false"/>
                <w:color w:val="1A1A1A"/>
                <w:sz w:val="17"/>
                <w:szCs w:val="17"/>
              </w:rPr>
              <w:t xml:space="preserve"/>
            </w:r>
          </w:p>
        </w:tc>
      </w:tr>
    </w:tbl>
    <w:p>
      <w:pPr>
        <w:spacing w:after="0" w:before="240"/>
      </w:pPr>
      <w:r>
        <w:t xml:space="preserve"/>
      </w:r>
    </w:p>
    <w:sectPr>
      <w:headerReference w:type="default" r:id="rId7"/>
      <w:footerReference w:type="default" r:id="rId8"/>
      <w:pgSz w:w="11906" w:h="16838" w:orient="landscape"/>
      <w:pgMar w:top="720" w:right="720" w:bottom="9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0" w:sz="4" w:space="4"/>
      </w:pBdr>
      <w:spacing w:before="80"/>
      <w:jc w:val="center"/>
    </w:pPr>
    <w:r>
      <w:rPr>
        <w:rFonts w:ascii="Arial" w:cs="Arial" w:eastAsia="Arial" w:hAnsi="Arial"/>
        <w:b w:val="false"/>
        <w:bCs w:val="false"/>
        <w:i w:val="false"/>
        <w:iCs w:val="false"/>
        <w:color w:val="888888"/>
        <w:sz w:val="15"/>
        <w:szCs w:val="15"/>
      </w:rPr>
      <w:t xml:space="preserve">Corporate Risk &amp; Governance Advisory  |  F&amp;B Sector Module  |  Use with Core Questionnaire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86B" w:sz="6" w:space="4"/>
      </w:pBdr>
      <w:spacing w:after="80"/>
    </w:pPr>
    <w:r>
      <w:rPr>
        <w:rFonts w:ascii="Arial" w:cs="Arial" w:eastAsia="Arial" w:hAnsi="Arial"/>
        <w:b w:val="false"/>
        <w:bCs w:val="false"/>
        <w:i w:val="false"/>
        <w:iCs w:val="false"/>
        <w:color w:val="1B2A4A"/>
        <w:sz w:val="17"/>
        <w:szCs w:val="17"/>
      </w:rPr>
      <w:t xml:space="preserve">Pillar 1 - Sector Module  |  Food Chain / Multi-Branch F&amp;B</w:t>
    </w:r>
    <w:r>
      <w:rPr>
        <w:rFonts w:ascii="Arial" w:cs="Arial" w:eastAsia="Arial" w:hAnsi="Arial"/>
        <w:b/>
        <w:bCs/>
        <w:i w:val="false"/>
        <w:iCs w:val="false"/>
        <w:color w:val="C8A86B"/>
        <w:sz w:val="17"/>
        <w:szCs w:val="17"/>
      </w:rPr>
      <w:t xml:space="preserve">   |   Confidential - Supplement to Core Questionnaire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2026-04-14T10:53:19.529Z</dcterms:created>
  <dcterms:modified xsi:type="dcterms:W3CDTF">2026-04-14T10:53:19.529Z</dcterms:modified>
</cp:coreProperties>
</file>

<file path=docProps/custom.xml><?xml version="1.0" encoding="utf-8"?>
<Properties xmlns="http://schemas.openxmlformats.org/officeDocument/2006/custom-properties" xmlns:vt="http://schemas.openxmlformats.org/officeDocument/2006/docPropsVTypes"/>
</file>