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Questions - 260121TOEFL</w:t>
      </w:r>
    </w:p>
    <w:p>
      <w:pPr>
        <w:pStyle w:val="Heading2"/>
      </w:pPr>
      <w:r>
        <w:t>Question 03</w:t>
      </w:r>
    </w:p>
    <w:p>
      <w:r>
        <w:t>The Pinatubo Effect</w:t>
        <w:br/>
        <w:br/>
        <w:t>harvests. In fact, plants of the less-moist-than-usual Earth put on a distinct growth spurt in the aftermath of Pinatubo.</w:t>
        <w:br/>
        <w:br/>
        <w:t>The evidence for this comes from scientist Dave Keeling's records of the atmosphere's carbon dioxide level, begun in the late 1950s. Carbon dioxide level is an indicator of plant growth because plants obtain energy from sunlight via photosynthesis, a process that consumes carbon dioxide. From year to year, the carbon dioxide level always goes up because of the burning of fossil fuels, such as oil and coal, by humans. But within each year the level oscillates to the rhythm of the seasons. In the northern hemisphere’s autumn and winter, carbon dioxide goes up more steeply; in spring and summer it comes down. This is because in spring and summer the northern hemisphere’s plants (which vastly outnumber those of the southern hemisphere) are growing fast enough to outstrip, for a season, the steady outpouring of carbon dioxide from fossil fuels. In autumn and winter plants die and decay, and a fair chunk of the carbon dioxide taken up earlier in the year returns to the atmosphere, boosting the fossil-fuel effect. The two processes are not mutually exclusive—there are photosynthesis in the winter and decay in the summer—</w:t>
        <w:br/>
        <w:br/>
        <w:t>The word “steady” in the passage is closest in meaning to</w:t>
        <w:br/>
        <w:br/>
        <w:t>O significant</w:t>
        <w:br/>
        <w:t>O constant</w:t>
        <w:br/>
        <w:t>O usual</w:t>
        <w:br/>
        <w:t>O strong</w:t>
        <w:br/>
        <w:br/>
        <w:t>Underlined content:</w:t>
        <w:br/>
        <w:t>- steady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