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80"/>
        <w:jc w:val="center"/>
        <w:rPr/>
      </w:pPr>
      <w:r>
        <w:rPr>
          <w:rFonts w:eastAsia="Arial" w:cs="Arial"/>
          <w:b/>
          <w:bCs/>
          <w:color w:val="1F3864"/>
          <w:sz w:val="80"/>
          <w:szCs w:val="80"/>
        </w:rPr>
        <w:t>BMNR Deep Dive</w:t>
      </w:r>
    </w:p>
    <w:p>
      <w:pPr>
        <w:pStyle w:val="Normal"/>
        <w:spacing w:before="0" w:after="60"/>
        <w:jc w:val="center"/>
        <w:rPr/>
      </w:pPr>
      <w:r>
        <w:rPr>
          <w:rFonts w:eastAsia="Arial" w:cs="Arial"/>
          <w:color w:val="2E75B6"/>
          <w:sz w:val="36"/>
          <w:szCs w:val="36"/>
        </w:rPr>
        <w:t>Bitmine Immersion Technologies</w:t>
      </w:r>
    </w:p>
    <w:p>
      <w:pPr>
        <w:pStyle w:val="Normal"/>
        <w:spacing w:before="0" w:after="60"/>
        <w:jc w:val="center"/>
        <w:rPr/>
      </w:pPr>
      <w:r>
        <w:rPr>
          <w:rFonts w:eastAsia="Arial" w:cs="Arial"/>
          <w:color w:val="888888"/>
          <w:sz w:val="28"/>
          <w:szCs w:val="28"/>
        </w:rPr>
        <w:t>13 April 2026  —  v3: All Tailwinds</w:t>
      </w:r>
    </w:p>
    <w:p>
      <w:pPr>
        <w:pStyle w:val="Normal"/>
        <w:spacing w:before="0" w:after="200"/>
        <w:jc w:val="center"/>
        <w:rPr/>
      </w:pPr>
      <w:r>
        <w:rPr>
          <w:rFonts w:eastAsia="Arial" w:cs="Arial"/>
          <w:i/>
          <w:iCs/>
          <w:color w:val="888888"/>
          <w:sz w:val="22"/>
          <w:szCs w:val="22"/>
        </w:rPr>
        <w:t>ETH Treasury  ·  Tokenization  ·  AI Agents  ·  Restaking  ·  SWF  ·  SWIFT  ·  Three Forecast Tables</w:t>
      </w:r>
    </w:p>
    <w:p>
      <w:pPr>
        <w:pStyle w:val="Normal"/>
        <w:pBdr>
          <w:bottom w:val="single" w:sz="6" w:space="1" w:color="2E75B6"/>
        </w:pBdr>
        <w:spacing w:before="120" w:after="120"/>
        <w:rPr/>
      </w:pPr>
      <w:r>
        <w:rPr/>
      </w:r>
    </w:p>
    <w:p>
      <w:pPr>
        <w:pStyle w:val="Normal"/>
        <w:spacing w:before="60" w:after="60"/>
        <w:rPr/>
      </w:pPr>
      <w:r>
        <w:rPr>
          <w:rFonts w:eastAsia="Arial" w:cs="Arial"/>
          <w:i/>
          <w:iCs/>
          <w:color w:val="777777"/>
          <w:sz w:val="18"/>
          <w:szCs w:val="18"/>
        </w:rPr>
        <w:t>Disclaimer: For informational purposes only. Not investment advice. All forecasts are speculative projections. Cryptocurrency markets are highly volatile.</w:t>
      </w:r>
    </w:p>
    <w:p>
      <w:pPr>
        <w:pStyle w:val="Normal"/>
        <w:spacing w:before="60" w:after="60"/>
        <w:rPr/>
      </w:pPr>
      <w:r>
        <w:rPr>
          <w:rFonts w:eastAsia="Arial" w:cs="Arial"/>
          <w:i/>
          <w:iCs/>
          <w:color w:val="777777"/>
          <w:sz w:val="18"/>
          <w:szCs w:val="18"/>
        </w:rPr>
        <w:t>v3 adds 8 new tailwinds (Restaking, Glamsterdam, ETH as wartime store of value, Sovereign Wealth Funds, Fed rate cuts, Schwab direct ETH, DePIN, SWIFT migration) and presents three separate forecast tables: (A) Section 7 confirmed tailwinds only, (B) Section 7 + ORBS + Beast, (C) All tailwinds combined.</w:t>
      </w:r>
    </w:p>
    <w:p>
      <w:pPr>
        <w:pStyle w:val="Normal"/>
        <w:rPr/>
      </w:pPr>
      <w:r>
        <w:rPr/>
      </w:r>
      <w:r>
        <w:br w:type="page"/>
      </w:r>
    </w:p>
    <w:p>
      <w:pPr>
        <w:pStyle w:val="Heading1"/>
        <w:spacing w:before="0" w:after="120"/>
        <w:rPr/>
      </w:pPr>
      <w:r>
        <w:rPr>
          <w:rFonts w:eastAsia="Arial" w:cs="Arial" w:ascii="Arial" w:hAnsi="Arial"/>
          <w:b/>
          <w:bCs/>
          <w:color w:val="1F3864"/>
          <w:sz w:val="36"/>
          <w:szCs w:val="36"/>
        </w:rPr>
        <w:t>1.  Company Overview</w:t>
      </w:r>
    </w:p>
    <w:p>
      <w:pPr>
        <w:pStyle w:val="Normal"/>
        <w:spacing w:before="60" w:after="80"/>
        <w:rPr/>
      </w:pPr>
      <w:r>
        <w:rPr>
          <w:rFonts w:eastAsia="Arial" w:cs="Arial"/>
          <w:sz w:val="20"/>
          <w:szCs w:val="20"/>
        </w:rPr>
        <w:t>Bitmine Immersion Technologies (NYSE: BMNR) is the world's largest corporate holder of Ethereum (ETH), holding approximately 4.8 million ETH — roughly 3.98% of total ETH supply. Chairman: Tom Lee (Fundstrat). Key backers: ARK Invest, Founders Fund, Pantera, Galaxy Digital, Kraken, DCG. Uplisted to NYSE April 9, 2026. Top 100 most-traded US stocks by daily volume (~$1B/day).</w:t>
      </w:r>
    </w:p>
    <w:p>
      <w:pPr>
        <w:pStyle w:val="Normal"/>
        <w:spacing w:before="40" w:after="40"/>
        <w:rPr/>
      </w:pPr>
      <w:r>
        <w:rPr/>
      </w:r>
    </w:p>
    <w:p>
      <w:pPr>
        <w:pStyle w:val="Heading2"/>
        <w:spacing w:before="280" w:after="80"/>
        <w:rPr/>
      </w:pPr>
      <w:r>
        <w:rPr>
          <w:rFonts w:eastAsia="Arial" w:cs="Arial" w:ascii="Arial" w:hAnsi="Arial"/>
          <w:b/>
          <w:bCs/>
          <w:color w:val="2E75B6"/>
          <w:sz w:val="28"/>
          <w:szCs w:val="28"/>
        </w:rPr>
        <w:t>1.1  Current Holdings (April 2026)</w:t>
      </w:r>
    </w:p>
    <w:tbl>
      <w:tblPr>
        <w:tblW w:w="9360" w:type="dxa"/>
        <w:jc w:val="left"/>
        <w:tblInd w:w="0" w:type="dxa"/>
        <w:tblLayout w:type="fixed"/>
        <w:tblCellMar>
          <w:top w:w="80" w:type="dxa"/>
          <w:left w:w="100" w:type="dxa"/>
          <w:bottom w:w="80" w:type="dxa"/>
          <w:right w:w="100" w:type="dxa"/>
        </w:tblCellMar>
      </w:tblPr>
      <w:tblGrid>
        <w:gridCol w:w="1799"/>
        <w:gridCol w:w="1901"/>
        <w:gridCol w:w="1900"/>
        <w:gridCol w:w="3759"/>
      </w:tblGrid>
      <w:tr>
        <w:trPr>
          <w:tblHeader w:val="true"/>
        </w:trPr>
        <w:tc>
          <w:tcPr>
            <w:tcW w:w="17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Asset</w:t>
            </w:r>
          </w:p>
        </w:tc>
        <w:tc>
          <w:tcPr>
            <w:tcW w:w="19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Holdings</w:t>
            </w:r>
          </w:p>
        </w:tc>
        <w:tc>
          <w:tcPr>
            <w:tcW w:w="19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Value (Apr 2026)</w:t>
            </w:r>
          </w:p>
        </w:tc>
        <w:tc>
          <w:tcPr>
            <w:tcW w:w="37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Notes</w:t>
            </w:r>
          </w:p>
        </w:tc>
      </w:tr>
      <w:tr>
        <w:trPr/>
        <w:tc>
          <w:tcPr>
            <w:tcW w:w="17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Treasury</w:t>
            </w:r>
          </w:p>
        </w:tc>
        <w:tc>
          <w:tcPr>
            <w:tcW w:w="1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4,803,334 ETH</w:t>
            </w:r>
          </w:p>
        </w:tc>
        <w:tc>
          <w:tcPr>
            <w:tcW w:w="1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$10.2B @ $2,123</w:t>
            </w:r>
          </w:p>
        </w:tc>
        <w:tc>
          <w:tcPr>
            <w:tcW w:w="3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3.98% of supply; 3.33M staked via MAVAN; $196M annualized staking yield</w:t>
            </w:r>
          </w:p>
        </w:tc>
      </w:tr>
      <w:tr>
        <w:trPr/>
        <w:tc>
          <w:tcPr>
            <w:tcW w:w="17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Bitcoin (BTC)</w:t>
            </w:r>
          </w:p>
        </w:tc>
        <w:tc>
          <w:tcPr>
            <w:tcW w:w="1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199 BTC</w:t>
            </w:r>
          </w:p>
        </w:tc>
        <w:tc>
          <w:tcPr>
            <w:tcW w:w="1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~$14M</w:t>
            </w:r>
          </w:p>
        </w:tc>
        <w:tc>
          <w:tcPr>
            <w:tcW w:w="37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Secondary treasury position</w:t>
            </w:r>
          </w:p>
        </w:tc>
      </w:tr>
      <w:tr>
        <w:trPr/>
        <w:tc>
          <w:tcPr>
            <w:tcW w:w="17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Beast Industries</w:t>
            </w:r>
          </w:p>
        </w:tc>
        <w:tc>
          <w:tcPr>
            <w:tcW w:w="1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Direct equity</w:t>
            </w:r>
          </w:p>
        </w:tc>
        <w:tc>
          <w:tcPr>
            <w:tcW w:w="1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$200M book</w:t>
            </w:r>
          </w:p>
        </w:tc>
        <w:tc>
          <w:tcPr>
            <w:tcW w:w="3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MrBeast holding co.; MrBeast Financial DeFi; 450M+ audience</w:t>
            </w:r>
          </w:p>
        </w:tc>
      </w:tr>
      <w:tr>
        <w:trPr/>
        <w:tc>
          <w:tcPr>
            <w:tcW w:w="17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Eightco (ORBS)</w:t>
            </w:r>
          </w:p>
        </w:tc>
        <w:tc>
          <w:tcPr>
            <w:tcW w:w="1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Equity stake</w:t>
            </w:r>
          </w:p>
        </w:tc>
        <w:tc>
          <w:tcPr>
            <w:tcW w:w="1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$107M book (Apr 2026)</w:t>
            </w:r>
          </w:p>
        </w:tc>
        <w:tc>
          <w:tcPr>
            <w:tcW w:w="37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Only public equity with OpenAI exposure (~$90M preferred); also holds ~$25M Beast</w:t>
            </w:r>
          </w:p>
        </w:tc>
      </w:tr>
      <w:tr>
        <w:trPr/>
        <w:tc>
          <w:tcPr>
            <w:tcW w:w="17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Cash</w:t>
            </w:r>
          </w:p>
        </w:tc>
        <w:tc>
          <w:tcPr>
            <w:tcW w:w="1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1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$864M</w:t>
            </w:r>
          </w:p>
        </w:tc>
        <w:tc>
          <w:tcPr>
            <w:tcW w:w="3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Being deployed into ETH acquisitions</w:t>
            </w:r>
          </w:p>
        </w:tc>
      </w:tr>
      <w:tr>
        <w:trPr/>
        <w:tc>
          <w:tcPr>
            <w:tcW w:w="17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Total NAV</w:t>
            </w:r>
          </w:p>
        </w:tc>
        <w:tc>
          <w:tcPr>
            <w:tcW w:w="1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1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~$11.97B</w:t>
            </w:r>
          </w:p>
        </w:tc>
        <w:tc>
          <w:tcPr>
            <w:tcW w:w="37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Market cap ~$9.9B = ~0.78x mNAV (discount to NAV)</w:t>
            </w:r>
          </w:p>
        </w:tc>
      </w:tr>
    </w:tbl>
    <w:p>
      <w:pPr>
        <w:pStyle w:val="Normal"/>
        <w:spacing w:before="40" w:after="40"/>
        <w:rPr/>
      </w:pPr>
      <w:r>
        <w:rPr/>
      </w:r>
    </w:p>
    <w:p>
      <w:pPr>
        <w:pStyle w:val="Normal"/>
        <w:spacing w:before="60" w:after="60"/>
        <w:rPr/>
      </w:pPr>
      <w:r>
        <w:rPr>
          <w:rFonts w:eastAsia="Arial" w:cs="Arial"/>
          <w:i/>
          <w:iCs/>
          <w:color w:val="777777"/>
          <w:sz w:val="18"/>
          <w:szCs w:val="18"/>
        </w:rPr>
        <w:t>Source: Bitmine SEC 8-K filings. BMNR trades at ~0.78x mNAV — at a discount to underlying asset value.</w:t>
      </w:r>
    </w:p>
    <w:p>
      <w:pPr>
        <w:pStyle w:val="Normal"/>
        <w:spacing w:before="40" w:after="40"/>
        <w:rPr/>
      </w:pPr>
      <w:r>
        <w:rPr/>
      </w:r>
    </w:p>
    <w:p>
      <w:pPr>
        <w:pStyle w:val="Heading2"/>
        <w:spacing w:before="280" w:after="80"/>
        <w:rPr/>
      </w:pPr>
      <w:r>
        <w:rPr>
          <w:rFonts w:eastAsia="Arial" w:cs="Arial" w:ascii="Arial" w:hAnsi="Arial"/>
          <w:b/>
          <w:bCs/>
          <w:color w:val="2E75B6"/>
          <w:sz w:val="28"/>
          <w:szCs w:val="28"/>
        </w:rPr>
        <w:t>1.2  The 'Alchemy of 5%' Strategy</w:t>
      </w:r>
    </w:p>
    <w:p>
      <w:pPr>
        <w:pStyle w:val="Normal"/>
        <w:spacing w:before="60" w:after="80"/>
        <w:rPr/>
      </w:pPr>
      <w:r>
        <w:rPr>
          <w:rFonts w:eastAsia="Arial" w:cs="Arial"/>
          <w:sz w:val="20"/>
          <w:szCs w:val="20"/>
        </w:rPr>
        <w:t>Bitmine's goal: accumulate 5% of total ETH supply (~6.03M ETH). Currently at 3.98% — 79.6% of way there. Policy: equity only issued at premium to mNAV. Charter requires 50.1% shareholder vote for authorized share increases — structural anti-dilution protection.</w:t>
      </w:r>
    </w:p>
    <w:p>
      <w:pPr>
        <w:pStyle w:val="Normal"/>
        <w:rPr/>
      </w:pPr>
      <w:r>
        <w:rPr/>
      </w:r>
      <w:r>
        <w:br w:type="page"/>
      </w:r>
    </w:p>
    <w:p>
      <w:pPr>
        <w:pStyle w:val="Heading1"/>
        <w:spacing w:before="0" w:after="120"/>
        <w:rPr/>
      </w:pPr>
      <w:r>
        <w:rPr>
          <w:rFonts w:eastAsia="Arial" w:cs="Arial" w:ascii="Arial" w:hAnsi="Arial"/>
          <w:b/>
          <w:bCs/>
          <w:color w:val="1F3864"/>
          <w:sz w:val="36"/>
          <w:szCs w:val="36"/>
        </w:rPr>
        <w:t>2.  Regulatory Tailwinds</w:t>
      </w:r>
    </w:p>
    <w:p>
      <w:pPr>
        <w:pStyle w:val="Heading2"/>
        <w:spacing w:before="280" w:after="80"/>
        <w:rPr/>
      </w:pPr>
      <w:r>
        <w:rPr>
          <w:rFonts w:eastAsia="Arial" w:cs="Arial" w:ascii="Arial" w:hAnsi="Arial"/>
          <w:b/>
          <w:bCs/>
          <w:color w:val="2E75B6"/>
          <w:sz w:val="28"/>
          <w:szCs w:val="28"/>
        </w:rPr>
        <w:t>2.1  GENIUS Act (Signed July 2025)</w:t>
      </w:r>
    </w:p>
    <w:p>
      <w:pPr>
        <w:pStyle w:val="Normal"/>
        <w:spacing w:before="60" w:after="80"/>
        <w:rPr/>
      </w:pPr>
      <w:r>
        <w:rPr>
          <w:rFonts w:eastAsia="Arial" w:cs="Arial"/>
          <w:sz w:val="20"/>
          <w:szCs w:val="20"/>
        </w:rPr>
        <w:t>Federal stablecoin framework. ETH hosts ~60% of all stablecoins (~$163B+). More institutional stablecoins = more ETH burned as gas. JPMorgan, Bank of America and nine other global banks now pursuing stablecoin launches on G7 currencies using Ethereum rails.</w:t>
      </w:r>
    </w:p>
    <w:p>
      <w:pPr>
        <w:pStyle w:val="Normal"/>
        <w:spacing w:before="40" w:after="40"/>
        <w:rPr/>
      </w:pPr>
      <w:r>
        <w:rPr/>
      </w:r>
    </w:p>
    <w:p>
      <w:pPr>
        <w:pStyle w:val="Heading2"/>
        <w:spacing w:before="280" w:after="80"/>
        <w:rPr/>
      </w:pPr>
      <w:r>
        <w:rPr>
          <w:rFonts w:eastAsia="Arial" w:cs="Arial" w:ascii="Arial" w:hAnsi="Arial"/>
          <w:b/>
          <w:bCs/>
          <w:color w:val="2E75B6"/>
          <w:sz w:val="28"/>
          <w:szCs w:val="28"/>
        </w:rPr>
        <w:t>2.2  CLARITY Act (Senate — April 2026)</w:t>
      </w:r>
    </w:p>
    <w:p>
      <w:pPr>
        <w:pStyle w:val="Normal"/>
        <w:spacing w:before="60" w:after="80"/>
        <w:rPr/>
      </w:pPr>
      <w:r>
        <w:rPr>
          <w:rFonts w:eastAsia="Arial" w:cs="Arial"/>
          <w:sz w:val="20"/>
          <w:szCs w:val="20"/>
        </w:rPr>
        <w:t>Passed House 294–134 in July 2025. Senate Banking Committee markup targeted late April 2026 — Senate returned from Easter recess April 13. Permanently codifies ETH as a 'digital commodity' under CFTC. DeFi developer carve-out (Section 309). Unlocks pension/endowment allocation ($40T total US pension assets). Polymarket odds: 63–66% chance 2026 signing.</w:t>
      </w:r>
    </w:p>
    <w:p>
      <w:pPr>
        <w:pStyle w:val="ListParagraph"/>
        <w:numPr>
          <w:ilvl w:val="0"/>
          <w:numId w:val="4"/>
        </w:numPr>
        <w:spacing w:before="40" w:after="40"/>
        <w:rPr/>
      </w:pPr>
      <w:r>
        <w:rPr>
          <w:rFonts w:eastAsia="Arial" w:cs="Arial"/>
          <w:sz w:val="20"/>
          <w:szCs w:val="20"/>
        </w:rPr>
        <w:t>Stablecoin yield provision — critical new development (March 23, 2026): The Senate Banking Committee draft bans platforms from offering yield or interest for simply holding stablecoins — prohibiting any rewards 'economically or functionally equivalent to bank interest.' This is not a minor technical detail. The GENIUS Act already banned stablecoin issuers from paying yield directly; the CLARITY Act closes the gap by banning platforms and exchanges from paying yield on stablecoins they distribute.</w:t>
      </w:r>
    </w:p>
    <w:p>
      <w:pPr>
        <w:pStyle w:val="ListParagraph"/>
        <w:numPr>
          <w:ilvl w:val="0"/>
          <w:numId w:val="1"/>
        </w:numPr>
        <w:spacing w:before="40" w:after="40"/>
        <w:rPr/>
      </w:pPr>
      <w:r>
        <w:rPr>
          <w:rFonts w:eastAsia="Arial" w:cs="Arial"/>
          <w:sz w:val="20"/>
          <w:szCs w:val="20"/>
        </w:rPr>
        <w:t>Market reaction: Circle (CRCL) fell 20% on March 24 — its worst single-day drop on record. Coinbase dropped ~10%. Coinbase generated $1.35B in stablecoin revenue in 2025 (19.6% of total net revenue) — the March 23 text directly targets this revenue model.</w:t>
      </w:r>
    </w:p>
    <w:p>
      <w:pPr>
        <w:pStyle w:val="ListParagraph"/>
        <w:numPr>
          <w:ilvl w:val="0"/>
          <w:numId w:val="1"/>
        </w:numPr>
        <w:spacing w:before="40" w:after="40"/>
        <w:rPr/>
      </w:pPr>
      <w:r>
        <w:rPr>
          <w:rFonts w:eastAsia="Arial" w:cs="Arial"/>
          <w:sz w:val="20"/>
          <w:szCs w:val="20"/>
        </w:rPr>
        <w:t>Compromise language: A narrow carve-out allows activity-linked rewards (for using stablecoins in transactions) but not balance-based yield (for simply holding). The crypto industry has called this 'overly narrow and unclear.' The stablecoin yield dispute is one of the primary reasons the CLARITY Act has stalled in the Senate and remains unresolved entering April markup.</w:t>
      </w:r>
    </w:p>
    <w:p>
      <w:pPr>
        <w:pStyle w:val="ListParagraph"/>
        <w:numPr>
          <w:ilvl w:val="0"/>
          <w:numId w:val="1"/>
        </w:numPr>
        <w:spacing w:before="40" w:after="40"/>
        <w:rPr/>
      </w:pPr>
      <w:r>
        <w:rPr>
          <w:rFonts w:eastAsia="Arial" w:cs="Arial"/>
          <w:sz w:val="20"/>
          <w:szCs w:val="20"/>
        </w:rPr>
        <w:t>Polymarket odds: 63–66% for 2026 signing. If bill stalls past May = likely 2027 delay. Senator Bernie Moreno warned the May deadline is firm. For the full BMNR share price impact of CLARITY Act failure, see Table E (Section 9.5): base case share prices are 70–78% lower across all years without CLARITY, driven by simultaneous ETH price compression (no SWF/pension demand) and mNAV compression (no institutional premium). CLARITY Act passage is the single most important binary variable in the entire BMNR investment thesis.</w:t>
      </w:r>
    </w:p>
    <w:p>
      <w:pPr>
        <w:pStyle w:val="Normal"/>
        <w:rPr/>
      </w:pPr>
      <w:r>
        <w:rPr/>
      </w:r>
      <w:r>
        <w:br w:type="page"/>
      </w:r>
    </w:p>
    <w:p>
      <w:pPr>
        <w:pStyle w:val="Heading1"/>
        <w:spacing w:before="0" w:after="120"/>
        <w:rPr/>
      </w:pPr>
      <w:r>
        <w:rPr>
          <w:rFonts w:eastAsia="Arial" w:cs="Arial" w:ascii="Arial" w:hAnsi="Arial"/>
          <w:b/>
          <w:bCs/>
          <w:color w:val="1F3864"/>
          <w:sz w:val="36"/>
          <w:szCs w:val="36"/>
        </w:rPr>
        <w:t>3.  RWA Tokenization</w:t>
      </w:r>
    </w:p>
    <w:p>
      <w:pPr>
        <w:pStyle w:val="Heading2"/>
        <w:spacing w:before="280" w:after="80"/>
        <w:rPr/>
      </w:pPr>
      <w:r>
        <w:rPr>
          <w:rFonts w:eastAsia="Arial" w:cs="Arial" w:ascii="Arial" w:hAnsi="Arial"/>
          <w:b/>
          <w:bCs/>
          <w:color w:val="2E75B6"/>
          <w:sz w:val="28"/>
          <w:szCs w:val="28"/>
        </w:rPr>
        <w:t>3.1  How It Works on Ethereum</w:t>
      </w:r>
    </w:p>
    <w:p>
      <w:pPr>
        <w:pStyle w:val="ListParagraph"/>
        <w:numPr>
          <w:ilvl w:val="0"/>
          <w:numId w:val="5"/>
        </w:numPr>
        <w:spacing w:before="40" w:after="40"/>
        <w:rPr/>
      </w:pPr>
      <w:r>
        <w:rPr>
          <w:rFonts w:eastAsia="Arial" w:cs="Arial"/>
          <w:sz w:val="20"/>
          <w:szCs w:val="20"/>
        </w:rPr>
        <w:t>Legal layer: SPV or trust holds the underlying asset and issues token claims</w:t>
      </w:r>
    </w:p>
    <w:p>
      <w:pPr>
        <w:pStyle w:val="ListParagraph"/>
        <w:numPr>
          <w:ilvl w:val="0"/>
          <w:numId w:val="2"/>
        </w:numPr>
        <w:spacing w:before="40" w:after="40"/>
        <w:rPr/>
      </w:pPr>
      <w:r>
        <w:rPr>
          <w:rFonts w:eastAsia="Arial" w:cs="Arial"/>
          <w:sz w:val="20"/>
          <w:szCs w:val="20"/>
        </w:rPr>
        <w:t>Smart contract layer: ERC-20/ERC-3643 token on Ethereum governs ownership, compliance, yield distribution automatically</w:t>
      </w:r>
    </w:p>
    <w:p>
      <w:pPr>
        <w:pStyle w:val="ListParagraph"/>
        <w:numPr>
          <w:ilvl w:val="0"/>
          <w:numId w:val="2"/>
        </w:numPr>
        <w:spacing w:before="40" w:after="40"/>
        <w:rPr/>
      </w:pPr>
      <w:r>
        <w:rPr>
          <w:rFonts w:eastAsia="Arial" w:cs="Arial"/>
          <w:sz w:val="20"/>
          <w:szCs w:val="20"/>
        </w:rPr>
        <w:t>Settlement layer: Institutions, retail, DeFi protocols, and AI agents trade 24/7 with atomic settlement</w:t>
      </w:r>
    </w:p>
    <w:p>
      <w:pPr>
        <w:pStyle w:val="Normal"/>
        <w:spacing w:before="40" w:after="40"/>
        <w:rPr/>
      </w:pPr>
      <w:r>
        <w:rPr/>
      </w:r>
    </w:p>
    <w:p>
      <w:pPr>
        <w:pStyle w:val="Normal"/>
        <w:spacing w:before="60" w:after="80"/>
        <w:rPr/>
      </w:pPr>
      <w:r>
        <w:rPr>
          <w:rFonts w:eastAsia="Arial" w:cs="Arial"/>
          <w:sz w:val="20"/>
          <w:szCs w:val="20"/>
        </w:rPr>
        <w:t>Every transaction burns ETH as gas via EIP-1559 — more RWA + agent activity = more ETH burned = deflationary supply pressure.</w:t>
      </w:r>
    </w:p>
    <w:p>
      <w:pPr>
        <w:pStyle w:val="Normal"/>
        <w:spacing w:before="40" w:after="40"/>
        <w:rPr/>
      </w:pPr>
      <w:r>
        <w:rPr/>
      </w:r>
    </w:p>
    <w:p>
      <w:pPr>
        <w:pStyle w:val="Heading2"/>
        <w:spacing w:before="280" w:after="80"/>
        <w:rPr/>
      </w:pPr>
      <w:r>
        <w:rPr>
          <w:rFonts w:eastAsia="Arial" w:cs="Arial" w:ascii="Arial" w:hAnsi="Arial"/>
          <w:b/>
          <w:bCs/>
          <w:color w:val="2E75B6"/>
          <w:sz w:val="28"/>
          <w:szCs w:val="28"/>
        </w:rPr>
        <w:t>3.2  Tokenization Stack</w:t>
      </w:r>
    </w:p>
    <w:p>
      <w:pPr>
        <w:pStyle w:val="Normal"/>
        <w:spacing w:before="120" w:after="120"/>
        <w:jc w:val="center"/>
        <w:rPr/>
      </w:pPr>
      <w:r>
        <w:rPr/>
        <w:drawing>
          <wp:inline distT="0" distB="0" distL="0" distR="0">
            <wp:extent cx="5715000" cy="43719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4371975"/>
                    </a:xfrm>
                    <a:prstGeom prst="rect">
                      <a:avLst/>
                    </a:prstGeom>
                  </pic:spPr>
                </pic:pic>
              </a:graphicData>
            </a:graphic>
          </wp:inline>
        </w:drawing>
      </w:r>
    </w:p>
    <w:p>
      <w:pPr>
        <w:pStyle w:val="Normal"/>
        <w:spacing w:before="60" w:after="60"/>
        <w:rPr/>
      </w:pPr>
      <w:r>
        <w:rPr>
          <w:rFonts w:eastAsia="Arial" w:cs="Arial"/>
          <w:i/>
          <w:iCs/>
          <w:color w:val="777777"/>
          <w:sz w:val="18"/>
          <w:szCs w:val="18"/>
        </w:rPr>
        <w:t>Four-layer tokenization stack. AI Agents appear as fourth token holder category — new in v3 alongside Institutions, Retail, and DeFi Protocols.</w:t>
      </w:r>
    </w:p>
    <w:p>
      <w:pPr>
        <w:pStyle w:val="Normal"/>
        <w:spacing w:before="40" w:after="40"/>
        <w:rPr/>
      </w:pPr>
      <w:r>
        <w:rPr/>
      </w:r>
    </w:p>
    <w:p>
      <w:pPr>
        <w:pStyle w:val="Heading2"/>
        <w:spacing w:before="280" w:after="80"/>
        <w:rPr/>
      </w:pPr>
      <w:r>
        <w:rPr>
          <w:rFonts w:eastAsia="Arial" w:cs="Arial" w:ascii="Arial" w:hAnsi="Arial"/>
          <w:b/>
          <w:bCs/>
          <w:color w:val="2E75B6"/>
          <w:sz w:val="28"/>
          <w:szCs w:val="28"/>
        </w:rPr>
        <w:t>3.3  Current Scale &amp; Peak Prediction</w:t>
      </w:r>
    </w:p>
    <w:p>
      <w:pPr>
        <w:pStyle w:val="Normal"/>
        <w:spacing w:before="60" w:after="80"/>
        <w:rPr/>
      </w:pPr>
      <w:r>
        <w:rPr>
          <w:rFonts w:eastAsia="Arial" w:cs="Arial"/>
          <w:sz w:val="20"/>
          <w:szCs w:val="20"/>
        </w:rPr>
        <w:t>Tokenized RWA market (excl. stablecoins): $27.6B in April 2026, up ~300% year-on-year. Ethereum hosts ~60% of all tokenized value. Peak growth RATE most likely 2028–2030 (halving cycle + CLARITY Act + agent economy converging). By 2032–2035 tokenization becomes infrastructure, not a growth story.</w:t>
      </w:r>
    </w:p>
    <w:p>
      <w:pPr>
        <w:pStyle w:val="Normal"/>
        <w:rPr/>
      </w:pPr>
      <w:r>
        <w:rPr/>
      </w:r>
      <w:r>
        <w:br w:type="page"/>
      </w:r>
    </w:p>
    <w:p>
      <w:pPr>
        <w:pStyle w:val="Heading1"/>
        <w:spacing w:before="0" w:after="120"/>
        <w:rPr/>
      </w:pPr>
      <w:r>
        <w:rPr>
          <w:rFonts w:eastAsia="Arial" w:cs="Arial" w:ascii="Arial" w:hAnsi="Arial"/>
          <w:b/>
          <w:bCs/>
          <w:color w:val="1F3864"/>
          <w:sz w:val="36"/>
          <w:szCs w:val="36"/>
        </w:rPr>
        <w:t>4.  Agentic AI + Stablecoins</w:t>
      </w:r>
    </w:p>
    <w:p>
      <w:pPr>
        <w:pStyle w:val="Normal"/>
        <w:spacing w:before="60" w:after="80"/>
        <w:rPr/>
      </w:pPr>
      <w:r>
        <w:rPr>
          <w:rFonts w:eastAsia="Arial" w:cs="Arial"/>
          <w:sz w:val="20"/>
          <w:szCs w:val="20"/>
        </w:rPr>
        <w:t>The fourth and orthogonal demand driver for ETH. Already operational: 140M+ agent-to-agent transactions processed, agent-driven transaction spikes of 10,000%+ recorded on L2 networks in early 2026. 98.6% of agent payments in USDC — but every DeFi interaction requires ETH gas. Net ETH issuance already -0.5% annualized, burns outpacing new validator rewards.</w:t>
      </w:r>
    </w:p>
    <w:p>
      <w:pPr>
        <w:pStyle w:val="Normal"/>
        <w:spacing w:before="40" w:after="40"/>
        <w:rPr/>
      </w:pPr>
      <w:r>
        <w:rPr/>
      </w:r>
    </w:p>
    <w:tbl>
      <w:tblPr>
        <w:tblW w:w="9360" w:type="dxa"/>
        <w:jc w:val="left"/>
        <w:tblInd w:w="0" w:type="dxa"/>
        <w:tblLayout w:type="fixed"/>
        <w:tblCellMar>
          <w:top w:w="80" w:type="dxa"/>
          <w:left w:w="100" w:type="dxa"/>
          <w:bottom w:w="80" w:type="dxa"/>
          <w:right w:w="100" w:type="dxa"/>
        </w:tblCellMar>
      </w:tblPr>
      <w:tblGrid>
        <w:gridCol w:w="800"/>
        <w:gridCol w:w="1499"/>
        <w:gridCol w:w="1800"/>
        <w:gridCol w:w="1601"/>
        <w:gridCol w:w="3660"/>
      </w:tblGrid>
      <w:tr>
        <w:trPr>
          <w:tblHeader w:val="true"/>
        </w:trPr>
        <w:tc>
          <w:tcPr>
            <w:tcW w:w="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Year</w:t>
            </w:r>
          </w:p>
        </w:tc>
        <w:tc>
          <w:tcPr>
            <w:tcW w:w="14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Agent Commerce Vol</w:t>
            </w:r>
          </w:p>
        </w:tc>
        <w:tc>
          <w:tcPr>
            <w:tcW w:w="1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 Gas Demand</w:t>
            </w:r>
          </w:p>
        </w:tc>
        <w:tc>
          <w:tcPr>
            <w:tcW w:w="16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Supply Impact</w:t>
            </w:r>
          </w:p>
        </w:tc>
        <w:tc>
          <w:tcPr>
            <w:tcW w:w="36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 Uplift Applied</w:t>
            </w:r>
          </w:p>
        </w:tc>
      </w:tr>
      <w:tr>
        <w:trPr/>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2026</w:t>
            </w:r>
          </w:p>
        </w:tc>
        <w:tc>
          <w:tcPr>
            <w:tcW w:w="14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$50–200B</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Early; x402 + USDC on Base/L2</w:t>
            </w:r>
          </w:p>
        </w:tc>
        <w:tc>
          <w:tcPr>
            <w:tcW w:w="16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Minimal; ~$5M ETH burned/yr extra</w:t>
            </w:r>
          </w:p>
        </w:tc>
        <w:tc>
          <w:tcPr>
            <w:tcW w:w="3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 to base ETH vs prior model</w:t>
            </w:r>
          </w:p>
        </w:tc>
      </w:tr>
      <w:tr>
        <w:trPr/>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2027</w:t>
            </w:r>
          </w:p>
        </w:tc>
        <w:tc>
          <w:tcPr>
            <w:tcW w:w="14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$300B–$1T</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Surpasses human DeFi on L2 networks</w:t>
            </w:r>
          </w:p>
        </w:tc>
        <w:tc>
          <w:tcPr>
            <w:tcW w:w="16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Structural burn begins</w:t>
            </w:r>
          </w:p>
        </w:tc>
        <w:tc>
          <w:tcPr>
            <w:tcW w:w="36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 agent volumes in on-chain data</w:t>
            </w:r>
          </w:p>
        </w:tc>
      </w:tr>
      <w:tr>
        <w:trPr/>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2028</w:t>
            </w:r>
          </w:p>
        </w:tc>
        <w:tc>
          <w:tcPr>
            <w:tcW w:w="14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$1–2T</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L1 block space increasingly valuable</w:t>
            </w:r>
          </w:p>
        </w:tc>
        <w:tc>
          <w:tcPr>
            <w:tcW w:w="16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Net issuance -0.8% to -1.2% annualized</w:t>
            </w:r>
          </w:p>
        </w:tc>
        <w:tc>
          <w:tcPr>
            <w:tcW w:w="3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 halving + agent burn = compound</w:t>
            </w:r>
          </w:p>
        </w:tc>
      </w:tr>
      <w:tr>
        <w:trPr/>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2029</w:t>
            </w:r>
          </w:p>
        </w:tc>
        <w:tc>
          <w:tcPr>
            <w:tcW w:w="14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$2–4T</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Agent economy = primary ETH demand</w:t>
            </w:r>
          </w:p>
        </w:tc>
        <w:tc>
          <w:tcPr>
            <w:tcW w:w="16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exchange reserves multi-decade lows</w:t>
            </w:r>
          </w:p>
        </w:tc>
        <w:tc>
          <w:tcPr>
            <w:tcW w:w="36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 McKinsey $3–5T forecast center</w:t>
            </w:r>
          </w:p>
        </w:tc>
      </w:tr>
      <w:tr>
        <w:trPr/>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2030</w:t>
            </w:r>
          </w:p>
        </w:tc>
        <w:tc>
          <w:tcPr>
            <w:tcW w:w="14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$3–5T</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Machine-to-machine &gt; human transactions</w:t>
            </w:r>
          </w:p>
        </w:tc>
        <w:tc>
          <w:tcPr>
            <w:tcW w:w="16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Structural supply shock confirmed</w:t>
            </w:r>
          </w:p>
        </w:tc>
        <w:tc>
          <w:tcPr>
            <w:tcW w:w="3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+23%; additive to RWA, agents, SWF</w:t>
            </w:r>
          </w:p>
        </w:tc>
      </w:tr>
      <w:tr>
        <w:trPr/>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2031–2035</w:t>
            </w:r>
          </w:p>
        </w:tc>
        <w:tc>
          <w:tcPr>
            <w:tcW w:w="14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$5–15T</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AI agents outnumber human transactors</w:t>
            </w:r>
          </w:p>
        </w:tc>
        <w:tc>
          <w:tcPr>
            <w:tcW w:w="16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Permanent deflationary state</w:t>
            </w:r>
          </w:p>
        </w:tc>
        <w:tc>
          <w:tcPr>
            <w:tcW w:w="36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+20–23%; compounding each halving cycle</w:t>
            </w:r>
          </w:p>
        </w:tc>
      </w:tr>
    </w:tbl>
    <w:p>
      <w:pPr>
        <w:pStyle w:val="Normal"/>
        <w:spacing w:before="40" w:after="40"/>
        <w:rPr/>
      </w:pPr>
      <w:r>
        <w:rPr/>
      </w:r>
    </w:p>
    <w:p>
      <w:pPr>
        <w:pStyle w:val="Normal"/>
        <w:spacing w:before="60" w:after="60"/>
        <w:rPr/>
      </w:pPr>
      <w:r>
        <w:rPr>
          <w:rFonts w:eastAsia="Arial" w:cs="Arial"/>
          <w:i/>
          <w:iCs/>
          <w:color w:val="777777"/>
          <w:sz w:val="18"/>
          <w:szCs w:val="18"/>
        </w:rPr>
        <w:t>Sources: McKinsey $3–5T agent commerce by 2030; Coinbase CEO expects agents to surpass humans in transaction volume; Ant Digital, Visa, Google, Stripe, MoonPay all building agent payment infrastructure on Ethereum rails. Cross-reference Section 11.4b: AI agents are categorically exempt from the CLARITY Act stablecoin yield ban under the activity-linked carve-out. Additionally, agents' reserve management may shift toward liquid staking tokens (stETH, rETH) as USDC balance-based yield is eliminated — creating a new structural demand for ETH staking not captured in this section's original model.</w:t>
      </w:r>
    </w:p>
    <w:p>
      <w:pPr>
        <w:pStyle w:val="Normal"/>
        <w:rPr/>
      </w:pPr>
      <w:r>
        <w:rPr/>
      </w:r>
      <w:r>
        <w:br w:type="page"/>
      </w:r>
    </w:p>
    <w:p>
      <w:pPr>
        <w:pStyle w:val="Heading1"/>
        <w:spacing w:before="0" w:after="120"/>
        <w:rPr/>
      </w:pPr>
      <w:r>
        <w:rPr>
          <w:rFonts w:eastAsia="Arial" w:cs="Arial" w:ascii="Arial" w:hAnsi="Arial"/>
          <w:b/>
          <w:bCs/>
          <w:color w:val="1F3864"/>
          <w:sz w:val="36"/>
          <w:szCs w:val="36"/>
        </w:rPr>
        <w:t>5.  Ethereum Price Predictions 2026–2035 (All Tailwinds)</w:t>
      </w:r>
    </w:p>
    <w:p>
      <w:pPr>
        <w:pStyle w:val="Heading2"/>
        <w:spacing w:before="280" w:after="80"/>
        <w:rPr/>
      </w:pPr>
      <w:r>
        <w:rPr>
          <w:rFonts w:eastAsia="Arial" w:cs="Arial" w:ascii="Arial" w:hAnsi="Arial"/>
          <w:b/>
          <w:bCs/>
          <w:color w:val="2E75B6"/>
          <w:sz w:val="28"/>
          <w:szCs w:val="28"/>
        </w:rPr>
        <w:t>5.1  Tailwind Dependency Structure</w:t>
      </w:r>
    </w:p>
    <w:p>
      <w:pPr>
        <w:pStyle w:val="Normal"/>
        <w:spacing w:before="60" w:after="80"/>
        <w:rPr/>
      </w:pPr>
      <w:r>
        <w:rPr>
          <w:rFonts w:eastAsia="Arial" w:cs="Arial"/>
          <w:sz w:val="20"/>
          <w:szCs w:val="20"/>
        </w:rPr>
        <w:t>Extended thinking stress-test identified that the prior model listed 18 tailwinds as if all were additive ETH price drivers. They are not. Four categories:</w:t>
      </w:r>
    </w:p>
    <w:p>
      <w:pPr>
        <w:pStyle w:val="ListParagraph"/>
        <w:numPr>
          <w:ilvl w:val="0"/>
          <w:numId w:val="1"/>
        </w:numPr>
        <w:spacing w:before="40" w:after="40"/>
        <w:rPr/>
      </w:pPr>
      <w:r>
        <w:rPr>
          <w:rFonts w:eastAsia="Arial" w:cs="Arial"/>
          <w:sz w:val="20"/>
          <w:szCs w:val="20"/>
        </w:rPr>
        <w:t>Genuine independent ETH price drivers (additive): RWA tokenization, Agentic AI gas demand, SWF sovereign allocation. Distinct demand pools with separate causal origins.</w:t>
      </w:r>
    </w:p>
    <w:p>
      <w:pPr>
        <w:pStyle w:val="ListParagraph"/>
        <w:numPr>
          <w:ilvl w:val="0"/>
          <w:numId w:val="1"/>
        </w:numPr>
        <w:spacing w:before="40" w:after="40"/>
        <w:rPr/>
      </w:pPr>
      <w:r>
        <w:rPr>
          <w:rFonts w:eastAsia="Arial" w:cs="Arial"/>
          <w:sz w:val="20"/>
          <w:szCs w:val="20"/>
        </w:rPr>
        <w:t>Enabling conditions — not additive: CLARITY Act, GENIUS Act, Fed rate cuts, Glamstrdam. These unlock other drivers already counted. Adding them as additional uplift double-counts the downstream demand.</w:t>
      </w:r>
    </w:p>
    <w:p>
      <w:pPr>
        <w:pStyle w:val="ListParagraph"/>
        <w:numPr>
          <w:ilvl w:val="0"/>
          <w:numId w:val="1"/>
        </w:numPr>
        <w:spacing w:before="40" w:after="40"/>
        <w:rPr/>
      </w:pPr>
      <w:r>
        <w:rPr>
          <w:rFonts w:eastAsia="Arial" w:cs="Arial"/>
          <w:sz w:val="20"/>
          <w:szCs w:val="20"/>
        </w:rPr>
        <w:t>Sub-components already captured: DePIN gas demand (subset of gas burn), SWIFT migration (subset of RWA/stablecoin), Schwab direct ETH (subset of institutional buy cluster).</w:t>
      </w:r>
    </w:p>
    <w:p>
      <w:pPr>
        <w:pStyle w:val="ListParagraph"/>
        <w:numPr>
          <w:ilvl w:val="0"/>
          <w:numId w:val="1"/>
        </w:numPr>
        <w:spacing w:before="40" w:after="40"/>
        <w:rPr/>
      </w:pPr>
      <w:r>
        <w:rPr>
          <w:rFonts w:eastAsia="Arial" w:cs="Arial"/>
          <w:sz w:val="20"/>
          <w:szCs w:val="20"/>
        </w:rPr>
        <w:t>BMNR equity catalysts — not ETH price: NYSE/index inclusion, $4B buyback, MAVAN revenue, restaking/EigenLayer, dividend, ORBS/Beast. These affect mNAV and SOTP, not ETH spot price.</w:t>
      </w:r>
    </w:p>
    <w:p>
      <w:pPr>
        <w:pStyle w:val="Normal"/>
        <w:spacing w:before="40" w:after="40"/>
        <w:rPr/>
      </w:pPr>
      <w:r>
        <w:rPr/>
      </w:r>
    </w:p>
    <w:p>
      <w:pPr>
        <w:pStyle w:val="Normal"/>
        <w:spacing w:before="60" w:after="80"/>
        <w:rPr/>
      </w:pPr>
      <w:r>
        <w:rPr>
          <w:rFonts w:eastAsia="Arial" w:cs="Arial"/>
          <w:sz w:val="20"/>
          <w:szCs w:val="20"/>
        </w:rPr>
        <w:t>The gold narrative is treated as a scenario modifier only (see Section 8.3). Table 5.2 below now shows four probability-weighted scenarios aligned with Section 9: Bear (25%), Base (45% — most likely), Bull (20% — former document base case), Super Bull (7%). The 'Base' column replaces what prior versions called 'Base' — it reflects CLARITY passing with slower-than-BCG-forecast RWA adoption and modest monetary premium.</w:t>
      </w:r>
    </w:p>
    <w:p>
      <w:pPr>
        <w:pStyle w:val="Normal"/>
        <w:spacing w:before="40" w:after="40"/>
        <w:rPr/>
      </w:pPr>
      <w:r>
        <w:rPr/>
      </w:r>
    </w:p>
    <w:p>
      <w:pPr>
        <w:pStyle w:val="Heading2"/>
        <w:spacing w:before="280" w:after="80"/>
        <w:rPr/>
      </w:pPr>
      <w:r>
        <w:rPr>
          <w:rFonts w:eastAsia="Arial" w:cs="Arial" w:ascii="Arial" w:hAnsi="Arial"/>
          <w:b/>
          <w:bCs/>
          <w:color w:val="2E75B6"/>
          <w:sz w:val="28"/>
          <w:szCs w:val="28"/>
        </w:rPr>
        <w:t>5.2  ETH Price Scenarios 2026–2035</w:t>
      </w:r>
    </w:p>
    <w:p>
      <w:pPr>
        <w:pStyle w:val="Normal"/>
        <w:spacing w:before="40" w:after="40"/>
        <w:rPr/>
      </w:pPr>
      <w:r>
        <w:rPr/>
      </w:r>
    </w:p>
    <w:tbl>
      <w:tblPr>
        <w:tblW w:w="8370" w:type="dxa"/>
        <w:jc w:val="left"/>
        <w:tblInd w:w="0" w:type="dxa"/>
        <w:tblLayout w:type="fixed"/>
        <w:tblCellMar>
          <w:top w:w="80" w:type="dxa"/>
          <w:left w:w="100" w:type="dxa"/>
          <w:bottom w:w="80" w:type="dxa"/>
          <w:right w:w="100" w:type="dxa"/>
        </w:tblCellMar>
      </w:tblPr>
      <w:tblGrid>
        <w:gridCol w:w="620"/>
        <w:gridCol w:w="839"/>
        <w:gridCol w:w="1041"/>
        <w:gridCol w:w="1039"/>
        <w:gridCol w:w="1041"/>
        <w:gridCol w:w="1039"/>
        <w:gridCol w:w="2750"/>
      </w:tblGrid>
      <w:tr>
        <w:trPr>
          <w:tblHeader w:val="true"/>
        </w:trPr>
        <w:tc>
          <w:tcPr>
            <w:tcW w:w="62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Year</w:t>
            </w:r>
          </w:p>
        </w:tc>
        <w:tc>
          <w:tcPr>
            <w:tcW w:w="83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Phase</w:t>
            </w:r>
          </w:p>
        </w:tc>
        <w:tc>
          <w:tcPr>
            <w:tcW w:w="104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Bear ETH (25%)</w:t>
            </w:r>
          </w:p>
        </w:tc>
        <w:tc>
          <w:tcPr>
            <w:tcW w:w="103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Base ETH (45%)</w:t>
            </w:r>
          </w:p>
        </w:tc>
        <w:tc>
          <w:tcPr>
            <w:tcW w:w="104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Bull ETH (20%)</w:t>
            </w:r>
          </w:p>
        </w:tc>
        <w:tc>
          <w:tcPr>
            <w:tcW w:w="103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Super Bull (7%)</w:t>
            </w:r>
          </w:p>
        </w:tc>
        <w:tc>
          <w:tcPr>
            <w:tcW w:w="275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Scenario Notes</w:t>
            </w:r>
          </w:p>
        </w:tc>
      </w:tr>
      <w:tr>
        <w:trPr/>
        <w:tc>
          <w:tcPr>
            <w:tcW w:w="6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2026</w:t>
            </w:r>
          </w:p>
        </w:tc>
        <w:tc>
          <w:tcPr>
            <w:tcW w:w="83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Recovery</w:t>
            </w:r>
          </w:p>
        </w:tc>
        <w:tc>
          <w:tcPr>
            <w:tcW w:w="1041"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$2,600</w:t>
            </w:r>
          </w:p>
        </w:tc>
        <w:tc>
          <w:tcPr>
            <w:tcW w:w="1039"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$4,500</w:t>
            </w:r>
          </w:p>
        </w:tc>
        <w:tc>
          <w:tcPr>
            <w:tcW w:w="1041"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$6,200</w:t>
            </w:r>
          </w:p>
        </w:tc>
        <w:tc>
          <w:tcPr>
            <w:tcW w:w="1039"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$8,500</w:t>
            </w:r>
          </w:p>
        </w:tc>
        <w:tc>
          <w:tcPr>
            <w:tcW w:w="275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Bear: CLARITY stalls, BTC beta only. Base: CLARITY passes Q3 2026, modest institutional re-rating, ETH/BTC recovers to 0.040–0.060. Bull: CLARITY + rapid deployment + SWF signals. SB: + gold narrative begins.</w:t>
            </w:r>
          </w:p>
        </w:tc>
      </w:tr>
      <w:tr>
        <w:trPr/>
        <w:tc>
          <w:tcPr>
            <w:tcW w:w="6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2027</w:t>
            </w:r>
          </w:p>
        </w:tc>
        <w:tc>
          <w:tcPr>
            <w:tcW w:w="83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Early bull</w:t>
            </w:r>
          </w:p>
        </w:tc>
        <w:tc>
          <w:tcPr>
            <w:tcW w:w="1041"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$6,500</w:t>
            </w:r>
          </w:p>
        </w:tc>
        <w:tc>
          <w:tcPr>
            <w:tcW w:w="1039"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$10,000</w:t>
            </w:r>
          </w:p>
        </w:tc>
        <w:tc>
          <w:tcPr>
            <w:tcW w:w="1041"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$16,000</w:t>
            </w:r>
          </w:p>
        </w:tc>
        <w:tc>
          <w:tcPr>
            <w:tcW w:w="1039"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$21,000</w:t>
            </w:r>
          </w:p>
        </w:tc>
        <w:tc>
          <w:tcPr>
            <w:tcW w:w="275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Base: SWF initial allocations $20–40B; RWA $50–100B on ETH; agent commerce surpassing human DeFi on L2s. Bull adds: OpenAI IPO re-rates ORBS.</w:t>
            </w:r>
          </w:p>
        </w:tc>
      </w:tr>
      <w:tr>
        <w:trPr/>
        <w:tc>
          <w:tcPr>
            <w:tcW w:w="6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2028</w:t>
            </w:r>
          </w:p>
        </w:tc>
        <w:tc>
          <w:tcPr>
            <w:tcW w:w="83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Halving year</w:t>
            </w:r>
          </w:p>
        </w:tc>
        <w:tc>
          <w:tcPr>
            <w:tcW w:w="1041"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$12,000</w:t>
            </w:r>
          </w:p>
        </w:tc>
        <w:tc>
          <w:tcPr>
            <w:tcW w:w="1039"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$18,000</w:t>
            </w:r>
          </w:p>
        </w:tc>
        <w:tc>
          <w:tcPr>
            <w:tcW w:w="1041"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$27,000</w:t>
            </w:r>
          </w:p>
        </w:tc>
        <w:tc>
          <w:tcPr>
            <w:tcW w:w="1039"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$38,000</w:t>
            </w:r>
          </w:p>
        </w:tc>
        <w:tc>
          <w:tcPr>
            <w:tcW w:w="275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BTC halving April 2028 — inflection, not peak. Base: RWA $100–200B, SWF $40–60B. Bull: RWA $200–400B, SWF $80B. Gold narrative NOT in base case.</w:t>
            </w:r>
          </w:p>
        </w:tc>
      </w:tr>
      <w:tr>
        <w:trPr/>
        <w:tc>
          <w:tcPr>
            <w:tcW w:w="6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2029</w:t>
            </w:r>
          </w:p>
        </w:tc>
        <w:tc>
          <w:tcPr>
            <w:tcW w:w="83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Post-halving peak</w:t>
            </w:r>
          </w:p>
        </w:tc>
        <w:tc>
          <w:tcPr>
            <w:tcW w:w="1041"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$18,000</w:t>
            </w:r>
          </w:p>
        </w:tc>
        <w:tc>
          <w:tcPr>
            <w:tcW w:w="1039"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$24,000</w:t>
            </w:r>
          </w:p>
        </w:tc>
        <w:tc>
          <w:tcPr>
            <w:tcW w:w="1041"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$36,000</w:t>
            </w:r>
          </w:p>
        </w:tc>
        <w:tc>
          <w:tcPr>
            <w:tcW w:w="1039"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$55,000</w:t>
            </w:r>
          </w:p>
        </w:tc>
        <w:tc>
          <w:tcPr>
            <w:tcW w:w="275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Peak 12–18 months post-halving. Base: SWF $60B, monetary premium 13% of gold. Bull: SWF $100B+, 21% gold. SB: gold narrative 30%+.</w:t>
            </w:r>
          </w:p>
        </w:tc>
      </w:tr>
      <w:tr>
        <w:trPr/>
        <w:tc>
          <w:tcPr>
            <w:tcW w:w="6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2030</w:t>
            </w:r>
          </w:p>
        </w:tc>
        <w:tc>
          <w:tcPr>
            <w:tcW w:w="83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Consolidation</w:t>
            </w:r>
          </w:p>
        </w:tc>
        <w:tc>
          <w:tcPr>
            <w:tcW w:w="1041"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$22,000</w:t>
            </w:r>
          </w:p>
        </w:tc>
        <w:tc>
          <w:tcPr>
            <w:tcW w:w="1039"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$30,000</w:t>
            </w:r>
          </w:p>
        </w:tc>
        <w:tc>
          <w:tcPr>
            <w:tcW w:w="1041"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$50,000</w:t>
            </w:r>
          </w:p>
        </w:tc>
        <w:tc>
          <w:tcPr>
            <w:tcW w:w="1039"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$80,000</w:t>
            </w:r>
          </w:p>
        </w:tc>
        <w:tc>
          <w:tcPr>
            <w:tcW w:w="275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Base: BCG $4–8T RWA scenario; monetary premium ~17% of gold; ETH approaching deflation. Bull: BCG $16T scenario; 30% gold premium. SB: full reserve asset status.</w:t>
            </w:r>
          </w:p>
        </w:tc>
      </w:tr>
      <w:tr>
        <w:trPr/>
        <w:tc>
          <w:tcPr>
            <w:tcW w:w="6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2031</w:t>
            </w:r>
          </w:p>
        </w:tc>
        <w:tc>
          <w:tcPr>
            <w:tcW w:w="83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Correction</w:t>
            </w:r>
          </w:p>
        </w:tc>
        <w:tc>
          <w:tcPr>
            <w:tcW w:w="1041"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$10,000</w:t>
            </w:r>
          </w:p>
        </w:tc>
        <w:tc>
          <w:tcPr>
            <w:tcW w:w="1039"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$15,000</w:t>
            </w:r>
          </w:p>
        </w:tc>
        <w:tc>
          <w:tcPr>
            <w:tcW w:w="1041"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$36,000</w:t>
            </w:r>
          </w:p>
        </w:tc>
        <w:tc>
          <w:tcPr>
            <w:tcW w:w="1039"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$55,000</w:t>
            </w:r>
          </w:p>
        </w:tc>
        <w:tc>
          <w:tcPr>
            <w:tcW w:w="275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Base: −50% correction from $30K peak (realistic; see Section 15.11). Bull: −28% (optimistic; 5–10% probability). Bear: −80% (full historical precedent).</w:t>
            </w:r>
          </w:p>
        </w:tc>
      </w:tr>
      <w:tr>
        <w:trPr/>
        <w:tc>
          <w:tcPr>
            <w:tcW w:w="6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2032</w:t>
            </w:r>
          </w:p>
        </w:tc>
        <w:tc>
          <w:tcPr>
            <w:tcW w:w="83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Halving year</w:t>
            </w:r>
          </w:p>
        </w:tc>
        <w:tc>
          <w:tcPr>
            <w:tcW w:w="1041"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$14,000</w:t>
            </w:r>
          </w:p>
        </w:tc>
        <w:tc>
          <w:tcPr>
            <w:tcW w:w="1039"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$22,000</w:t>
            </w:r>
          </w:p>
        </w:tc>
        <w:tc>
          <w:tcPr>
            <w:tcW w:w="1041"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$46,000</w:t>
            </w:r>
          </w:p>
        </w:tc>
        <w:tc>
          <w:tcPr>
            <w:tcW w:w="1039"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$72,000</w:t>
            </w:r>
          </w:p>
        </w:tc>
        <w:tc>
          <w:tcPr>
            <w:tcW w:w="275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Second BTC halving. Base: RWA maturation, restaking institutionalised, agent economy mainstream. Bull adds second-cycle premium.</w:t>
            </w:r>
          </w:p>
        </w:tc>
      </w:tr>
      <w:tr>
        <w:trPr/>
        <w:tc>
          <w:tcPr>
            <w:tcW w:w="6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2033</w:t>
            </w:r>
          </w:p>
        </w:tc>
        <w:tc>
          <w:tcPr>
            <w:tcW w:w="83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Post-halving peak</w:t>
            </w:r>
          </w:p>
        </w:tc>
        <w:tc>
          <w:tcPr>
            <w:tcW w:w="1041"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$20,000</w:t>
            </w:r>
          </w:p>
        </w:tc>
        <w:tc>
          <w:tcPr>
            <w:tcW w:w="1039"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$36,000</w:t>
            </w:r>
          </w:p>
        </w:tc>
        <w:tc>
          <w:tcPr>
            <w:tcW w:w="1041"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$67,000</w:t>
            </w:r>
          </w:p>
        </w:tc>
        <w:tc>
          <w:tcPr>
            <w:tcW w:w="1039"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$110,000</w:t>
            </w:r>
          </w:p>
        </w:tc>
        <w:tc>
          <w:tcPr>
            <w:tcW w:w="275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Second post-halving peak. Base: BCG $10–15T RWA; agent $3–5T. Bull: $30T RWA; agent $5–10T.</w:t>
            </w:r>
          </w:p>
        </w:tc>
      </w:tr>
      <w:tr>
        <w:trPr/>
        <w:tc>
          <w:tcPr>
            <w:tcW w:w="6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2034</w:t>
            </w:r>
          </w:p>
        </w:tc>
        <w:tc>
          <w:tcPr>
            <w:tcW w:w="83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Consolidation</w:t>
            </w:r>
          </w:p>
        </w:tc>
        <w:tc>
          <w:tcPr>
            <w:tcW w:w="1041"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$26,000</w:t>
            </w:r>
          </w:p>
        </w:tc>
        <w:tc>
          <w:tcPr>
            <w:tcW w:w="1039"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$46,000</w:t>
            </w:r>
          </w:p>
        </w:tc>
        <w:tc>
          <w:tcPr>
            <w:tcW w:w="1041"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$82,000</w:t>
            </w:r>
          </w:p>
        </w:tc>
        <w:tc>
          <w:tcPr>
            <w:tcW w:w="1039"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$140,000</w:t>
            </w:r>
          </w:p>
        </w:tc>
        <w:tc>
          <w:tcPr>
            <w:tcW w:w="275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Post-2033 consolidation. Long-term structural floor from permanent institutional holders.</w:t>
            </w:r>
          </w:p>
        </w:tc>
      </w:tr>
      <w:tr>
        <w:trPr/>
        <w:tc>
          <w:tcPr>
            <w:tcW w:w="6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2035</w:t>
            </w:r>
          </w:p>
        </w:tc>
        <w:tc>
          <w:tcPr>
            <w:tcW w:w="83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Maturity</w:t>
            </w:r>
          </w:p>
        </w:tc>
        <w:tc>
          <w:tcPr>
            <w:tcW w:w="1041"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$20,000</w:t>
            </w:r>
          </w:p>
        </w:tc>
        <w:tc>
          <w:tcPr>
            <w:tcW w:w="1039"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$38,000</w:t>
            </w:r>
          </w:p>
        </w:tc>
        <w:tc>
          <w:tcPr>
            <w:tcW w:w="1041"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$67,000</w:t>
            </w:r>
          </w:p>
        </w:tc>
        <w:tc>
          <w:tcPr>
            <w:tcW w:w="1039"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$115,000</w:t>
            </w:r>
          </w:p>
        </w:tc>
        <w:tc>
          <w:tcPr>
            <w:tcW w:w="275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Maturity era. Base: ETH as yield-bearing global settlement layer. Bull/SB: strong reserve asset status.</w:t>
            </w:r>
          </w:p>
        </w:tc>
      </w:tr>
    </w:tbl>
    <w:p>
      <w:pPr>
        <w:pStyle w:val="Normal"/>
        <w:spacing w:before="40" w:after="40"/>
        <w:rPr/>
      </w:pPr>
      <w:r>
        <w:rPr/>
      </w:r>
    </w:p>
    <w:p>
      <w:pPr>
        <w:pStyle w:val="Normal"/>
        <w:spacing w:before="60" w:after="60"/>
        <w:rPr/>
      </w:pPr>
      <w:r>
        <w:rPr>
          <w:rFonts w:eastAsia="Arial" w:cs="Arial"/>
          <w:i/>
          <w:iCs/>
          <w:color w:val="777777"/>
          <w:sz w:val="18"/>
          <w:szCs w:val="18"/>
        </w:rPr>
        <w:t>v21 update: Section 5.2 now shows all four probability-weighted scenarios (Bear 30%, Base 42%, Bull 20%, Super Bull 7%) aligned with Section 9 Table F. The 'Base ETH' column ($4,500 in 2026, $30,000 in 2030) is the most probable scenario. The 'Bull ETH' column ($6,200 in 2026, $50,000 in 2030) was the prior document base case — now correctly labelled as the 20%-probability outcome. 2028 = halving year (inflection, not peak); 2029 = post-halving peak (historical 12–18 month lag). Gold narrative NOT embedded in any column — see Section 8.3 for gold scenario modifier analysis. Not guarantees. Not investment advice.</w:t>
      </w:r>
    </w:p>
    <w:p>
      <w:pPr>
        <w:pStyle w:val="Normal"/>
        <w:spacing w:before="40" w:after="40"/>
        <w:rPr/>
      </w:pPr>
      <w:r>
        <w:rPr/>
      </w:r>
    </w:p>
    <w:p>
      <w:pPr>
        <w:pStyle w:val="Heading2"/>
        <w:spacing w:before="280" w:after="80"/>
        <w:rPr/>
      </w:pPr>
      <w:r>
        <w:rPr>
          <w:rFonts w:eastAsia="Arial" w:cs="Arial" w:ascii="Arial" w:hAnsi="Arial"/>
          <w:b/>
          <w:bCs/>
          <w:color w:val="2E75B6"/>
          <w:sz w:val="28"/>
          <w:szCs w:val="28"/>
        </w:rPr>
        <w:t>5.3  The L1 Fee Burn Thesis — Current Reality and What It Requires</w:t>
      </w:r>
    </w:p>
    <w:p>
      <w:pPr>
        <w:pStyle w:val="Normal"/>
        <w:spacing w:before="60" w:after="80"/>
        <w:rPr/>
      </w:pPr>
      <w:r>
        <w:rPr>
          <w:rFonts w:eastAsia="Arial" w:cs="Arial"/>
          <w:sz w:val="20"/>
          <w:szCs w:val="20"/>
        </w:rPr>
        <w:t>The ETH price forecasts in this document rely partly on the 'deflationary ETH' thesis: high on-chain activity burns ETH via EIP-1559, reducing supply and supporting price. This thesis is currently not operating. As of April 2026, ETH is mildly inflationary at approximately +0.23% annually — the precise opposite of the 'ultrasound money' narrative that underpins much of the bull case.</w:t>
      </w:r>
    </w:p>
    <w:p>
      <w:pPr>
        <w:pStyle w:val="Normal"/>
        <w:spacing w:before="40" w:after="40"/>
        <w:rPr/>
      </w:pPr>
      <w:r>
        <w:rPr/>
      </w:r>
    </w:p>
    <w:p>
      <w:pPr>
        <w:pStyle w:val="Normal"/>
        <w:spacing w:before="60" w:after="80"/>
        <w:rPr/>
      </w:pPr>
      <w:r>
        <w:rPr>
          <w:rFonts w:eastAsia="Arial" w:cs="Arial"/>
          <w:sz w:val="20"/>
          <w:szCs w:val="20"/>
        </w:rPr>
        <w:t>The cause is Ethereum's own scaling roadmap. The 2024 Dencun upgrade (EIP-4844) introduced blob transactions, which allow L2s to post data to Ethereum at dramatically lower cost. L2 transaction fees dropped over 90% within days. The result: with most user activity migrated to L2s, demand for L1 block space dropped, average gas prices fell to approximately 0.16 gwei by April 2026, and the EIP-1559 burn rate collapsed. Blob space utilisation currently sits at only 20–30% of capacity — meaning the offsetting revenue stream from L2 settlement fees is also not yet firing.</w:t>
      </w:r>
    </w:p>
    <w:p>
      <w:pPr>
        <w:pStyle w:val="Normal"/>
        <w:spacing w:before="40" w:after="40"/>
        <w:rPr/>
      </w:pPr>
      <w:r>
        <w:rPr/>
      </w:r>
    </w:p>
    <w:p>
      <w:pPr>
        <w:pStyle w:val="Normal"/>
        <w:spacing w:before="60" w:after="80"/>
        <w:rPr/>
      </w:pPr>
      <w:r>
        <w:rPr>
          <w:rFonts w:eastAsia="Arial" w:cs="Arial"/>
          <w:sz w:val="20"/>
          <w:szCs w:val="20"/>
        </w:rPr>
        <w:t>The Ethereum Foundation has acknowledged this tension and pivoted. EIP-7918 (introduced in the Fusaka upgrade, December 2025) established a blob fee floor — L2s must now pay a minimum price for settlement even when blob demand is low, pegged to L1 execution costs. Analysis shows that on 93% of days since the Dencun upgrade, the old observed blob price was below what the floor would have required — meaning EIP-7918, had it been in place, would have generated approximately $78M in additional ETH burned.</w:t>
      </w:r>
    </w:p>
    <w:p>
      <w:pPr>
        <w:pStyle w:val="Normal"/>
        <w:spacing w:before="40" w:after="40"/>
        <w:rPr/>
      </w:pPr>
      <w:r>
        <w:rPr/>
      </w:r>
    </w:p>
    <w:p>
      <w:pPr>
        <w:pStyle w:val="Heading2"/>
        <w:spacing w:before="280" w:after="80"/>
        <w:rPr/>
      </w:pPr>
      <w:r>
        <w:rPr>
          <w:rFonts w:eastAsia="Arial" w:cs="Arial" w:ascii="Arial" w:hAnsi="Arial"/>
          <w:b/>
          <w:bCs/>
          <w:color w:val="2E75B6"/>
          <w:sz w:val="28"/>
          <w:szCs w:val="28"/>
        </w:rPr>
        <w:t>5.4  Three Futures for L1 Value Accrual</w:t>
      </w:r>
    </w:p>
    <w:p>
      <w:pPr>
        <w:pStyle w:val="Normal"/>
        <w:spacing w:before="60" w:after="80"/>
        <w:rPr/>
      </w:pPr>
      <w:r>
        <w:rPr>
          <w:rFonts w:eastAsia="Arial" w:cs="Arial"/>
          <w:sz w:val="20"/>
          <w:szCs w:val="20"/>
        </w:rPr>
        <w:t>The L1 fee burn thesis has three possible resolutions over the forecast period, with very different implications for ETH price and BMNR:</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900"/>
        <w:gridCol w:w="2399"/>
        <w:gridCol w:w="760"/>
        <w:gridCol w:w="1900"/>
        <w:gridCol w:w="2401"/>
      </w:tblGrid>
      <w:tr>
        <w:trPr>
          <w:tblHeader w:val="true"/>
        </w:trPr>
        <w:tc>
          <w:tcPr>
            <w:tcW w:w="9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Scenario</w:t>
            </w:r>
          </w:p>
        </w:tc>
        <w:tc>
          <w:tcPr>
            <w:tcW w:w="2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Mechanism</w:t>
            </w:r>
          </w:p>
        </w:tc>
        <w:tc>
          <w:tcPr>
            <w:tcW w:w="7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Probability</w:t>
            </w:r>
          </w:p>
        </w:tc>
        <w:tc>
          <w:tcPr>
            <w:tcW w:w="19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 price implication</w:t>
            </w:r>
          </w:p>
        </w:tc>
        <w:tc>
          <w:tcPr>
            <w:tcW w:w="24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MAVAN implication</w:t>
            </w:r>
          </w:p>
        </w:tc>
      </w:tr>
      <w:tr>
        <w:trPr/>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Blob fee saturation (bullish)</w:t>
            </w:r>
          </w:p>
        </w:tc>
        <w:tc>
          <w:tcPr>
            <w:tcW w:w="2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L2 transaction volumes grow so large that even the small per-byte settlement fee generates massive aggregate ETH burn. Blob space becomes fully utilised; L2s compete for blob slots; fees spike. ETH returns to deflationary trajectory.</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Medium — requires breakout L2 application adoption. KuCoin analysis: blob fees could contribute 30–50% of total ETH burn once saturated.</w:t>
            </w:r>
          </w:p>
        </w:tc>
        <w:tc>
          <w:tcPr>
            <w:tcW w:w="1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Supports the document's ETH price forecasts. Deflation thesis re-activates. The 'digital oil' narrative regains empirical basis.</w:t>
            </w:r>
          </w:p>
        </w:tc>
        <w:tc>
          <w:tcPr>
            <w:tcW w:w="2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Neutral to positive — MAVAN earns staking yield whether ETH is inflationary or deflationary; higher ETH price is the primary benefit.</w:t>
            </w:r>
          </w:p>
        </w:tc>
      </w:tr>
      <w:tr>
        <w:trPr/>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Based rollups redirect sequencer value to L1 (neutral-bullish)</w:t>
            </w:r>
          </w:p>
        </w:tc>
        <w:tc>
          <w:tcPr>
            <w:tcW w:w="2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Based rollups assign L2 sequencing to Ethereum L1 validators rather than centralised operators. Validators capture MEV and sequencer fees from L2 activity — value that currently stays with L2 operators (Coinbase for Base, Offchain Labs for Arbitrum) flows to ETH stakers instead.</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Medium — Taiko and Surge Rollup are early adopters; not yet mainstream.</w:t>
            </w:r>
          </w:p>
        </w:tc>
        <w:tc>
          <w:tcPr>
            <w:tcW w:w="1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Partial compensation for lost L1 fee burn. ETH still inflationary but validator income grows.</w:t>
            </w:r>
          </w:p>
        </w:tc>
        <w:tc>
          <w:tcPr>
            <w:tcW w:w="24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Direct MAVAN benefit — as a large validator, MAVAN captures L2 sequencer revenue. Based rollup adoption could double MAVAN's effective yield without restaking.</w:t>
            </w:r>
          </w:p>
        </w:tc>
      </w:tr>
      <w:tr>
        <w:trPr/>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L1 becomes low-margin settlement utility (bearish ETH price)</w:t>
            </w:r>
          </w:p>
        </w:tc>
        <w:tc>
          <w:tcPr>
            <w:tcW w:w="2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Activity migrates permanently to L2s. L1 fee burn stays low. ETH becomes analogous to TCP/IP — essential infrastructure that captures minimal economic value relative to the applications above it. Economic surplus flows to L2 token holders, application protocols, and sequencer operators.</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Medium — the current data supports this direction; the question is whether EIP-7918 and based rollups reverse it before 2028.</w:t>
            </w:r>
          </w:p>
        </w:tc>
        <w:tc>
          <w:tcPr>
            <w:tcW w:w="1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Undermines the EIP-1559 deflation thesis embedded in all three forecast tables. ETH price forecasts 10–20% lower across the board; bear cases in the tables become more likely outcomes.</w:t>
            </w:r>
          </w:p>
        </w:tc>
        <w:tc>
          <w:tcPr>
            <w:tcW w:w="2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Partially insulated — MAVAN earns staking yield from block issuance (stable) and priority fees (variable); less dependent on fee burn than ETH price thesis. But lower ETH price reduces MAVAN's USD revenue.</w:t>
            </w:r>
          </w:p>
        </w:tc>
      </w:tr>
    </w:tbl>
    <w:p>
      <w:pPr>
        <w:pStyle w:val="Normal"/>
        <w:spacing w:before="40" w:after="40"/>
        <w:rPr/>
      </w:pPr>
      <w:r>
        <w:rPr/>
      </w:r>
    </w:p>
    <w:p>
      <w:pPr>
        <w:pStyle w:val="Normal"/>
        <w:spacing w:before="60" w:after="80"/>
        <w:rPr/>
      </w:pPr>
      <w:r>
        <w:rPr>
          <w:rFonts w:eastAsia="Arial" w:cs="Arial"/>
          <w:sz w:val="20"/>
          <w:szCs w:val="20"/>
        </w:rPr>
        <w:t>The critical insight for BMNR: the ETH-as-monetary-asset thesis (requires deflation — high L1 burn supports 'ultrasound money' scarcity premium) is distinct from the ETH-as-collateral/settlement thesis (does not require deflation — institutions hold ETH as collateral for RWA settlement regardless of whether it is inflationary). The forecast tables implicitly conflate both. If Scenario 3 materialises, the monetary premium deflates but the collateral/settlement utility thesis remains intact. BMNR's NAV is anchored to ETH price, so even a partial separation matters for the bull-case price targets.</w:t>
      </w:r>
    </w:p>
    <w:p>
      <w:pPr>
        <w:pStyle w:val="Normal"/>
        <w:spacing w:before="40" w:after="40"/>
        <w:rPr/>
      </w:pPr>
      <w:r>
        <w:rPr/>
      </w:r>
    </w:p>
    <w:p>
      <w:pPr>
        <w:pStyle w:val="Normal"/>
        <w:spacing w:before="60" w:after="60"/>
        <w:rPr/>
      </w:pPr>
      <w:r>
        <w:rPr>
          <w:rFonts w:eastAsia="Arial" w:cs="Arial"/>
          <w:i/>
          <w:iCs/>
          <w:color w:val="777777"/>
          <w:sz w:val="18"/>
          <w:szCs w:val="18"/>
        </w:rPr>
        <w:t>v8 addition: L1 fee burn thesis is currently not operating (ETH mildly inflationary at +0.23% annualised as of April 2026). The document's ETH deflation assumptions require blob fee saturation or based rollup adoption to re-activate. EIP-7918 (Fusaka upgrade, December 2025) provides a structural floor but blob utilisation at 20–30% means the inflection point has not arrived. The forecast tables reflect the view that saturation occurs during the 2027–2030 bull cycle — this is a genuine assumption that investors should track.</w:t>
      </w:r>
    </w:p>
    <w:p>
      <w:pPr>
        <w:pStyle w:val="Normal"/>
        <w:rPr/>
      </w:pPr>
      <w:r>
        <w:rPr/>
      </w:r>
      <w:r>
        <w:br w:type="page"/>
      </w:r>
    </w:p>
    <w:p>
      <w:pPr>
        <w:pStyle w:val="Heading1"/>
        <w:spacing w:before="0" w:after="120"/>
        <w:rPr/>
      </w:pPr>
      <w:r>
        <w:rPr>
          <w:rFonts w:eastAsia="Arial" w:cs="Arial" w:ascii="Arial" w:hAnsi="Arial"/>
          <w:b/>
          <w:bCs/>
          <w:color w:val="1F3864"/>
          <w:sz w:val="36"/>
          <w:szCs w:val="36"/>
        </w:rPr>
        <w:t>6.  mNAV Framework</w:t>
      </w:r>
    </w:p>
    <w:p>
      <w:pPr>
        <w:pStyle w:val="Heading2"/>
        <w:spacing w:before="280" w:after="80"/>
        <w:rPr/>
      </w:pPr>
      <w:r>
        <w:rPr>
          <w:rFonts w:eastAsia="Arial" w:cs="Arial" w:ascii="Arial" w:hAnsi="Arial"/>
          <w:b/>
          <w:bCs/>
          <w:color w:val="2E75B6"/>
          <w:sz w:val="28"/>
          <w:szCs w:val="28"/>
        </w:rPr>
        <w:t>6.1  Liquidity-Adjusted NAV (aNAV)</w:t>
      </w:r>
    </w:p>
    <w:p>
      <w:pPr>
        <w:pStyle w:val="Normal"/>
        <w:spacing w:before="60" w:after="80"/>
        <w:rPr/>
      </w:pPr>
      <w:r>
        <w:rPr>
          <w:rFonts w:eastAsia="Arial" w:cs="Arial"/>
          <w:sz w:val="20"/>
          <w:szCs w:val="20"/>
        </w:rPr>
        <w:t>All mNAV figures in this document use mark-to-market NAV — the $2,123 ETH price applied to all 4.8M ETH. However, BMNR holds 3.98% of all ETH supply. Selling that position at market prices would take months and would move prices materially against the seller. A 15% concentration haircut is therefore appropriate, producing a liquidity-adjusted NAV (aNAV) of ~$10.44B vs the reported $11.97B. The reported mNAV of 0.78x (updated: BMNR at $22.14, ETH at $2,398) is approximately 0.90x on an aNAV basis — close to parity, not the deep discount it superficially appears.</w:t>
      </w:r>
    </w:p>
    <w:p>
      <w:pPr>
        <w:pStyle w:val="Normal"/>
        <w:spacing w:before="40" w:after="40"/>
        <w:rPr/>
      </w:pPr>
      <w:r>
        <w:rPr/>
      </w:r>
    </w:p>
    <w:p>
      <w:pPr>
        <w:pStyle w:val="Heading2"/>
        <w:spacing w:before="280" w:after="80"/>
        <w:rPr/>
      </w:pPr>
      <w:r>
        <w:rPr>
          <w:rFonts w:eastAsia="Arial" w:cs="Arial" w:ascii="Arial" w:hAnsi="Arial"/>
          <w:b/>
          <w:bCs/>
          <w:color w:val="2E75B6"/>
          <w:sz w:val="28"/>
          <w:szCs w:val="28"/>
        </w:rPr>
        <w:t>6.2  The Current Discount — Why It Exists and How It Closes</w:t>
      </w:r>
    </w:p>
    <w:p>
      <w:pPr>
        <w:pStyle w:val="Normal"/>
        <w:spacing w:before="60" w:after="80"/>
        <w:rPr/>
      </w:pPr>
      <w:r>
        <w:rPr>
          <w:rFonts w:eastAsia="Arial" w:cs="Arial"/>
          <w:sz w:val="20"/>
          <w:szCs w:val="20"/>
        </w:rPr>
        <w:t>The current sub-1.0x discount has four identifiable structural drivers, each with a specific resolution catalyst:</w:t>
      </w:r>
    </w:p>
    <w:p>
      <w:pPr>
        <w:pStyle w:val="ListParagraph"/>
        <w:numPr>
          <w:ilvl w:val="0"/>
          <w:numId w:val="1"/>
        </w:numPr>
        <w:spacing w:before="40" w:after="40"/>
        <w:rPr/>
      </w:pPr>
      <w:r>
        <w:rPr>
          <w:rFonts w:eastAsia="Arial" w:cs="Arial"/>
          <w:sz w:val="20"/>
          <w:szCs w:val="20"/>
        </w:rPr>
        <w:t>NYSE uplisting newness (April 9, 2026 — 4 days before this document): post-uplisting discounts are normal until new institutional investors complete position-building. Resolves within 60–90 days.</w:t>
      </w:r>
    </w:p>
    <w:p>
      <w:pPr>
        <w:pStyle w:val="ListParagraph"/>
        <w:numPr>
          <w:ilvl w:val="0"/>
          <w:numId w:val="1"/>
        </w:numPr>
        <w:spacing w:before="40" w:after="40"/>
        <w:rPr/>
      </w:pPr>
      <w:r>
        <w:rPr>
          <w:rFonts w:eastAsia="Arial" w:cs="Arial"/>
          <w:sz w:val="20"/>
          <w:szCs w:val="20"/>
        </w:rPr>
        <w:t>Russell 3000 inclusion lag: next reconstitution is scheduled. Until forced buyers act, the discount persists. Inclusion triggers ~$1B+ of passive fund buying.</w:t>
      </w:r>
    </w:p>
    <w:p>
      <w:pPr>
        <w:pStyle w:val="ListParagraph"/>
        <w:numPr>
          <w:ilvl w:val="0"/>
          <w:numId w:val="1"/>
        </w:numPr>
        <w:spacing w:before="40" w:after="40"/>
        <w:rPr/>
      </w:pPr>
      <w:r>
        <w:rPr>
          <w:rFonts w:eastAsia="Arial" w:cs="Arial"/>
          <w:sz w:val="20"/>
          <w:szCs w:val="20"/>
        </w:rPr>
        <w:t>First dividend payment pending: yield-seeking funds do not allocate until they see actual dividend flow. Resolves on first payment date.</w:t>
      </w:r>
    </w:p>
    <w:p>
      <w:pPr>
        <w:pStyle w:val="ListParagraph"/>
        <w:numPr>
          <w:ilvl w:val="0"/>
          <w:numId w:val="1"/>
        </w:numPr>
        <w:spacing w:before="40" w:after="40"/>
        <w:rPr/>
      </w:pPr>
      <w:r>
        <w:rPr>
          <w:rFonts w:eastAsia="Arial" w:cs="Arial"/>
          <w:sz w:val="20"/>
          <w:szCs w:val="20"/>
        </w:rPr>
        <w:t>CLARITY Act uncertainty: if the bill stalls past May 2026, institutional allocators who represent the expected premium-justifiers fail to arrive, and the discount persists or widens. This is the primary risk to discount closure. See Section 9.1 for the four-scenario probability framework — the Bear scenario assumes CLARITY fails and mNAV stays at 0.78–0.90x indefinitely.</w:t>
      </w:r>
    </w:p>
    <w:p>
      <w:pPr>
        <w:pStyle w:val="ListParagraph"/>
        <w:numPr>
          <w:ilvl w:val="0"/>
          <w:numId w:val="1"/>
        </w:numPr>
        <w:spacing w:before="40" w:after="40"/>
        <w:rPr/>
      </w:pPr>
      <w:r>
        <w:rPr>
          <w:rFonts w:eastAsia="Arial" w:cs="Arial"/>
          <w:sz w:val="20"/>
          <w:szCs w:val="20"/>
        </w:rPr>
        <w:t>$4B buyback authorization vs funded capacity: The $4B is a Board authorization ceiling and confidence signal — not a funded deployment commitment. Near-term funded capacity is ~$864M cash (41M shares at $21). Ongoing pace is bounded by MAVAN FCF. This distinction matters: per-share NAV growth from buybacks is slower than models assuming full $4B deployment would suggest. See share count methodology note in Section 9.</w:t>
      </w:r>
    </w:p>
    <w:p>
      <w:pPr>
        <w:pStyle w:val="Normal"/>
        <w:spacing w:before="40" w:after="40"/>
        <w:rPr/>
      </w:pPr>
      <w:r>
        <w:rPr/>
      </w:r>
    </w:p>
    <w:p>
      <w:pPr>
        <w:pStyle w:val="Heading2"/>
        <w:spacing w:before="280" w:after="80"/>
        <w:rPr/>
      </w:pPr>
      <w:r>
        <w:rPr>
          <w:rFonts w:eastAsia="Arial" w:cs="Arial" w:ascii="Arial" w:hAnsi="Arial"/>
          <w:b/>
          <w:bCs/>
          <w:color w:val="2E75B6"/>
          <w:sz w:val="28"/>
          <w:szCs w:val="28"/>
        </w:rPr>
        <w:t>6.2b  mNAV — Dual Methodology (This Document vs bmnr.rocks)</w:t>
      </w:r>
    </w:p>
    <w:p>
      <w:pPr>
        <w:pStyle w:val="Normal"/>
        <w:spacing w:before="60" w:after="80"/>
        <w:rPr/>
      </w:pPr>
      <w:r>
        <w:rPr>
          <w:rFonts w:eastAsia="Arial" w:cs="Arial"/>
          <w:sz w:val="20"/>
          <w:szCs w:val="20"/>
        </w:rPr>
        <w:t>Two mNAV figures are commonly cited for BMNR. They differ solely because of share count. Method 1 (used in this document) uses approximately 455 million shares from press coverage as a lower bound. Method 2, per bmnr.rocks, uses approximately 530 million predicted shares derived by tracking every ETH purchase and estimating at-the-market (ATM) equity issuances. BMNR stopped disclosing share count in weekly press releases after August 2025 (Kerrisdale Capital, October 2025). The true count will be confirmed in the April 29, 2026 10-Q.</w:t>
      </w:r>
    </w:p>
    <w:tbl>
      <w:tblPr>
        <w:tblW w:w="6800" w:type="dxa"/>
        <w:jc w:val="left"/>
        <w:tblInd w:w="0" w:type="dxa"/>
        <w:tblLayout w:type="fixed"/>
        <w:tblCellMar>
          <w:top w:w="80" w:type="dxa"/>
          <w:left w:w="100" w:type="dxa"/>
          <w:bottom w:w="80" w:type="dxa"/>
          <w:right w:w="100" w:type="dxa"/>
        </w:tblCellMar>
      </w:tblPr>
      <w:tblGrid>
        <w:gridCol w:w="1600"/>
        <w:gridCol w:w="1200"/>
        <w:gridCol w:w="1199"/>
        <w:gridCol w:w="1400"/>
        <w:gridCol w:w="1401"/>
      </w:tblGrid>
      <w:tr>
        <w:trPr>
          <w:tblHeader w:val="true"/>
        </w:trPr>
        <w:tc>
          <w:tcPr>
            <w:tcW w:w="1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Method</w:t>
            </w:r>
          </w:p>
        </w:tc>
        <w:tc>
          <w:tcPr>
            <w:tcW w:w="12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Shares Used</w:t>
            </w:r>
          </w:p>
        </w:tc>
        <w:tc>
          <w:tcPr>
            <w:tcW w:w="1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NAV / Share</w:t>
            </w:r>
          </w:p>
        </w:tc>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mNAV at $22.14</w:t>
            </w:r>
          </w:p>
        </w:tc>
        <w:tc>
          <w:tcPr>
            <w:tcW w:w="14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Assessment</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Method 1 — Press coverage (this document)</w:t>
            </w:r>
          </w:p>
        </w:tc>
        <w:tc>
          <w:tcPr>
            <w:tcW w:w="1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~455M (IBTimes Apr 14)</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$29.40</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0.753x</w:t>
            </w:r>
          </w:p>
        </w:tc>
        <w:tc>
          <w:tcPr>
            <w:tcW w:w="1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Lower bound. Likely undercounts ATM dilution since Aug 2025.</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Method 2 — bmnr.rocks predicted</w:t>
            </w:r>
          </w:p>
        </w:tc>
        <w:tc>
          <w:tcPr>
            <w:tcW w:w="1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~530M (ATM model)</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$25.24</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0.877x</w:t>
            </w:r>
          </w:p>
        </w:tc>
        <w:tc>
          <w:tcPr>
            <w:tcW w:w="14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Best estimate. Tracks capital raises to infer share issuances.</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True value (April 29 10-Q)</w:t>
            </w:r>
          </w:p>
        </w:tc>
        <w:tc>
          <w:tcPr>
            <w:tcW w:w="1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455M–530M</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$25.24–$27.62</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0.81x–0.94x</w:t>
            </w:r>
          </w:p>
        </w:tc>
        <w:tc>
          <w:tcPr>
            <w:tcW w:w="1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Confirmed on next official quarterly filing.</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6.3  Sum-of-Parts Floor (SOTP)</w:t>
      </w:r>
    </w:p>
    <w:p>
      <w:pPr>
        <w:pStyle w:val="Normal"/>
        <w:spacing w:before="60" w:after="80"/>
        <w:rPr/>
      </w:pPr>
      <w:r>
        <w:rPr>
          <w:rFonts w:eastAsia="Arial" w:cs="Arial"/>
          <w:sz w:val="20"/>
          <w:szCs w:val="20"/>
        </w:rPr>
        <w:t>A SOTP analysis reveals that reported mNAV understates BMNR's value by omitting MAVAN's standalone earnings value. At 20x the current $196M annualized staking yield, MAVAN alone is worth $3.9B — entirely uncaptured in the NAV figure. This creates an independent analytical floor: even if the ETH NAV were marked down, MAVAN's infrastructure earnings value should prevent BMNR from trading meaningfully below ~$13.7B on an aNAV + SOTP basis.</w:t>
      </w:r>
    </w:p>
    <w:p>
      <w:pPr>
        <w:pStyle w:val="Normal"/>
        <w:spacing w:before="40" w:after="40"/>
        <w:rPr/>
      </w:pPr>
      <w:r>
        <w:rPr/>
      </w:r>
    </w:p>
    <w:tbl>
      <w:tblPr>
        <w:tblW w:w="9360" w:type="dxa"/>
        <w:jc w:val="left"/>
        <w:tblInd w:w="0" w:type="dxa"/>
        <w:tblLayout w:type="fixed"/>
        <w:tblCellMar>
          <w:top w:w="80" w:type="dxa"/>
          <w:left w:w="100" w:type="dxa"/>
          <w:bottom w:w="80" w:type="dxa"/>
          <w:right w:w="100" w:type="dxa"/>
        </w:tblCellMar>
      </w:tblPr>
      <w:tblGrid>
        <w:gridCol w:w="1759"/>
        <w:gridCol w:w="1501"/>
        <w:gridCol w:w="1759"/>
        <w:gridCol w:w="4340"/>
      </w:tblGrid>
      <w:tr>
        <w:trPr>
          <w:tblHeader w:val="true"/>
        </w:trPr>
        <w:tc>
          <w:tcPr>
            <w:tcW w:w="17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Component</w:t>
            </w:r>
          </w:p>
        </w:tc>
        <w:tc>
          <w:tcPr>
            <w:tcW w:w="15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Mark-to-Market Value</w:t>
            </w:r>
          </w:p>
        </w:tc>
        <w:tc>
          <w:tcPr>
            <w:tcW w:w="17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Liquidity-Adjusted Value</w:t>
            </w:r>
          </w:p>
        </w:tc>
        <w:tc>
          <w:tcPr>
            <w:tcW w:w="434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Basis / Notes</w:t>
            </w:r>
          </w:p>
        </w:tc>
      </w:tr>
      <w:tr>
        <w:trPr/>
        <w:tc>
          <w:tcPr>
            <w:tcW w:w="1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treasury (4.8M ETH @ $2,123)</w:t>
            </w:r>
          </w:p>
        </w:tc>
        <w:tc>
          <w:tcPr>
            <w:tcW w:w="15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$10.20B</w:t>
            </w:r>
          </w:p>
        </w:tc>
        <w:tc>
          <w:tcPr>
            <w:tcW w:w="1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$8.67B</w:t>
            </w:r>
          </w:p>
        </w:tc>
        <w:tc>
          <w:tcPr>
            <w:tcW w:w="43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 concentration haircut: selling 4.8M ETH into $15–25B daily volume would take months and move price materially against the seller</w:t>
            </w:r>
          </w:p>
        </w:tc>
      </w:tr>
      <w:tr>
        <w:trPr/>
        <w:tc>
          <w:tcPr>
            <w:tcW w:w="17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MAVAN (at 20x $196M earnings)</w:t>
            </w:r>
          </w:p>
        </w:tc>
        <w:tc>
          <w:tcPr>
            <w:tcW w:w="15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$3.92B</w:t>
            </w:r>
          </w:p>
        </w:tc>
        <w:tc>
          <w:tcPr>
            <w:tcW w:w="17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$3.92B</w:t>
            </w:r>
          </w:p>
        </w:tc>
        <w:tc>
          <w:tcPr>
            <w:tcW w:w="43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Infrastructure earnings multiple. At 20x, MAVAN standalone value already exceeds BMNR's entire implied equity discount.</w:t>
            </w:r>
          </w:p>
        </w:tc>
      </w:tr>
      <w:tr>
        <w:trPr/>
        <w:tc>
          <w:tcPr>
            <w:tcW w:w="1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Cash</w:t>
            </w:r>
          </w:p>
        </w:tc>
        <w:tc>
          <w:tcPr>
            <w:tcW w:w="15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$0.86B</w:t>
            </w:r>
          </w:p>
        </w:tc>
        <w:tc>
          <w:tcPr>
            <w:tcW w:w="1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$0.86B</w:t>
            </w:r>
          </w:p>
        </w:tc>
        <w:tc>
          <w:tcPr>
            <w:tcW w:w="43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At face value</w:t>
            </w:r>
          </w:p>
        </w:tc>
      </w:tr>
      <w:tr>
        <w:trPr/>
        <w:tc>
          <w:tcPr>
            <w:tcW w:w="17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Beast Industries</w:t>
            </w:r>
          </w:p>
        </w:tc>
        <w:tc>
          <w:tcPr>
            <w:tcW w:w="15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$0.20B</w:t>
            </w:r>
          </w:p>
        </w:tc>
        <w:tc>
          <w:tcPr>
            <w:tcW w:w="17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$0.20B</w:t>
            </w:r>
          </w:p>
        </w:tc>
        <w:tc>
          <w:tcPr>
            <w:tcW w:w="43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Book value; no liquidity haircut applied</w:t>
            </w:r>
          </w:p>
        </w:tc>
      </w:tr>
      <w:tr>
        <w:trPr/>
        <w:tc>
          <w:tcPr>
            <w:tcW w:w="1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Eightco (ORBS)</w:t>
            </w:r>
          </w:p>
        </w:tc>
        <w:tc>
          <w:tcPr>
            <w:tcW w:w="15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$0.085B</w:t>
            </w:r>
          </w:p>
        </w:tc>
        <w:tc>
          <w:tcPr>
            <w:tcW w:w="1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$0.085B</w:t>
            </w:r>
          </w:p>
        </w:tc>
        <w:tc>
          <w:tcPr>
            <w:tcW w:w="43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Book value ($85M, Apr 2026); no liquidity haircut applied</w:t>
            </w:r>
          </w:p>
        </w:tc>
      </w:tr>
      <w:tr>
        <w:trPr/>
        <w:tc>
          <w:tcPr>
            <w:tcW w:w="17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SOTP Total</w:t>
            </w:r>
          </w:p>
        </w:tc>
        <w:tc>
          <w:tcPr>
            <w:tcW w:w="15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~$15.27B</w:t>
            </w:r>
          </w:p>
        </w:tc>
        <w:tc>
          <w:tcPr>
            <w:tcW w:w="17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~$13.74B</w:t>
            </w:r>
          </w:p>
        </w:tc>
        <w:tc>
          <w:tcPr>
            <w:tcW w:w="43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vs. current market cap ~$9.9B = 0.64x SOTP (mark-to-market) or 0.71x SOTP (liquidity-adjusted)</w:t>
            </w:r>
          </w:p>
        </w:tc>
      </w:tr>
      <w:tr>
        <w:trPr/>
        <w:tc>
          <w:tcPr>
            <w:tcW w:w="1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Reported NAV (mNAV basis)</w:t>
            </w:r>
          </w:p>
        </w:tc>
        <w:tc>
          <w:tcPr>
            <w:tcW w:w="15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$11.97B</w:t>
            </w:r>
          </w:p>
        </w:tc>
        <w:tc>
          <w:tcPr>
            <w:tcW w:w="1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$10.44B</w:t>
            </w:r>
          </w:p>
        </w:tc>
        <w:tc>
          <w:tcPr>
            <w:tcW w:w="43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Excludes MAVAN earnings value. Current 0.78x reported mNAV = 0.93x liquidity-adjusted. SOTP approach adds $3.3B of MAVAN infrastructure value not captured in NAV.</w:t>
            </w:r>
          </w:p>
        </w:tc>
      </w:tr>
    </w:tbl>
    <w:p>
      <w:pPr>
        <w:pStyle w:val="Normal"/>
        <w:spacing w:before="40" w:after="40"/>
        <w:rPr/>
      </w:pPr>
      <w:r>
        <w:rPr/>
      </w:r>
    </w:p>
    <w:p>
      <w:pPr>
        <w:pStyle w:val="Normal"/>
        <w:spacing w:before="60" w:after="60"/>
        <w:rPr/>
      </w:pPr>
      <w:r>
        <w:rPr>
          <w:rFonts w:eastAsia="Arial" w:cs="Arial"/>
          <w:i/>
          <w:iCs/>
          <w:color w:val="777777"/>
          <w:sz w:val="18"/>
          <w:szCs w:val="18"/>
        </w:rPr>
        <w:t>SOTP methodology: ETH treasury at mark-to-market with 15% concentration haircut; MAVAN at 20x LTM staking yield (infrastructure earnings multiple consistent with MLP/REIT comps); strategic stakes at book value. The SOTP floor is non-static — it scales with both ETH price and MAVAN revenue growth.</w:t>
      </w:r>
    </w:p>
    <w:p>
      <w:pPr>
        <w:pStyle w:val="Normal"/>
        <w:spacing w:before="40" w:after="40"/>
        <w:rPr/>
      </w:pPr>
      <w:r>
        <w:rPr/>
      </w:r>
    </w:p>
    <w:p>
      <w:pPr>
        <w:pStyle w:val="Heading2"/>
        <w:spacing w:before="280" w:after="80"/>
        <w:rPr/>
      </w:pPr>
      <w:r>
        <w:rPr>
          <w:rFonts w:eastAsia="Arial" w:cs="Arial" w:ascii="Arial" w:hAnsi="Arial"/>
          <w:b/>
          <w:bCs/>
          <w:color w:val="2E75B6"/>
          <w:sz w:val="28"/>
          <w:szCs w:val="28"/>
        </w:rPr>
        <w:t>6.4  Peer Comparables</w:t>
      </w:r>
    </w:p>
    <w:p>
      <w:pPr>
        <w:pStyle w:val="Normal"/>
        <w:spacing w:before="60" w:after="80"/>
        <w:rPr/>
      </w:pPr>
      <w:r>
        <w:rPr>
          <w:rFonts w:eastAsia="Arial" w:cs="Arial"/>
          <w:sz w:val="20"/>
          <w:szCs w:val="20"/>
        </w:rPr>
        <w:t>The mNAV framework has historically lacked peer comparables. The table below establishes the relevant reference set and what each implies about BMNR's justified range. The key insight is that the only companies that have sustained 3.0x+ NAV multiples are pure narrative treasury vehicles with zero yield and first-mover monopoly status. BMNR's staking yield raises the floor (investors get paid to hold) but lowers the maximum speculative premium.</w:t>
      </w:r>
    </w:p>
    <w:p>
      <w:pPr>
        <w:pStyle w:val="Normal"/>
        <w:spacing w:before="40" w:after="40"/>
        <w:rPr/>
      </w:pPr>
      <w:r>
        <w:rPr/>
      </w:r>
    </w:p>
    <w:tbl>
      <w:tblPr>
        <w:tblW w:w="9360" w:type="dxa"/>
        <w:jc w:val="left"/>
        <w:tblInd w:w="0" w:type="dxa"/>
        <w:tblLayout w:type="fixed"/>
        <w:tblCellMar>
          <w:top w:w="80" w:type="dxa"/>
          <w:left w:w="100" w:type="dxa"/>
          <w:bottom w:w="80" w:type="dxa"/>
          <w:right w:w="100" w:type="dxa"/>
        </w:tblCellMar>
      </w:tblPr>
      <w:tblGrid>
        <w:gridCol w:w="1560"/>
        <w:gridCol w:w="1800"/>
        <w:gridCol w:w="1580"/>
        <w:gridCol w:w="4419"/>
      </w:tblGrid>
      <w:tr>
        <w:trPr>
          <w:tblHeader w:val="true"/>
        </w:trPr>
        <w:tc>
          <w:tcPr>
            <w:tcW w:w="15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Comparable</w:t>
            </w:r>
          </w:p>
        </w:tc>
        <w:tc>
          <w:tcPr>
            <w:tcW w:w="1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Structure</w:t>
            </w:r>
          </w:p>
        </w:tc>
        <w:tc>
          <w:tcPr>
            <w:tcW w:w="158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Typical NAV Multiple Range</w:t>
            </w:r>
          </w:p>
        </w:tc>
        <w:tc>
          <w:tcPr>
            <w:tcW w:w="441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Key Insight for BMNR</w:t>
            </w:r>
          </w:p>
        </w:tc>
      </w:tr>
      <w:tr>
        <w:trPr/>
        <w:tc>
          <w:tcPr>
            <w:tcW w:w="1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MSTR (peak 2021)</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Pure BTC treasury, no yield</w:t>
            </w:r>
          </w:p>
        </w:tc>
        <w:tc>
          <w:tcPr>
            <w:tcW w:w="15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~3.3x peak, ~1.1x trough</w:t>
            </w:r>
          </w:p>
        </w:tc>
        <w:tc>
          <w:tcPr>
            <w:tcW w:w="44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Peak required: first-mover monopoly + S&amp;P inclusion + zero-yield (narrative-only premium). BMNR's staking yield should raise the floor but lower the speculative ceiling vs MSTR.</w:t>
            </w:r>
          </w:p>
        </w:tc>
      </w:tr>
      <w:tr>
        <w:trPr/>
        <w:tc>
          <w:tcPr>
            <w:tcW w:w="1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MSTR (current 2026)</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Same structure, mature</w:t>
            </w:r>
          </w:p>
        </w:tc>
        <w:tc>
          <w:tcPr>
            <w:tcW w:w="15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~1.5–2.0x</w:t>
            </w:r>
          </w:p>
        </w:tc>
        <w:tc>
          <w:tcPr>
            <w:tcW w:w="44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Post-peak re-rating. 25%+ of BTC treasury companies now below book. Key reference for how quickly premiums collapse after cycle peak.</w:t>
            </w:r>
          </w:p>
        </w:tc>
      </w:tr>
      <w:tr>
        <w:trPr/>
        <w:tc>
          <w:tcPr>
            <w:tcW w:w="1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Galaxy Digital (GLXY)</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Diversified crypto operator + principal investments</w:t>
            </w:r>
          </w:p>
        </w:tc>
        <w:tc>
          <w:tcPr>
            <w:tcW w:w="15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0.9–1.8x across cycle</w:t>
            </w:r>
          </w:p>
        </w:tc>
        <w:tc>
          <w:tcPr>
            <w:tcW w:w="44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Most direct structural comp for BMNR's treasury + operational model. Suggests 1.5–1.8x is a realistic sustained base when operations are healthy.</w:t>
            </w:r>
          </w:p>
        </w:tc>
      </w:tr>
      <w:tr>
        <w:trPr/>
        <w:tc>
          <w:tcPr>
            <w:tcW w:w="1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Marathon Digital (MARA)</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BTC miner + treasury</w:t>
            </w:r>
          </w:p>
        </w:tc>
        <w:tc>
          <w:tcPr>
            <w:tcW w:w="15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1.2–2.2x</w:t>
            </w:r>
          </w:p>
        </w:tc>
        <w:tc>
          <w:tcPr>
            <w:tcW w:w="44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Operational crypto company with revenue stream. Higher floor than pure treasury — analogous to BMNR once MAVAN-as-a-Service is material.</w:t>
            </w:r>
          </w:p>
        </w:tc>
      </w:tr>
      <w:tr>
        <w:trPr/>
        <w:tc>
          <w:tcPr>
            <w:tcW w:w="1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GBTC / ETHE (pre-ETF)</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Closed-end NAV wrapper</w:t>
            </w:r>
          </w:p>
        </w:tc>
        <w:tc>
          <w:tcPr>
            <w:tcW w:w="15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30–50% discount to NAV persistent</w:t>
            </w:r>
          </w:p>
        </w:tc>
        <w:tc>
          <w:tcPr>
            <w:tcW w:w="44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Critical downside reference. BMNR's current 0.78x discount echoes this pattern — structured concentration + liquidity constraints create persistent discounts until a forced-buying catalyst arrives.</w:t>
            </w:r>
          </w:p>
        </w:tc>
      </w:tr>
      <w:tr>
        <w:trPr/>
        <w:tc>
          <w:tcPr>
            <w:tcW w:w="1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MLP / Infrastructure REITs</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Yield-generating infrastructure</w:t>
            </w:r>
          </w:p>
        </w:tc>
        <w:tc>
          <w:tcPr>
            <w:tcW w:w="15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12–18x EBITDA</w:t>
            </w:r>
          </w:p>
        </w:tc>
        <w:tc>
          <w:tcPr>
            <w:tcW w:w="44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Relevant once MAVAN-as-a-Service revenue is material. At $200M+ MAVAN revenue, standalone value $3–4B at infrastructure multiples — an independent floor separate from ETH NAV.</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6.5  Revised mNAV Framework</w:t>
      </w:r>
    </w:p>
    <w:p>
      <w:pPr>
        <w:pStyle w:val="Normal"/>
        <w:spacing w:before="60" w:after="80"/>
        <w:rPr/>
      </w:pPr>
      <w:r>
        <w:rPr>
          <w:rFonts w:eastAsia="Arial" w:cs="Arial"/>
          <w:sz w:val="20"/>
          <w:szCs w:val="20"/>
        </w:rPr>
        <w:t>The framework below uses aNAV (liquidity-adjusted NAV) rather than mark-to-market NAV, adds a sub-1.0x structural discount tier reflecting current reality, and replaces the prior 3.0x+ open-ended ceiling with a bounded 2.50–3.20x range with explicit conditions. The 3.20x ceiling is a firm analytical cap absent a new first-mover monopoly catalyst equivalent to MSTR's S&amp;P 500 inclusion.</w:t>
      </w:r>
    </w:p>
    <w:p>
      <w:pPr>
        <w:pStyle w:val="Normal"/>
        <w:spacing w:before="40" w:after="40"/>
        <w:rPr/>
      </w:pPr>
      <w:r>
        <w:rPr/>
      </w:r>
    </w:p>
    <w:tbl>
      <w:tblPr>
        <w:tblW w:w="9360" w:type="dxa"/>
        <w:jc w:val="left"/>
        <w:tblInd w:w="0" w:type="dxa"/>
        <w:tblLayout w:type="fixed"/>
        <w:tblCellMar>
          <w:top w:w="80" w:type="dxa"/>
          <w:left w:w="100" w:type="dxa"/>
          <w:bottom w:w="80" w:type="dxa"/>
          <w:right w:w="100" w:type="dxa"/>
        </w:tblCellMar>
      </w:tblPr>
      <w:tblGrid>
        <w:gridCol w:w="1400"/>
        <w:gridCol w:w="1159"/>
        <w:gridCol w:w="1800"/>
        <w:gridCol w:w="5000"/>
      </w:tblGrid>
      <w:tr>
        <w:trPr>
          <w:tblHeader w:val="true"/>
        </w:trPr>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Phase</w:t>
            </w:r>
          </w:p>
        </w:tc>
        <w:tc>
          <w:tcPr>
            <w:tcW w:w="11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aNAV Multiple Range</w:t>
            </w:r>
          </w:p>
        </w:tc>
        <w:tc>
          <w:tcPr>
            <w:tcW w:w="1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Context</w:t>
            </w:r>
          </w:p>
        </w:tc>
        <w:tc>
          <w:tcPr>
            <w:tcW w:w="5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Specific BMNR Conditions</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Structural discount</w:t>
            </w:r>
          </w:p>
        </w:tc>
        <w:tc>
          <w:tcPr>
            <w:tcW w:w="11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0.70 – 0.95x</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Current state / deep bear</w:t>
            </w:r>
          </w:p>
        </w:tc>
        <w:tc>
          <w:tcPr>
            <w:tcW w:w="5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below $3,000; CLARITY Act stalled; Russell 3000 reconstitution not yet triggered; dividend not yet paying; no MAVAN-as-a-Service revenue. Note: current 0.78x reported mNAV ≈ 0.93x on liquidity-adjusted basis (15% concentration haircut on $10.2B ETH position).</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NAV parity</w:t>
            </w:r>
          </w:p>
        </w:tc>
        <w:tc>
          <w:tcPr>
            <w:tcW w:w="11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0.95 – 1.25x</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Discount closed</w:t>
            </w:r>
          </w:p>
        </w:tc>
        <w:tc>
          <w:tcPr>
            <w:tcW w:w="5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$864M cash buyback deployed (~41M shares retired); Russell 3000 inclusion confirmed (forces ~$1B+ passive buying); MAVAN yield at $300M+; first dividend paid; ETH $3,000–5,000. Note: the $4B authorization signals management conviction but near-term funded capacity is $864M, not $4B.</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Infrastructure premium</w:t>
            </w:r>
          </w:p>
        </w:tc>
        <w:tc>
          <w:tcPr>
            <w:tcW w:w="11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1.25 – 1.75x</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MAVAN-as-a-Service live</w:t>
            </w:r>
          </w:p>
        </w:tc>
        <w:tc>
          <w:tcPr>
            <w:tcW w:w="5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MAVAN-as-a-Service generating third-party institutional revenue (shifts valuation toward earnings multiple); ETH $5,000–10,000; CLARITY Act signed or near-signed; MAVAN standalone worth $3–4B at 15–18x EBITDA.</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Treasury + yield premium</w:t>
            </w:r>
          </w:p>
        </w:tc>
        <w:tc>
          <w:tcPr>
            <w:tcW w:w="11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1.75 – 2.50x</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Full MAVAN + regulatory clarity</w:t>
            </w:r>
          </w:p>
        </w:tc>
        <w:tc>
          <w:tcPr>
            <w:tcW w:w="5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$10,000–25,000; restaking live (MAVAN yield 7%+); institutional staking ETF flows confirmed; S&amp;P 500 inclusion eligible; agent gas demand structural.</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Macro store-of-value premium</w:t>
            </w:r>
          </w:p>
        </w:tc>
        <w:tc>
          <w:tcPr>
            <w:tcW w:w="11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2.50 – 3.20x</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as gold alternative + SWIFT</w:t>
            </w:r>
          </w:p>
        </w:tc>
        <w:tc>
          <w:tcPr>
            <w:tcW w:w="5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$25,000+; SWF allocation confirmed; SWIFT stablecoin layer on ETH rails; ETH deflationary -1%+ net annualized; wartime store-of-value narrative dominant. 3.20x represents a firm analytical ceiling absent a new first-mover monopoly catalyst.</w:t>
            </w:r>
          </w:p>
        </w:tc>
      </w:tr>
    </w:tbl>
    <w:p>
      <w:pPr>
        <w:pStyle w:val="Normal"/>
        <w:rPr/>
      </w:pPr>
      <w:r>
        <w:rPr/>
      </w:r>
      <w:r>
        <w:br w:type="page"/>
      </w:r>
    </w:p>
    <w:p>
      <w:pPr>
        <w:pStyle w:val="Heading1"/>
        <w:spacing w:before="0" w:after="120"/>
        <w:rPr/>
      </w:pPr>
      <w:r>
        <w:rPr>
          <w:rFonts w:eastAsia="Arial" w:cs="Arial" w:ascii="Arial" w:hAnsi="Arial"/>
          <w:b/>
          <w:bCs/>
          <w:color w:val="1F3864"/>
          <w:sz w:val="36"/>
          <w:szCs w:val="36"/>
        </w:rPr>
        <w:t>7.  BMNR Tailwinds — Complete Summary (18 Tailwinds)</w:t>
      </w:r>
    </w:p>
    <w:p>
      <w:pPr>
        <w:pStyle w:val="Normal"/>
        <w:spacing w:before="60" w:after="80"/>
        <w:rPr/>
      </w:pPr>
      <w:r>
        <w:rPr>
          <w:rFonts w:eastAsia="Arial" w:cs="Arial"/>
          <w:sz w:val="20"/>
          <w:szCs w:val="20"/>
        </w:rPr>
        <w:t>Colour coding: Green = Active Now, Blue = Near-Term (1–2yr), Teal = Structural (already generating revenue/volume), Amber = Wildcard, Gold = New Near-Term, Sage = New Structural, Sky = New Macro.</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1299"/>
        <w:gridCol w:w="760"/>
        <w:gridCol w:w="1101"/>
        <w:gridCol w:w="3299"/>
        <w:gridCol w:w="1901"/>
      </w:tblGrid>
      <w:tr>
        <w:trPr>
          <w:tblHeader w:val="true"/>
        </w:trPr>
        <w:tc>
          <w:tcPr>
            <w:tcW w:w="12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Tailwind</w:t>
            </w:r>
          </w:p>
        </w:tc>
        <w:tc>
          <w:tcPr>
            <w:tcW w:w="7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Status</w:t>
            </w:r>
          </w:p>
        </w:tc>
        <w:tc>
          <w:tcPr>
            <w:tcW w:w="11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Category</w:t>
            </w:r>
          </w:p>
        </w:tc>
        <w:tc>
          <w:tcPr>
            <w:tcW w:w="32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How It Works — Specific Mechanism</w:t>
            </w:r>
          </w:p>
        </w:tc>
        <w:tc>
          <w:tcPr>
            <w:tcW w:w="19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Price Contribution to BMNR</w:t>
            </w:r>
          </w:p>
        </w:tc>
      </w:tr>
      <w:tr>
        <w:trPr/>
        <w:tc>
          <w:tcPr>
            <w:tcW w:w="1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$4B Share Buyback Auth.</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Active Now</w:t>
            </w:r>
          </w:p>
        </w:tc>
        <w:tc>
          <w:tcPr>
            <w:tcW w:w="1101" w:type="dxa"/>
            <w:tcBorders>
              <w:top w:val="single" w:sz="2" w:space="0" w:color="BFBFBF"/>
              <w:left w:val="single" w:sz="2" w:space="0" w:color="BFBFBF"/>
              <w:bottom w:val="single" w:sz="2" w:space="0" w:color="BFBFBF"/>
              <w:right w:val="single" w:sz="2" w:space="0" w:color="BFBFBF"/>
            </w:tcBorders>
            <w:shd w:fill="D6E4F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 Equity Catalyst</w:t>
            </w:r>
          </w:p>
        </w:tc>
        <w:tc>
          <w:tcPr>
            <w:tcW w:w="3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~32M shares retired from $719M remaining cash at $22.14/share. Ongoing pace ~$98M/yr from MAVAN FCF. Each 10M shares retired = +~$0.45/share at current NAV.</w:t>
            </w:r>
          </w:p>
        </w:tc>
        <w:tc>
          <w:tcPr>
            <w:tcW w:w="1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Price floor signal; accretive NAV/share improvement; management confidence signal that current price is below intrinsic value.</w:t>
            </w:r>
          </w:p>
        </w:tc>
      </w:tr>
      <w:tr>
        <w:trPr/>
        <w:tc>
          <w:tcPr>
            <w:tcW w:w="1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MAVAN Staking Revenue</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Active Now</w:t>
            </w:r>
          </w:p>
        </w:tc>
        <w:tc>
          <w:tcPr>
            <w:tcW w:w="1101" w:type="dxa"/>
            <w:tcBorders>
              <w:top w:val="single" w:sz="2" w:space="0" w:color="BFBFBF"/>
              <w:left w:val="single" w:sz="2" w:space="0" w:color="BFBFBF"/>
              <w:bottom w:val="single" w:sz="2" w:space="0" w:color="BFBFBF"/>
              <w:right w:val="single" w:sz="2" w:space="0" w:color="BFBFBF"/>
            </w:tcBorders>
            <w:shd w:fill="D6E4F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 Equity Catalyst</w:t>
            </w:r>
          </w:p>
        </w:tc>
        <w:tc>
          <w:tcPr>
            <w:tcW w:w="3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$196M/yr at current ETH $2,333; scales to ~$530M at ETH $10,000; ~$1.4B at ETH $30,000. 3.33M ETH × 2.8% base yield. At 20x EBITDA multiple: MAVAN standalone = $3.9B of value not in NAV.</w:t>
            </w:r>
          </w:p>
        </w:tc>
        <w:tc>
          <w:tcPr>
            <w:tcW w:w="1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Drives SOTP floor above 1.0x mNAV; enables dividend; funds buybacks; justifies mNAV expansion from 0.78x toward 1.25-1.75x infrastructure tier.</w:t>
            </w:r>
          </w:p>
        </w:tc>
      </w:tr>
      <w:tr>
        <w:trPr/>
        <w:tc>
          <w:tcPr>
            <w:tcW w:w="1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MAVAN-as-a-Service</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Active Now</w:t>
            </w:r>
          </w:p>
        </w:tc>
        <w:tc>
          <w:tcPr>
            <w:tcW w:w="1101" w:type="dxa"/>
            <w:tcBorders>
              <w:top w:val="single" w:sz="2" w:space="0" w:color="BFBFBF"/>
              <w:left w:val="single" w:sz="2" w:space="0" w:color="BFBFBF"/>
              <w:bottom w:val="single" w:sz="2" w:space="0" w:color="BFBFBF"/>
              <w:right w:val="single" w:sz="2" w:space="0" w:color="BFBFBF"/>
            </w:tcBorders>
            <w:shd w:fill="D6E4F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 Equity Catalyst</w:t>
            </w:r>
          </w:p>
        </w:tc>
        <w:tc>
          <w:tcPr>
            <w:tcW w:w="3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White-label staking for institutions, DAOs, protocol treasuries. Each $1B delegated stake at 3% yield = $30M additional annual revenue. Early client announcements = direct mNAV re-rating trigger.</w:t>
            </w:r>
          </w:p>
        </w:tc>
        <w:tc>
          <w:tcPr>
            <w:tcW w:w="1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Revenue diversification beyond treasury; shifts BMNR valuation toward earnings multiple (12-18x EBITDA) rather than pure mNAV; first institutional client = key 2026 catalyst.</w:t>
            </w:r>
          </w:p>
        </w:tc>
      </w:tr>
      <w:tr>
        <w:trPr/>
        <w:tc>
          <w:tcPr>
            <w:tcW w:w="1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MEV Capture</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Active Now</w:t>
            </w:r>
          </w:p>
        </w:tc>
        <w:tc>
          <w:tcPr>
            <w:tcW w:w="1101" w:type="dxa"/>
            <w:tcBorders>
              <w:top w:val="single" w:sz="2" w:space="0" w:color="BFBFBF"/>
              <w:left w:val="single" w:sz="2" w:space="0" w:color="BFBFBF"/>
              <w:bottom w:val="single" w:sz="2" w:space="0" w:color="BFBFBF"/>
              <w:right w:val="single" w:sz="2" w:space="0" w:color="BFBFBF"/>
            </w:tcBorders>
            <w:shd w:fill="D6E4F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 Equity Catalyst</w:t>
            </w:r>
          </w:p>
        </w:tc>
        <w:tc>
          <w:tcPr>
            <w:tcW w:w="3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10-30% yield premium above base staking from Maximal Extractable Value. At 3.33M ETH: adds $20-60M/yr at current prices; scales to $200-600M/yr at ETH $30,000.</w:t>
            </w:r>
          </w:p>
        </w:tc>
        <w:tc>
          <w:tcPr>
            <w:tcW w:w="1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Amplifies MAVAN yield premium vs stablecoin competition; directly improves the yield spread that determines mNAV within the 1.25-2.50x growth premium tier.</w:t>
            </w:r>
          </w:p>
        </w:tc>
      </w:tr>
      <w:tr>
        <w:trPr/>
        <w:tc>
          <w:tcPr>
            <w:tcW w:w="1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NYSE / Russell 3000</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Active Now</w:t>
            </w:r>
          </w:p>
        </w:tc>
        <w:tc>
          <w:tcPr>
            <w:tcW w:w="1101" w:type="dxa"/>
            <w:tcBorders>
              <w:top w:val="single" w:sz="2" w:space="0" w:color="BFBFBF"/>
              <w:left w:val="single" w:sz="2" w:space="0" w:color="BFBFBF"/>
              <w:bottom w:val="single" w:sz="2" w:space="0" w:color="BFBFBF"/>
              <w:right w:val="single" w:sz="2" w:space="0" w:color="BFBFBF"/>
            </w:tcBorders>
            <w:shd w:fill="D6E4F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 Equity Catalyst</w:t>
            </w:r>
          </w:p>
        </w:tc>
        <w:tc>
          <w:tcPr>
            <w:tcW w:w="3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NYSE uplisted April 9, 2026. Russell 3000 inclusion at next reconstitution (June 2026 estimated). Forces ~$1B+ in passive fund buying. S&amp;P 500 eligibility long-term.</w:t>
            </w:r>
          </w:p>
        </w:tc>
        <w:tc>
          <w:tcPr>
            <w:tcW w:w="1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+$1B passive forced buying at June reconstitution; expands institutional investor base; S&amp;P 500 pathway creates multi-billion dollar future forced buying event.</w:t>
            </w:r>
          </w:p>
        </w:tc>
      </w:tr>
      <w:tr>
        <w:trPr/>
        <w:tc>
          <w:tcPr>
            <w:tcW w:w="1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Annual Dividend</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Near-Term</w:t>
            </w:r>
          </w:p>
        </w:tc>
        <w:tc>
          <w:tcPr>
            <w:tcW w:w="1101" w:type="dxa"/>
            <w:tcBorders>
              <w:top w:val="single" w:sz="2" w:space="0" w:color="BFBFBF"/>
              <w:left w:val="single" w:sz="2" w:space="0" w:color="BFBFBF"/>
              <w:bottom w:val="single" w:sz="2" w:space="0" w:color="BFBFBF"/>
              <w:right w:val="single" w:sz="2" w:space="0" w:color="BFBFBF"/>
            </w:tcBorders>
            <w:shd w:fill="D6E4F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 Equity Catalyst</w:t>
            </w:r>
          </w:p>
        </w:tc>
        <w:tc>
          <w:tcPr>
            <w:tcW w:w="3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First dividend payment creates yield-seeking investor category. Funded by MAVAN staking revenue. Expands addressable investor universe to income-focused funds and ETFs.</w:t>
            </w:r>
          </w:p>
        </w:tc>
        <w:tc>
          <w:tcPr>
            <w:tcW w:w="1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Removes holding barrier for yield-mandate funds; justifies premium above pure NAV; creates predictable cash return independent of ETH price.</w:t>
            </w:r>
          </w:p>
        </w:tc>
      </w:tr>
      <w:tr>
        <w:trPr/>
        <w:tc>
          <w:tcPr>
            <w:tcW w:w="1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Restaking / EigenLayer</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Active Now</w:t>
            </w:r>
          </w:p>
        </w:tc>
        <w:tc>
          <w:tcPr>
            <w:tcW w:w="1101" w:type="dxa"/>
            <w:tcBorders>
              <w:top w:val="single" w:sz="2" w:space="0" w:color="BFBFBF"/>
              <w:left w:val="single" w:sz="2" w:space="0" w:color="BFBFBF"/>
              <w:bottom w:val="single" w:sz="2" w:space="0" w:color="BFBFBF"/>
              <w:right w:val="single" w:sz="2" w:space="0" w:color="BFBFBF"/>
            </w:tcBorders>
            <w:shd w:fill="D6E4F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 Equity Catalyst</w:t>
            </w:r>
          </w:p>
        </w:tc>
        <w:tc>
          <w:tcPr>
            <w:tcW w:w="3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3-4% additional yield (2026) on top of 2.8% base. EigenLayer TVL $13B. MAVAN effective yield: 6-8% today → 4-5% by 2029 as AVS market matures. See Section 8.1 for full yield compression model.</w:t>
            </w:r>
          </w:p>
        </w:tc>
        <w:tc>
          <w:tcPr>
            <w:tcW w:w="1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Structural hedge against stablecoin yield competition through 2027; keeps MAVAN competitive during 8-12% DeFi yield peaks; partially offsets Channel 1 risk in Section 11.</w:t>
            </w:r>
          </w:p>
        </w:tc>
      </w:tr>
      <w:tr>
        <w:trPr/>
        <w:tc>
          <w:tcPr>
            <w:tcW w:w="1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RWA Tokenization</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Structural</w:t>
            </w:r>
          </w:p>
        </w:tc>
        <w:tc>
          <w:tcPr>
            <w:tcW w:w="1101"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Price Driver</w:t>
            </w:r>
          </w:p>
        </w:tc>
        <w:tc>
          <w:tcPr>
            <w:tcW w:w="3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$29.1B on-chain today (Apr 2026). ETH share ~62%. Growth: +300% YoY. BCG 2030: $16T total, 50% ETH share = $8T. Working capital demand: 1.5% of AUM held in ETH = ~$22.5B forced demand by 2030.</w:t>
            </w:r>
          </w:p>
        </w:tc>
        <w:tc>
          <w:tcPr>
            <w:tcW w:w="1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+5-12% to 2030 ETH price (direct supply reduction). Reflexive monetary premium potentially +15-20% additional. PRIMARY structural driver — see Section 15.2 and 15.13.</w:t>
            </w:r>
          </w:p>
        </w:tc>
      </w:tr>
      <w:tr>
        <w:trPr/>
        <w:tc>
          <w:tcPr>
            <w:tcW w:w="1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Sovereign Wealth Funds</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New — Structural</w:t>
            </w:r>
          </w:p>
        </w:tc>
        <w:tc>
          <w:tcPr>
            <w:tcW w:w="1101"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Price Driver</w:t>
            </w:r>
          </w:p>
        </w:tc>
        <w:tc>
          <w:tcPr>
            <w:tcW w:w="3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$12T global SWF assets. 1% allocation = $120B buying pressure. Permanent supply squeeze: $120B ÷ $30,000 = 4M ETH = 3.3% of supply. Base case (Section 16.4): ~$60B deployed by 2030.</w:t>
            </w:r>
          </w:p>
        </w:tc>
        <w:tc>
          <w:tcPr>
            <w:tcW w:w="1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 to 2030 ETH price via supply squeeze. Primary CLARITY Act-dependent driver. First SWF announcement post-CLARITY = significant near-term price catalyst.</w:t>
            </w:r>
          </w:p>
        </w:tc>
      </w:tr>
      <w:tr>
        <w:trPr/>
        <w:tc>
          <w:tcPr>
            <w:tcW w:w="1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Agentic AI + Stablecoins</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Structural</w:t>
            </w:r>
          </w:p>
        </w:tc>
        <w:tc>
          <w:tcPr>
            <w:tcW w:w="1101"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Price Driver</w:t>
            </w:r>
          </w:p>
        </w:tc>
        <w:tc>
          <w:tcPr>
            <w:tcW w:w="3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McKinsey $3-5T agent commerce by 2030. 98.6% of agent payments in USDC via x402. Direct gas burn: $400M/yr at 2030 scale (modest). Primary value is monetary premium narrative: ETH as machine-economy reserve.</w:t>
            </w:r>
          </w:p>
        </w:tc>
        <w:tc>
          <w:tcPr>
            <w:tcW w:w="1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 direct gas burn contribution by 2030. Larger impact via monetary premium: justifies 5-8% of gold monetary premium capture independently. See Section 15.12 (lowest sensitivity to failure).</w:t>
            </w:r>
          </w:p>
        </w:tc>
      </w:tr>
      <w:tr>
        <w:trPr/>
        <w:tc>
          <w:tcPr>
            <w:tcW w:w="1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SWIFT Migration</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New — Structural</w:t>
            </w:r>
          </w:p>
        </w:tc>
        <w:tc>
          <w:tcPr>
            <w:tcW w:w="11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Sub-component (RWA)</w:t>
            </w:r>
          </w:p>
        </w:tc>
        <w:tc>
          <w:tcPr>
            <w:tcW w:w="3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SWIFT processes ~$5T/day. Stablecoin settlement layer by 2027 (target). If SWIFT settles on ETH rails, gas demand transformational. Subset of RWA/institutional cluster — not additive.</w:t>
            </w:r>
          </w:p>
        </w:tc>
        <w:tc>
          <w:tcPr>
            <w:tcW w:w="1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Already captured in RWA structural demand floor. If materialises as standalone: could add $5-15B/day in ETH transaction value, significantly accelerating blob saturation.</w:t>
            </w:r>
          </w:p>
        </w:tc>
      </w:tr>
      <w:tr>
        <w:trPr/>
        <w:tc>
          <w:tcPr>
            <w:tcW w:w="1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Charles Schwab Direct ETH</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Near-Term</w:t>
            </w:r>
          </w:p>
        </w:tc>
        <w:tc>
          <w:tcPr>
            <w:tcW w:w="11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Sub-component (SWF)</w:t>
            </w:r>
          </w:p>
        </w:tc>
        <w:tc>
          <w:tcPr>
            <w:tcW w:w="3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Confirmed H1 2026 launch. Schwab manages $9.4T in client assets. 0.1% allocation = $9.4B ETH demand. Primarily enables institutional adoption — already captured in SWF/institutional cluster.</w:t>
            </w:r>
          </w:p>
        </w:tc>
        <w:tc>
          <w:tcPr>
            <w:tcW w:w="1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Subset of institutional buy cluster. Not independently additive to ETH price model. Significance: lowers friction for $9.4T in Schwab-managed assets to reach ETH.</w:t>
            </w:r>
          </w:p>
        </w:tc>
      </w:tr>
      <w:tr>
        <w:trPr/>
        <w:tc>
          <w:tcPr>
            <w:tcW w:w="1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DePIN Gas Demand</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Structural</w:t>
            </w:r>
          </w:p>
        </w:tc>
        <w:tc>
          <w:tcPr>
            <w:tcW w:w="11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Sub-component (AI)</w:t>
            </w:r>
          </w:p>
        </w:tc>
        <w:tc>
          <w:tcPr>
            <w:tcW w:w="3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Decentralised Physical Infrastructure: Render, Filecoin, Helium. Generates ETH gas from compute/storage/wireless coordination. Growing but small relative to RWA/agent demand.</w:t>
            </w:r>
          </w:p>
        </w:tc>
        <w:tc>
          <w:tcPr>
            <w:tcW w:w="1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Subset of agent/gas burn cluster. Not independently additive. Contributes to blob saturation thesis — helps push utilisation from 20-30% toward the 70-80% threshold.</w:t>
            </w:r>
          </w:p>
        </w:tc>
      </w:tr>
      <w:tr>
        <w:trPr/>
        <w:tc>
          <w:tcPr>
            <w:tcW w:w="1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ORBS / OpenAI IPO</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Wildcard</w:t>
            </w:r>
          </w:p>
        </w:tc>
        <w:tc>
          <w:tcPr>
            <w:tcW w:w="1101" w:type="dxa"/>
            <w:tcBorders>
              <w:top w:val="single" w:sz="2" w:space="0" w:color="BFBFBF"/>
              <w:left w:val="single" w:sz="2" w:space="0" w:color="BFBFBF"/>
              <w:bottom w:val="single" w:sz="2" w:space="0" w:color="BFBFBF"/>
              <w:right w:val="single" w:sz="2" w:space="0" w:color="BFBFBF"/>
            </w:tcBorders>
            <w:shd w:fill="FFF3E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 NAV Asset</w:t>
            </w:r>
          </w:p>
        </w:tc>
        <w:tc>
          <w:tcPr>
            <w:tcW w:w="3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$92M book value. ORBS holds ~$90M OpenAI preferred stock + $25M Beast equity. OpenAI IPO target H2 2026/Q1 2027. At $1T IPO valuation: ORBS stake ~$900M (+$808M). See ORBS/Beast contribution table in Section 9.</w:t>
            </w:r>
          </w:p>
        </w:tc>
        <w:tc>
          <w:tcPr>
            <w:tcW w:w="1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At current ETH: +$1.75/share at book, +$18/share if ORBS reaches $900M. At bear ETH: proportionally larger (5-15% of total BMNR price). Most impactful at bear-to-base ETH range.</w:t>
            </w:r>
          </w:p>
        </w:tc>
      </w:tr>
      <w:tr>
        <w:trPr/>
        <w:tc>
          <w:tcPr>
            <w:tcW w:w="1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Beast Industries / MrBeast</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Wildcard</w:t>
            </w:r>
          </w:p>
        </w:tc>
        <w:tc>
          <w:tcPr>
            <w:tcW w:w="1101" w:type="dxa"/>
            <w:tcBorders>
              <w:top w:val="single" w:sz="2" w:space="0" w:color="BFBFBF"/>
              <w:left w:val="single" w:sz="2" w:space="0" w:color="BFBFBF"/>
              <w:bottom w:val="single" w:sz="2" w:space="0" w:color="BFBFBF"/>
              <w:right w:val="single" w:sz="2" w:space="0" w:color="BFBFBF"/>
            </w:tcBorders>
            <w:shd w:fill="FFF3E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 NAV Asset</w:t>
            </w:r>
          </w:p>
        </w:tc>
        <w:tc>
          <w:tcPr>
            <w:tcW w:w="3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$200M direct equity. MrBeast Financial DeFi platform (not yet launched). 450M+ global audience. IPO timeline 2027-2029. At $10B IPO valuation: stake worth ~$1.4B (+$1.2B). MAVAN distribution channel.</w:t>
            </w:r>
          </w:p>
        </w:tc>
        <w:tc>
          <w:tcPr>
            <w:tcW w:w="1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At current ETH: +$0.43/share at book, +$2.61/share at $1.4B. Greater impact at bear ETH (8-12% of total BMNR price). Binary event: MrBeast Financial launch is the key trigger.</w:t>
            </w:r>
          </w:p>
        </w:tc>
      </w:tr>
      <w:tr>
        <w:trPr/>
        <w:tc>
          <w:tcPr>
            <w:tcW w:w="1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CLARITY Act</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Near-Term</w:t>
            </w:r>
          </w:p>
        </w:tc>
        <w:tc>
          <w:tcPr>
            <w:tcW w:w="1101" w:type="dxa"/>
            <w:tcBorders>
              <w:top w:val="single" w:sz="2" w:space="0" w:color="BFBFBF"/>
              <w:left w:val="single" w:sz="2" w:space="0" w:color="BFBFBF"/>
              <w:bottom w:val="single" w:sz="2" w:space="0" w:color="BFBFBF"/>
              <w:right w:val="single" w:sz="2" w:space="0" w:color="BFBFBF"/>
            </w:tcBorders>
            <w:shd w:fill="FFF8E1"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Enabling Condition</w:t>
            </w:r>
          </w:p>
        </w:tc>
        <w:tc>
          <w:tcPr>
            <w:tcW w:w="3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Senate markup targeted late April 2026 (TODAY — Senate returned from recess April 13). Permanently classifies ETH as CFTC commodity. Unlocks SWF, pension, Schwab. Without CLARITY: Bear scenario becomes near-certain.</w:t>
            </w:r>
          </w:p>
        </w:tc>
        <w:tc>
          <w:tcPr>
            <w:tcW w:w="1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GATES all institutional drivers. Without CLARITY: SWF = $0, institutional mNAV premium collapses from 1.4-2.8x to 0.85-1.3x. CLARITY passage alone = +30-50% ETH price impact. See Section 16.2.</w:t>
            </w:r>
          </w:p>
        </w:tc>
      </w:tr>
      <w:tr>
        <w:trPr/>
        <w:tc>
          <w:tcPr>
            <w:tcW w:w="1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GENIUS Act / Stablecoins</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Active Now</w:t>
            </w:r>
          </w:p>
        </w:tc>
        <w:tc>
          <w:tcPr>
            <w:tcW w:w="1101" w:type="dxa"/>
            <w:tcBorders>
              <w:top w:val="single" w:sz="2" w:space="0" w:color="BFBFBF"/>
              <w:left w:val="single" w:sz="2" w:space="0" w:color="BFBFBF"/>
              <w:bottom w:val="single" w:sz="2" w:space="0" w:color="BFBFBF"/>
              <w:right w:val="single" w:sz="2" w:space="0" w:color="BFBFBF"/>
            </w:tcBorders>
            <w:shd w:fill="FFF8E1"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Enabling Condition</w:t>
            </w:r>
          </w:p>
        </w:tc>
        <w:tc>
          <w:tcPr>
            <w:tcW w:w="3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Signed July 2025. Established federal stablecoin framework. Banks can issue stablecoins. Enables agent economy and RWA tokenization at institutional scale. CLARITY Act stablecoin yield ban still unresolved.</w:t>
            </w:r>
          </w:p>
        </w:tc>
        <w:tc>
          <w:tcPr>
            <w:tcW w:w="1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Already in effect. Enables drivers A (RWA), C (agents). The stablecoin yield ban provision in CLARITY (March 23 draft) creates a dual impact — see Section 11.4 for full analysis.</w:t>
            </w:r>
          </w:p>
        </w:tc>
      </w:tr>
      <w:tr>
        <w:trPr/>
        <w:tc>
          <w:tcPr>
            <w:tcW w:w="1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Glamstrdam Upgrade</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Near-Term</w:t>
            </w:r>
          </w:p>
        </w:tc>
        <w:tc>
          <w:tcPr>
            <w:tcW w:w="1101" w:type="dxa"/>
            <w:tcBorders>
              <w:top w:val="single" w:sz="2" w:space="0" w:color="BFBFBF"/>
              <w:left w:val="single" w:sz="2" w:space="0" w:color="BFBFBF"/>
              <w:bottom w:val="single" w:sz="2" w:space="0" w:color="BFBFBF"/>
              <w:right w:val="single" w:sz="2" w:space="0" w:color="BFBFBF"/>
            </w:tcBorders>
            <w:shd w:fill="FFF8E1"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Enabling Condition</w:t>
            </w:r>
          </w:p>
        </w:tc>
        <w:tc>
          <w:tcPr>
            <w:tcW w:w="3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H1 2026 planned. 78.6% gas fee reduction + parallel transaction processing. Makes ETH L1 competitive for high-value transactions (RWA settlement, institutional DeFi). Expands addressable market.</w:t>
            </w:r>
          </w:p>
        </w:tc>
        <w:tc>
          <w:tcPr>
            <w:tcW w:w="1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Not independently additive to ETH price. Enables RWA and agent demand to reach L1 at scale. Critical for blob saturation timeline — lower fees → higher volume → faster path to 70-80% blob utilisation.</w:t>
            </w:r>
          </w:p>
        </w:tc>
      </w:tr>
      <w:tr>
        <w:trPr/>
        <w:tc>
          <w:tcPr>
            <w:tcW w:w="1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Federal Reserve Rate Cuts</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Active Now</w:t>
            </w:r>
          </w:p>
        </w:tc>
        <w:tc>
          <w:tcPr>
            <w:tcW w:w="1101" w:type="dxa"/>
            <w:tcBorders>
              <w:top w:val="single" w:sz="2" w:space="0" w:color="BFBFBF"/>
              <w:left w:val="single" w:sz="2" w:space="0" w:color="BFBFBF"/>
              <w:bottom w:val="single" w:sz="2" w:space="0" w:color="BFBFBF"/>
              <w:right w:val="single" w:sz="2" w:space="0" w:color="BFBFBF"/>
            </w:tcBorders>
            <w:shd w:fill="FFF8E1"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Enabling Condition</w:t>
            </w:r>
          </w:p>
        </w:tc>
        <w:tc>
          <w:tcPr>
            <w:tcW w:w="32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Fed funds rate ~3.5-3.75% (cutting cycle underway). Rate cuts compress T-bill yields, improving MAVAN staking yield premium vs risk-free rate. Also supports broader crypto sector risk appetite.</w:t>
            </w:r>
          </w:p>
        </w:tc>
        <w:tc>
          <w:tcPr>
            <w:tcW w:w="1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Amplifier for MAVAN yield premium, not an independent ETH demand driver. Already captured in mNAV expansion assumptions. A 100bps cut improves MAVAN's competitive yield by ~100bps.</w:t>
            </w:r>
          </w:p>
        </w:tc>
      </w:tr>
      <w:tr>
        <w:trPr/>
        <w:tc>
          <w:tcPr>
            <w:tcW w:w="1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as Gold Alternative</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New — Macro</w:t>
            </w:r>
          </w:p>
        </w:tc>
        <w:tc>
          <w:tcPr>
            <w:tcW w:w="1101" w:type="dxa"/>
            <w:tcBorders>
              <w:top w:val="single" w:sz="2" w:space="0" w:color="BFBFBF"/>
              <w:left w:val="single" w:sz="2" w:space="0" w:color="BFBFBF"/>
              <w:bottom w:val="single" w:sz="2" w:space="0" w:color="BFBFBF"/>
              <w:right w:val="single" w:sz="2" w:space="0" w:color="BFBFBF"/>
            </w:tcBorders>
            <w:shd w:fill="E3F2FD"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Scenario Modifier</w:t>
            </w:r>
          </w:p>
        </w:tc>
        <w:tc>
          <w:tcPr>
            <w:tcW w:w="32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gained 6.8% vs gold -18.4% since Iran war began (Tom Lee). Gold market cap $18T vs ETH ~$280B. NOT embedded in Table F base case. 1% gold capture = +$1,500/ETH; 10% = +$15,000/ETH; 30% = +$45,000/ETH.</w:t>
            </w:r>
          </w:p>
        </w:tc>
        <w:tc>
          <w:tcPr>
            <w:tcW w:w="1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NOT in any base case table. Shown as text line below Table F. At 10% gold capture: +$15,000/ETH → +~$360 to 2030 base BMNR. At 30%: transforms $30,000 ETH base into $75,000 ETH. See Section 8.3.</w:t>
            </w:r>
          </w:p>
        </w:tc>
      </w:tr>
    </w:tbl>
    <w:p>
      <w:pPr>
        <w:pStyle w:val="Normal"/>
        <w:spacing w:before="40" w:after="40"/>
        <w:rPr/>
      </w:pPr>
      <w:r>
        <w:rPr/>
      </w:r>
    </w:p>
    <w:p>
      <w:pPr>
        <w:pStyle w:val="Normal"/>
        <w:spacing w:before="60" w:after="60"/>
        <w:rPr/>
      </w:pPr>
      <w:r>
        <w:rPr>
          <w:rFonts w:eastAsia="Arial" w:cs="Arial"/>
          <w:i/>
          <w:iCs/>
          <w:color w:val="777777"/>
          <w:sz w:val="18"/>
          <w:szCs w:val="18"/>
        </w:rPr>
        <w:t>v6 classification: tailwinds are now categorised by analytical role — ETH Price Driver (new demand for ETH), BMNR Equity Catalyst (affects mNAV/earnings, not ETH price), Enabling Condition (removes barriers; unlocks other drivers already counted), or Sub-component (captured within a broader driver). Prior versions treated all 18 as equally additive to ETH price — corrected in v6.</w:t>
      </w:r>
    </w:p>
    <w:p>
      <w:pPr>
        <w:pStyle w:val="Normal"/>
        <w:rPr/>
      </w:pPr>
      <w:r>
        <w:rPr/>
      </w:r>
      <w:r>
        <w:br w:type="page"/>
      </w:r>
    </w:p>
    <w:p>
      <w:pPr>
        <w:pStyle w:val="Heading1"/>
        <w:spacing w:before="0" w:after="120"/>
        <w:rPr/>
      </w:pPr>
      <w:r>
        <w:rPr>
          <w:rFonts w:eastAsia="Arial" w:cs="Arial" w:ascii="Arial" w:hAnsi="Arial"/>
          <w:b/>
          <w:bCs/>
          <w:color w:val="1F3864"/>
          <w:sz w:val="36"/>
          <w:szCs w:val="36"/>
        </w:rPr>
        <w:t>8.  New Tailwinds — Detailed Analysis</w:t>
      </w:r>
    </w:p>
    <w:p>
      <w:pPr>
        <w:pStyle w:val="Heading2"/>
        <w:spacing w:before="280" w:after="80"/>
        <w:rPr/>
      </w:pPr>
      <w:r>
        <w:rPr>
          <w:rFonts w:eastAsia="Arial" w:cs="Arial" w:ascii="Arial" w:hAnsi="Arial"/>
          <w:b/>
          <w:bCs/>
          <w:color w:val="2E75B6"/>
          <w:sz w:val="28"/>
          <w:szCs w:val="28"/>
        </w:rPr>
        <w:t>8.1  Restaking / EigenLayer</w:t>
      </w:r>
    </w:p>
    <w:p>
      <w:pPr>
        <w:pStyle w:val="Normal"/>
        <w:spacing w:before="60" w:after="80"/>
        <w:rPr/>
      </w:pPr>
      <w:r>
        <w:rPr>
          <w:rFonts w:eastAsia="Arial" w:cs="Arial"/>
          <w:sz w:val="20"/>
          <w:szCs w:val="20"/>
        </w:rPr>
        <w:t>Restaking is the biggest omission from prior versions. Through protocols like EigenLayer and Symbiotic, MAVAN validators can reuse their staked ETH to simultaneously secure additional services (Actively Validated Services — oracles, data availability layers, cross-chain bridges), earning 'double-dip' rewards on top of base staking yield. EigenLayer TVL reached $13 billion by late 2025.</w:t>
      </w:r>
    </w:p>
    <w:p>
      <w:pPr>
        <w:pStyle w:val="Normal"/>
        <w:spacing w:before="40" w:after="40"/>
        <w:rPr/>
      </w:pPr>
      <w:r>
        <w:rPr/>
      </w:r>
    </w:p>
    <w:p>
      <w:pPr>
        <w:pStyle w:val="Normal"/>
        <w:spacing w:before="60" w:after="80"/>
        <w:rPr/>
      </w:pPr>
      <w:r>
        <w:rPr>
          <w:rFonts w:eastAsia="Arial" w:cs="Arial"/>
          <w:sz w:val="20"/>
          <w:szCs w:val="20"/>
        </w:rPr>
        <w:t>For BMNR specifically: MAVAN is already a validator network. If BMNR integrates restaking, it could stack an additional 3–5% yield on top of its existing ~2.8% base yield — potentially tripling MAVAN's annualized revenue from $196M toward $500–700M at current ETH prices without acquiring a single additional ETH token. At ETH $10,000 with full restaking, that scales to $2–3.5B annually.</w:t>
      </w:r>
    </w:p>
    <w:p>
      <w:pPr>
        <w:pStyle w:val="Normal"/>
        <w:spacing w:before="40" w:after="40"/>
        <w:rPr/>
      </w:pPr>
      <w:r>
        <w:rPr/>
      </w:r>
    </w:p>
    <w:p>
      <w:pPr>
        <w:pStyle w:val="ListParagraph"/>
        <w:numPr>
          <w:ilvl w:val="0"/>
          <w:numId w:val="1"/>
        </w:numPr>
        <w:spacing w:before="40" w:after="40"/>
        <w:rPr/>
      </w:pPr>
      <w:r>
        <w:rPr>
          <w:rFonts w:eastAsia="Arial" w:cs="Arial"/>
          <w:sz w:val="20"/>
          <w:szCs w:val="20"/>
        </w:rPr>
        <w:t>EigenLayer TVL: $13B as of late 2025; restaking sector at $18–20B combined across EigenLayer, Symbiotic, and Karak</w:t>
      </w:r>
    </w:p>
    <w:p>
      <w:pPr>
        <w:pStyle w:val="ListParagraph"/>
        <w:numPr>
          <w:ilvl w:val="0"/>
          <w:numId w:val="1"/>
        </w:numPr>
        <w:spacing w:before="40" w:after="40"/>
        <w:rPr/>
      </w:pPr>
      <w:r>
        <w:rPr>
          <w:rFonts w:eastAsia="Arial" w:cs="Arial"/>
          <w:sz w:val="20"/>
          <w:szCs w:val="20"/>
        </w:rPr>
        <w:t>Effective yields with restaking: 7%+ vs 2.8% base; recursive restaking strategies can reach 15–20% annualized</w:t>
      </w:r>
    </w:p>
    <w:p>
      <w:pPr>
        <w:pStyle w:val="ListParagraph"/>
        <w:numPr>
          <w:ilvl w:val="0"/>
          <w:numId w:val="1"/>
        </w:numPr>
        <w:spacing w:before="40" w:after="40"/>
        <w:rPr/>
      </w:pPr>
      <w:r>
        <w:rPr>
          <w:rFonts w:eastAsia="Arial" w:cs="Arial"/>
          <w:sz w:val="20"/>
          <w:szCs w:val="20"/>
        </w:rPr>
        <w:t>'Slashing Insurance' protocols now available — mitigating the primary risk of stacked collateral</w:t>
      </w:r>
    </w:p>
    <w:p>
      <w:pPr>
        <w:pStyle w:val="ListParagraph"/>
        <w:numPr>
          <w:ilvl w:val="0"/>
          <w:numId w:val="1"/>
        </w:numPr>
        <w:spacing w:before="40" w:after="40"/>
        <w:rPr/>
      </w:pPr>
      <w:r>
        <w:rPr>
          <w:rFonts w:eastAsia="Arial" w:cs="Arial"/>
          <w:sz w:val="20"/>
          <w:szCs w:val="20"/>
        </w:rPr>
        <w:t>Omnichain restaking went live in 2026 — cross-chain security provision creates additional revenue streams</w:t>
      </w:r>
    </w:p>
    <w:p>
      <w:pPr>
        <w:pStyle w:val="Normal"/>
        <w:spacing w:before="40" w:after="40"/>
        <w:rPr/>
      </w:pPr>
      <w:r>
        <w:rPr/>
      </w:r>
    </w:p>
    <w:p>
      <w:pPr>
        <w:pStyle w:val="Heading2"/>
        <w:spacing w:before="280" w:after="80"/>
        <w:rPr/>
      </w:pPr>
      <w:r>
        <w:rPr>
          <w:rFonts w:eastAsia="Arial" w:cs="Arial" w:ascii="Arial" w:hAnsi="Arial"/>
          <w:b/>
          <w:bCs/>
          <w:color w:val="2E75B6"/>
          <w:sz w:val="28"/>
          <w:szCs w:val="28"/>
        </w:rPr>
        <w:t>8.2  Glamsterdam Upgrade (H1 2026)</w:t>
      </w:r>
    </w:p>
    <w:p>
      <w:pPr>
        <w:pStyle w:val="Normal"/>
        <w:spacing w:before="60" w:after="80"/>
        <w:rPr/>
      </w:pPr>
      <w:r>
        <w:rPr>
          <w:rFonts w:eastAsia="Arial" w:cs="Arial"/>
          <w:sz w:val="20"/>
          <w:szCs w:val="20"/>
        </w:rPr>
        <w:t>The Glamsterdam upgrade targets Ethereum L1 efficiency through: 78.6% gas fee reduction via improved fee market mechanics; parallel transaction processing (multiple non-conflicting transactions simultaneously); and embedded PBS (proposer-builder separation) for MEV fairness. This is directly relevant to BMNR because lower gas fees expand the addressable market for MAVAN's institutional staking clients and make Ethereum dramatically more competitive for agent economy transactions vs. purpose-built chains like Tempo.</w:t>
      </w:r>
    </w:p>
    <w:p>
      <w:pPr>
        <w:pStyle w:val="Normal"/>
        <w:spacing w:before="40" w:after="40"/>
        <w:rPr/>
      </w:pPr>
      <w:r>
        <w:rPr/>
      </w:r>
    </w:p>
    <w:p>
      <w:pPr>
        <w:pStyle w:val="Heading2"/>
        <w:spacing w:before="280" w:after="80"/>
        <w:rPr/>
      </w:pPr>
      <w:r>
        <w:rPr>
          <w:rFonts w:eastAsia="Arial" w:cs="Arial" w:ascii="Arial" w:hAnsi="Arial"/>
          <w:b/>
          <w:bCs/>
          <w:color w:val="2E75B6"/>
          <w:sz w:val="28"/>
          <w:szCs w:val="28"/>
        </w:rPr>
        <w:t>8.2b  ORBS and Beast Industries — NAV Contribution Analysis</w:t>
      </w:r>
    </w:p>
    <w:p>
      <w:pPr>
        <w:pStyle w:val="Normal"/>
        <w:spacing w:before="60" w:after="80"/>
        <w:rPr/>
      </w:pPr>
      <w:r>
        <w:rPr>
          <w:rFonts w:eastAsia="Arial" w:cs="Arial"/>
          <w:sz w:val="20"/>
          <w:szCs w:val="20"/>
        </w:rPr>
        <w:t>ORBS (Eightco Holdings) and Beast Industries are direct balance sheet assets whose value accrues to BMNR shareholders independent of ETH price. Their contribution to BMNR share price is most significant at lower ETH prices — where they represent a larger fraction of total NAV — and acts as a partial floor during ETH bear markets. At high ETH prices their contribution becomes small relative to the ETH position but remains real.</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800"/>
        <w:gridCol w:w="699"/>
        <w:gridCol w:w="1000"/>
        <w:gridCol w:w="1300"/>
        <w:gridCol w:w="1300"/>
        <w:gridCol w:w="1100"/>
        <w:gridCol w:w="2160"/>
      </w:tblGrid>
      <w:tr>
        <w:trPr>
          <w:tblHeader w:val="true"/>
        </w:trPr>
        <w:tc>
          <w:tcPr>
            <w:tcW w:w="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 Price</w:t>
            </w:r>
          </w:p>
        </w:tc>
        <w:tc>
          <w:tcPr>
            <w:tcW w:w="6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mNAV</w:t>
            </w:r>
          </w:p>
        </w:tc>
        <w:tc>
          <w:tcPr>
            <w:tcW w:w="1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BMNR at book values</w:t>
            </w:r>
          </w:p>
        </w:tc>
        <w:tc>
          <w:tcPr>
            <w:tcW w:w="13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ORBS at $900M (OpenAI IPO $1T)</w:t>
            </w:r>
          </w:p>
        </w:tc>
        <w:tc>
          <w:tcPr>
            <w:tcW w:w="13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ORBS + Beast at max upside</w:t>
            </w:r>
          </w:p>
        </w:tc>
        <w:tc>
          <w:tcPr>
            <w:tcW w:w="11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Delta: book → max upside</w:t>
            </w:r>
          </w:p>
        </w:tc>
        <w:tc>
          <w:tcPr>
            <w:tcW w:w="21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Notes</w:t>
            </w:r>
          </w:p>
        </w:tc>
      </w:tr>
      <w:tr>
        <w:trPr/>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$2,333 (today)</w:t>
            </w:r>
          </w:p>
        </w:tc>
        <w:tc>
          <w:tcPr>
            <w:tcW w:w="6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0.78x</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$23 (+$1, +4.5%)</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$29 (+$7, +31.8%)</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$7/share</w:t>
            </w:r>
          </w:p>
        </w:tc>
        <w:tc>
          <w:tcPr>
            <w:tcW w:w="21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ORBS/Beast are most impactful NOW — +32% upside from OpenAI IPO + Beast Financial launch at current ETH</w:t>
            </w:r>
          </w:p>
        </w:tc>
      </w:tr>
      <w:tr>
        <w:trPr/>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$4,500 (2026 Base)</w:t>
            </w:r>
          </w:p>
        </w:tc>
        <w:tc>
          <w:tcPr>
            <w:tcW w:w="6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1.40x</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$70</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$73 (+$3, +4.3%)</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$83 (+$13, +18.6%)</w:t>
            </w:r>
          </w:p>
        </w:tc>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$13/share</w:t>
            </w:r>
          </w:p>
        </w:tc>
        <w:tc>
          <w:tcPr>
            <w:tcW w:w="21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Material at bear/base ETH — OpenAI IPO alone adds 4%</w:t>
            </w:r>
          </w:p>
        </w:tc>
      </w:tr>
      <w:tr>
        <w:trPr/>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$10,000 (2027 Base)</w:t>
            </w:r>
          </w:p>
        </w:tc>
        <w:tc>
          <w:tcPr>
            <w:tcW w:w="6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1.75x</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$188</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$191 (+$3, +1.6%)</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$205 (+$17, +9.0%)</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$17/share</w:t>
            </w:r>
          </w:p>
        </w:tc>
        <w:tc>
          <w:tcPr>
            <w:tcW w:w="21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Still meaningful but ETH NAV dominates</w:t>
            </w:r>
          </w:p>
        </w:tc>
      </w:tr>
      <w:tr>
        <w:trPr/>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$18,000 (2028 Base)</w:t>
            </w:r>
          </w:p>
        </w:tc>
        <w:tc>
          <w:tcPr>
            <w:tcW w:w="6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2.00x</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$382</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$386 (+$4, +1.0%)</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$401 (+$19, +5.0%)</w:t>
            </w:r>
          </w:p>
        </w:tc>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$19/share</w:t>
            </w:r>
          </w:p>
        </w:tc>
        <w:tc>
          <w:tcPr>
            <w:tcW w:w="21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&lt;5% contribution — ETH position overwhelms</w:t>
            </w:r>
          </w:p>
        </w:tc>
      </w:tr>
      <w:tr>
        <w:trPr/>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$30,000 (2030 Base)</w:t>
            </w:r>
          </w:p>
        </w:tc>
        <w:tc>
          <w:tcPr>
            <w:tcW w:w="6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2.30x</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$728</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$732 (+$4, +0.5%)</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$749 (+$21, +2.9%)</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$21/share</w:t>
            </w:r>
          </w:p>
        </w:tc>
        <w:tc>
          <w:tcPr>
            <w:tcW w:w="21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Minimal % but still $21/share in absolute terms</w:t>
            </w:r>
          </w:p>
        </w:tc>
      </w:tr>
      <w:tr>
        <w:trPr/>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$50,000 (2030 Bull)</w:t>
            </w:r>
          </w:p>
        </w:tc>
        <w:tc>
          <w:tcPr>
            <w:tcW w:w="6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2.80x</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$1,470</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$1,475 (+$5, +0.3%)</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$1,496 (+$26, +1.8%)</w:t>
            </w:r>
          </w:p>
        </w:tc>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$26/share</w:t>
            </w:r>
          </w:p>
        </w:tc>
        <w:tc>
          <w:tcPr>
            <w:tcW w:w="21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dominates; ORBS/Beast = floor insurance</w:t>
            </w:r>
          </w:p>
        </w:tc>
      </w:tr>
    </w:tbl>
    <w:p>
      <w:pPr>
        <w:pStyle w:val="Normal"/>
        <w:spacing w:before="40" w:after="40"/>
        <w:rPr/>
      </w:pPr>
      <w:r>
        <w:rPr/>
      </w:r>
    </w:p>
    <w:p>
      <w:pPr>
        <w:pStyle w:val="Normal"/>
        <w:spacing w:before="60" w:after="80"/>
        <w:rPr/>
      </w:pPr>
      <w:r>
        <w:rPr>
          <w:rFonts w:eastAsia="Arial" w:cs="Arial"/>
          <w:sz w:val="20"/>
          <w:szCs w:val="20"/>
        </w:rPr>
        <w:t>ORBS scenarios: Book value $85M reflects April 2026 balance sheet. At OpenAI IPO pricing of $1T total valuation, BMNR's $90M preferred position scales to approximately $900M (assuming proportional dilution). At $2T OpenAI valuation, the stake approaches $1.8B. ORBS also holds $25M in Beast Industries separately.</w:t>
      </w:r>
    </w:p>
    <w:p>
      <w:pPr>
        <w:pStyle w:val="Normal"/>
        <w:spacing w:before="40" w:after="40"/>
        <w:rPr/>
      </w:pPr>
      <w:r>
        <w:rPr/>
      </w:r>
    </w:p>
    <w:p>
      <w:pPr>
        <w:pStyle w:val="Normal"/>
        <w:spacing w:before="60" w:after="80"/>
        <w:rPr/>
      </w:pPr>
      <w:r>
        <w:rPr>
          <w:rFonts w:eastAsia="Arial" w:cs="Arial"/>
          <w:sz w:val="20"/>
          <w:szCs w:val="20"/>
        </w:rPr>
        <w:t>Beast scenarios: Book value $200M. MrBeast Financial launch (not yet live as of April 2026) is the near-term binary catalyst. An IPO at $5B valuation adds $2/share; at $10B adds $5/share; at $20B adds $12/share. These are wildcard upside scenarios that do not affect the base case probabilities.</w:t>
      </w:r>
    </w:p>
    <w:p>
      <w:pPr>
        <w:pStyle w:val="Normal"/>
        <w:spacing w:before="40" w:after="40"/>
        <w:rPr/>
      </w:pPr>
      <w:r>
        <w:rPr/>
      </w:r>
    </w:p>
    <w:p>
      <w:pPr>
        <w:pStyle w:val="Normal"/>
        <w:spacing w:before="60" w:after="60"/>
        <w:rPr/>
      </w:pPr>
      <w:r>
        <w:rPr>
          <w:rFonts w:eastAsia="Arial" w:cs="Arial"/>
          <w:i/>
          <w:iCs/>
          <w:color w:val="777777"/>
          <w:sz w:val="18"/>
          <w:szCs w:val="18"/>
        </w:rPr>
        <w:t>The most important insight from this analysis: ORBS and Beast are near-term option value at current ETH prices (up to +31% BMNR upside from current $22.14 if both maximum scenarios materialise simultaneously — adding approximately $7/share). At 2029-2030 base case ETH prices, they represent floor insurance (~1-3% of total BMNR value) rather than primary return drivers. Watch for: OpenAI IPO filing (most likely 2026 H2 or early 2027); MrBeast Financial launch announcement.</w:t>
      </w:r>
    </w:p>
    <w:p>
      <w:pPr>
        <w:pStyle w:val="Normal"/>
        <w:spacing w:before="40" w:after="40"/>
        <w:rPr/>
      </w:pPr>
      <w:r>
        <w:rPr/>
      </w:r>
    </w:p>
    <w:p>
      <w:pPr>
        <w:pStyle w:val="Heading2"/>
        <w:spacing w:before="280" w:after="80"/>
        <w:rPr/>
      </w:pPr>
      <w:r>
        <w:rPr>
          <w:rFonts w:eastAsia="Arial" w:cs="Arial" w:ascii="Arial" w:hAnsi="Arial"/>
          <w:b/>
          <w:bCs/>
          <w:color w:val="2E75B6"/>
          <w:sz w:val="28"/>
          <w:szCs w:val="28"/>
        </w:rPr>
        <w:t>8.3  ETH as Wartime Store of Value / Gold Narrative</w:t>
      </w:r>
    </w:p>
    <w:p>
      <w:pPr>
        <w:pStyle w:val="Normal"/>
        <w:spacing w:before="60" w:after="80"/>
        <w:rPr/>
      </w:pPr>
      <w:r>
        <w:rPr>
          <w:rFonts w:eastAsia="Arial" w:cs="Arial"/>
          <w:sz w:val="20"/>
          <w:szCs w:val="20"/>
        </w:rPr>
        <w:t>A new narrative with real data behind it. Since the Iran war began, ETH gained 6.8% while the S&amp;P 500 fell 11.3% and gold fell 18.4% — outperforming gold by 1,840 basis points. Tom Lee has positioned ETH as 'the wartime store of value' — sovereign-neutral, uncensorable, yield-bearing, and globally accessible 24/7 without intermediaries.</w:t>
      </w:r>
    </w:p>
    <w:p>
      <w:pPr>
        <w:pStyle w:val="Normal"/>
        <w:spacing w:before="40" w:after="40"/>
        <w:rPr/>
      </w:pPr>
      <w:r>
        <w:rPr/>
      </w:r>
    </w:p>
    <w:p>
      <w:pPr>
        <w:pStyle w:val="Normal"/>
        <w:spacing w:before="60" w:after="80"/>
        <w:rPr/>
      </w:pPr>
      <w:r>
        <w:rPr>
          <w:rFonts w:eastAsia="Arial" w:cs="Arial"/>
          <w:sz w:val="20"/>
          <w:szCs w:val="20"/>
        </w:rPr>
        <w:t>The gold narrative is NOT embedded in any base case forecast table. One data point (Iran war outperformance) does not confirm a sustained regime change from gold to ETH as a crisis reserve asset. The gold narrative is treated as a scenario modifier — additive upside above the base case if confirmed. The table below shows what each level of gold monetary premium capture adds to ETH price and BMNR share price at the 2030 base case:</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1600"/>
        <w:gridCol w:w="1199"/>
        <w:gridCol w:w="1201"/>
        <w:gridCol w:w="1399"/>
        <w:gridCol w:w="1100"/>
        <w:gridCol w:w="1860"/>
      </w:tblGrid>
      <w:tr>
        <w:trPr>
          <w:tblHeader w:val="true"/>
        </w:trPr>
        <w:tc>
          <w:tcPr>
            <w:tcW w:w="1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Gold monetary premium captured</w:t>
            </w:r>
          </w:p>
        </w:tc>
        <w:tc>
          <w:tcPr>
            <w:tcW w:w="1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Additional ETH price</w:t>
            </w:r>
          </w:p>
        </w:tc>
        <w:tc>
          <w:tcPr>
            <w:tcW w:w="12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2030 Base ETH</w:t>
            </w:r>
          </w:p>
        </w:tc>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2030 BMNR (base mNAV 2.30x)</w:t>
            </w:r>
          </w:p>
        </w:tc>
        <w:tc>
          <w:tcPr>
            <w:tcW w:w="11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BMNR delta vs base ($728)</w:t>
            </w:r>
          </w:p>
        </w:tc>
        <w:tc>
          <w:tcPr>
            <w:tcW w:w="18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Probability assessment</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0% — not embedded in any base case</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$30,000</w:t>
            </w:r>
          </w:p>
        </w:tc>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$728</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18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This is Table F base case</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 of gold's $18T market cap</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~+$1,500/ETH</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$31,500</w:t>
            </w:r>
          </w:p>
        </w:tc>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$764</w:t>
            </w:r>
          </w:p>
        </w:tc>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w:t>
            </w:r>
          </w:p>
        </w:tc>
        <w:tc>
          <w:tcPr>
            <w:tcW w:w="18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Modest; achievable if ETH appears in 1-2 SWF mandates as 'digital gold' complement</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5% of gold's $18T market cap</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~+$7,500/ETH</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$37,500</w:t>
            </w:r>
          </w:p>
        </w:tc>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$908</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+$180</w:t>
            </w:r>
          </w:p>
        </w:tc>
        <w:tc>
          <w:tcPr>
            <w:tcW w:w="18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Material; requires ETH in mainstream institutional reserve discussions</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10% of gold's $18T market cap</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~+$15,000/ETH</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$45,000</w:t>
            </w:r>
          </w:p>
        </w:tc>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$1,088</w:t>
            </w:r>
          </w:p>
        </w:tc>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w:t>
            </w:r>
          </w:p>
        </w:tc>
        <w:tc>
          <w:tcPr>
            <w:tcW w:w="18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Significant; ETH as meaningful global reserve asset alongside gold</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 of gold's $18T market cap</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~+$30,000/ETH</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$60,000</w:t>
            </w:r>
          </w:p>
        </w:tc>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$1,448</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+$720</w:t>
            </w:r>
          </w:p>
        </w:tc>
        <w:tc>
          <w:tcPr>
            <w:tcW w:w="18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Bull case territory; ETH displacing significant gold allocation</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30% of gold's $18T market cap</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~+$45,000/ETH</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$75,000</w:t>
            </w:r>
          </w:p>
        </w:tc>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$1,808</w:t>
            </w:r>
          </w:p>
        </w:tc>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+$1,080</w:t>
            </w:r>
          </w:p>
        </w:tc>
        <w:tc>
          <w:tcPr>
            <w:tcW w:w="18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Super Bull; required for $50,000 2030 (old base) to be structural, not cyclical (see Section 15.9)</w:t>
            </w:r>
          </w:p>
        </w:tc>
      </w:tr>
    </w:tbl>
    <w:p>
      <w:pPr>
        <w:pStyle w:val="Normal"/>
        <w:spacing w:before="40" w:after="40"/>
        <w:rPr/>
      </w:pPr>
      <w:r>
        <w:rPr/>
      </w:r>
    </w:p>
    <w:p>
      <w:pPr>
        <w:pStyle w:val="Normal"/>
        <w:spacing w:before="60" w:after="80"/>
        <w:rPr/>
      </w:pPr>
      <w:r>
        <w:rPr>
          <w:rFonts w:eastAsia="Arial" w:cs="Arial"/>
          <w:sz w:val="20"/>
          <w:szCs w:val="20"/>
        </w:rPr>
        <w:t>For all forecast tables: the gold narrative contribution is zero in the Bear and Base scenarios. It begins to materialise in the Bull scenario (ETH/BTC ratio recovery toward 0.085-0.10 suggests some reserve asset premium developing) and is a central driver in the Super Bull scenario (30%+ gold capture required).</w:t>
      </w:r>
    </w:p>
    <w:p>
      <w:pPr>
        <w:pStyle w:val="Normal"/>
        <w:spacing w:before="40" w:after="40"/>
        <w:rPr/>
      </w:pPr>
      <w:r>
        <w:rPr/>
      </w:r>
    </w:p>
    <w:p>
      <w:pPr>
        <w:pStyle w:val="Heading2"/>
        <w:spacing w:before="280" w:after="80"/>
        <w:rPr/>
      </w:pPr>
      <w:r>
        <w:rPr>
          <w:rFonts w:eastAsia="Arial" w:cs="Arial" w:ascii="Arial" w:hAnsi="Arial"/>
          <w:b/>
          <w:bCs/>
          <w:color w:val="2E75B6"/>
          <w:sz w:val="28"/>
          <w:szCs w:val="28"/>
        </w:rPr>
        <w:t>8.4  Sovereign Wealth Fund Allocation</w:t>
      </w:r>
    </w:p>
    <w:p>
      <w:pPr>
        <w:pStyle w:val="Normal"/>
        <w:spacing w:before="60" w:after="80"/>
        <w:rPr/>
      </w:pPr>
      <w:r>
        <w:rPr>
          <w:rFonts w:eastAsia="Arial" w:cs="Arial"/>
          <w:sz w:val="20"/>
          <w:szCs w:val="20"/>
        </w:rPr>
        <w:t>Sovereign wealth funds (SWFs) manage approximately $12 trillion globally. 76% of global investors plan to expand digital asset exposure in 2026, with 60% allocating over 5% of AUM to crypto. Regulatory clarity from the GENIUS Act and CLARITY Act is the key unlock — SWFs require legal certainty before formal allocation.</w:t>
      </w:r>
    </w:p>
    <w:p>
      <w:pPr>
        <w:pStyle w:val="Normal"/>
        <w:spacing w:before="40" w:after="40"/>
        <w:rPr/>
      </w:pPr>
      <w:r>
        <w:rPr/>
      </w:r>
    </w:p>
    <w:p>
      <w:pPr>
        <w:pStyle w:val="Normal"/>
        <w:spacing w:before="60" w:after="80"/>
        <w:rPr/>
      </w:pPr>
      <w:r>
        <w:rPr>
          <w:rFonts w:eastAsia="Arial" w:cs="Arial"/>
          <w:sz w:val="20"/>
          <w:szCs w:val="20"/>
        </w:rPr>
        <w:t>The math is straightforward: 1% SWF allocation into ETH = $120 billion of buying pressure. This is non-discretionary, long-horizon capital that does not trade in and out on sentiment. It directly reduces the ETH available in markets, amplifying price appreciation from every other demand driver. No current ETH price model has fully incorporated this potential.</w:t>
      </w:r>
    </w:p>
    <w:p>
      <w:pPr>
        <w:pStyle w:val="Normal"/>
        <w:spacing w:before="40" w:after="40"/>
        <w:rPr/>
      </w:pPr>
      <w:r>
        <w:rPr/>
      </w:r>
    </w:p>
    <w:p>
      <w:pPr>
        <w:pStyle w:val="Heading2"/>
        <w:spacing w:before="280" w:after="80"/>
        <w:rPr/>
      </w:pPr>
      <w:r>
        <w:rPr>
          <w:rFonts w:eastAsia="Arial" w:cs="Arial" w:ascii="Arial" w:hAnsi="Arial"/>
          <w:b/>
          <w:bCs/>
          <w:color w:val="2E75B6"/>
          <w:sz w:val="28"/>
          <w:szCs w:val="28"/>
        </w:rPr>
        <w:t>8.5  Federal Reserve Rate Cuts / Macro Tailwind</w:t>
      </w:r>
    </w:p>
    <w:p>
      <w:pPr>
        <w:pStyle w:val="Normal"/>
        <w:spacing w:before="60" w:after="80"/>
        <w:rPr/>
      </w:pPr>
      <w:r>
        <w:rPr>
          <w:rFonts w:eastAsia="Arial" w:cs="Arial"/>
          <w:sz w:val="20"/>
          <w:szCs w:val="20"/>
        </w:rPr>
        <w:t>The Fed is widely expected to hold rates through at least mid-2026 before cutting. Rate cuts disproportionately benefit yield-bearing assets like staked ETH. As T-bill yields decline from ~4.5% toward 2–3%, MAVAN's ~2.8% base staking yield (scaling to 7%+ with restaking) becomes increasingly attractive to capital allocators seeking yield. This is a macro amplifier on every other demand driver — not an independent catalyst but a multiplier.</w:t>
      </w:r>
    </w:p>
    <w:p>
      <w:pPr>
        <w:pStyle w:val="Normal"/>
        <w:spacing w:before="40" w:after="40"/>
        <w:rPr/>
      </w:pPr>
      <w:r>
        <w:rPr/>
      </w:r>
    </w:p>
    <w:p>
      <w:pPr>
        <w:pStyle w:val="Heading2"/>
        <w:spacing w:before="280" w:after="80"/>
        <w:rPr/>
      </w:pPr>
      <w:r>
        <w:rPr>
          <w:rFonts w:eastAsia="Arial" w:cs="Arial" w:ascii="Arial" w:hAnsi="Arial"/>
          <w:b/>
          <w:bCs/>
          <w:color w:val="2E75B6"/>
          <w:sz w:val="28"/>
          <w:szCs w:val="28"/>
        </w:rPr>
        <w:t>8.6  Charles Schwab Direct ETH Trading</w:t>
      </w:r>
    </w:p>
    <w:p>
      <w:pPr>
        <w:pStyle w:val="Normal"/>
        <w:spacing w:before="60" w:after="80"/>
        <w:rPr/>
      </w:pPr>
      <w:r>
        <w:rPr>
          <w:rFonts w:eastAsia="Arial" w:cs="Arial"/>
          <w:sz w:val="20"/>
          <w:szCs w:val="20"/>
        </w:rPr>
        <w:t>Charles Schwab confirmed direct ETH trading for H1 2026. Schwab manages $9.4 trillion in client assets across retail, advisor, and institutional accounts. This is categorically different from ETF access: direct spot ETH purchase in brokerage accounts allows clients to hold actual ETH, stake it for yield, and use it as collateral. Even 0.1% of Schwab's client assets moving into direct ETH = $9.4 billion in demand. Schwab's confirmation signals that at least one of the world's largest brokerages views direct crypto ownership as mainstream.</w:t>
      </w:r>
    </w:p>
    <w:p>
      <w:pPr>
        <w:pStyle w:val="Normal"/>
        <w:spacing w:before="40" w:after="40"/>
        <w:rPr/>
      </w:pPr>
      <w:r>
        <w:rPr/>
      </w:r>
    </w:p>
    <w:p>
      <w:pPr>
        <w:pStyle w:val="Heading2"/>
        <w:spacing w:before="280" w:after="80"/>
        <w:rPr/>
      </w:pPr>
      <w:r>
        <w:rPr>
          <w:rFonts w:eastAsia="Arial" w:cs="Arial" w:ascii="Arial" w:hAnsi="Arial"/>
          <w:b/>
          <w:bCs/>
          <w:color w:val="2E75B6"/>
          <w:sz w:val="28"/>
          <w:szCs w:val="28"/>
        </w:rPr>
        <w:t>8.7  DePIN Gas Demand</w:t>
      </w:r>
    </w:p>
    <w:p>
      <w:pPr>
        <w:pStyle w:val="Normal"/>
        <w:spacing w:before="60" w:after="80"/>
        <w:rPr/>
      </w:pPr>
      <w:r>
        <w:rPr>
          <w:rFonts w:eastAsia="Arial" w:cs="Arial"/>
          <w:sz w:val="20"/>
          <w:szCs w:val="20"/>
        </w:rPr>
        <w:t>Decentralised Physical Infrastructure Networks (Render Network, Filecoin, Helium, Akash) use ETH-denominated gas for on-chain coordination and settlement. This is distinct from AI agents (which use stablecoins) — DePIN tokens are native crypto assets requiring ETH gas. Currently early-stage and relatively small, but compounds with the agent economy as both are driven by the same underlying trend: machines replacing humans as the primary economic actors on-chain.</w:t>
      </w:r>
    </w:p>
    <w:p>
      <w:pPr>
        <w:pStyle w:val="Normal"/>
        <w:spacing w:before="40" w:after="40"/>
        <w:rPr/>
      </w:pPr>
      <w:r>
        <w:rPr/>
      </w:r>
    </w:p>
    <w:p>
      <w:pPr>
        <w:pStyle w:val="Heading2"/>
        <w:spacing w:before="280" w:after="80"/>
        <w:rPr/>
      </w:pPr>
      <w:r>
        <w:rPr>
          <w:rFonts w:eastAsia="Arial" w:cs="Arial" w:ascii="Arial" w:hAnsi="Arial"/>
          <w:b/>
          <w:bCs/>
          <w:color w:val="2E75B6"/>
          <w:sz w:val="28"/>
          <w:szCs w:val="28"/>
        </w:rPr>
        <w:t>8.8  SWIFT Migration Timeline</w:t>
      </w:r>
    </w:p>
    <w:p>
      <w:pPr>
        <w:pStyle w:val="Normal"/>
        <w:spacing w:before="60" w:after="80"/>
        <w:rPr/>
      </w:pPr>
      <w:r>
        <w:rPr>
          <w:rFonts w:eastAsia="Arial" w:cs="Arial"/>
          <w:sz w:val="20"/>
          <w:szCs w:val="20"/>
        </w:rPr>
        <w:t>SWIFT processes approximately $5 trillion in daily interbank settlement volume. Industry forecasts indicate SWIFT will be forced to launch a stablecoin settlement layer by 2027 or face material volume loss to on-chain alternatives as enterprise B2B volumes approach $100 billion per month. Visa has already signed a global partnership with Circle (March 30, 2026) for stablecoin settlement.</w:t>
      </w:r>
    </w:p>
    <w:p>
      <w:pPr>
        <w:pStyle w:val="Normal"/>
        <w:spacing w:before="40" w:after="40"/>
        <w:rPr/>
      </w:pPr>
      <w:r>
        <w:rPr/>
      </w:r>
    </w:p>
    <w:p>
      <w:pPr>
        <w:pStyle w:val="Normal"/>
        <w:spacing w:before="60" w:after="80"/>
        <w:rPr/>
      </w:pPr>
      <w:r>
        <w:rPr>
          <w:rFonts w:eastAsia="Arial" w:cs="Arial"/>
          <w:sz w:val="20"/>
          <w:szCs w:val="20"/>
        </w:rPr>
        <w:t>If SWIFT migrates even 1% of daily settlement to Ethereum-based stablecoins, that represents $50 billion/day in additional on-chain transaction volume — generating enormous ETH gas demand via EIP-1559 burns. This is the most transformative long-term catalyst in the list, and the one with the widest uncertainty range. BMNR as the largest single ETH holder would be uniquely positioned to benefit.</w:t>
      </w:r>
    </w:p>
    <w:p>
      <w:pPr>
        <w:pStyle w:val="Normal"/>
        <w:rPr/>
      </w:pPr>
      <w:r>
        <w:rPr/>
      </w:r>
      <w:r>
        <w:br w:type="page"/>
      </w:r>
    </w:p>
    <w:p>
      <w:pPr>
        <w:pStyle w:val="Heading1"/>
        <w:spacing w:before="0" w:after="120"/>
        <w:rPr/>
      </w:pPr>
      <w:r>
        <w:rPr>
          <w:rFonts w:eastAsia="Arial" w:cs="Arial" w:ascii="Arial" w:hAnsi="Arial"/>
          <w:b/>
          <w:bCs/>
          <w:color w:val="1F3864"/>
          <w:sz w:val="36"/>
          <w:szCs w:val="36"/>
        </w:rPr>
        <w:t>9.  BMNR Price Forecasts</w:t>
      </w:r>
    </w:p>
    <w:p>
      <w:pPr>
        <w:pStyle w:val="Heading2"/>
        <w:spacing w:before="280" w:after="80"/>
        <w:rPr/>
      </w:pPr>
      <w:r>
        <w:rPr>
          <w:rFonts w:eastAsia="Arial" w:cs="Arial" w:ascii="Arial" w:hAnsi="Arial"/>
          <w:b/>
          <w:bCs/>
          <w:color w:val="2E75B6"/>
          <w:sz w:val="28"/>
          <w:szCs w:val="28"/>
        </w:rPr>
        <w:t>9.1  Probability-Calibrated Scenario Framework (v18)</w:t>
      </w:r>
    </w:p>
    <w:p>
      <w:pPr>
        <w:pStyle w:val="Normal"/>
        <w:spacing w:before="60" w:after="80"/>
        <w:rPr/>
      </w:pPr>
      <w:r>
        <w:rPr>
          <w:rFonts w:eastAsia="Arial" w:cs="Arial"/>
          <w:sz w:val="20"/>
          <w:szCs w:val="20"/>
        </w:rPr>
        <w:t>All prior versions of this document presented Tables A, B, and C with a 'base case' that extended thinking analysis has revealed carries only 15–20% probability of occurring as described. The prior base case required ETH to capture 30% of gold's monetary premium by 2030 — an assumption with no historical precedent. The most probable 2026 ETH outcome is $3,500–5,000 (~50% probability), not the $6,200 prior base case. This version restructures Section 9 to present four explicitly probability-weighted scenarios, with the genuine base case (highest probability) leading.</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900"/>
        <w:gridCol w:w="799"/>
        <w:gridCol w:w="800"/>
        <w:gridCol w:w="1001"/>
        <w:gridCol w:w="800"/>
        <w:gridCol w:w="799"/>
        <w:gridCol w:w="2001"/>
        <w:gridCol w:w="1259"/>
      </w:tblGrid>
      <w:tr>
        <w:trPr>
          <w:tblHeader w:val="true"/>
        </w:trPr>
        <w:tc>
          <w:tcPr>
            <w:tcW w:w="9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Scenario</w:t>
            </w:r>
          </w:p>
        </w:tc>
        <w:tc>
          <w:tcPr>
            <w:tcW w:w="7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Probability</w:t>
            </w:r>
          </w:p>
        </w:tc>
        <w:tc>
          <w:tcPr>
            <w:tcW w:w="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 2026</w:t>
            </w:r>
          </w:p>
        </w:tc>
        <w:tc>
          <w:tcPr>
            <w:tcW w:w="10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 2029 peak</w:t>
            </w:r>
          </w:p>
        </w:tc>
        <w:tc>
          <w:tcPr>
            <w:tcW w:w="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 2030</w:t>
            </w:r>
          </w:p>
        </w:tc>
        <w:tc>
          <w:tcPr>
            <w:tcW w:w="7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BMNR 2030</w:t>
            </w:r>
          </w:p>
        </w:tc>
        <w:tc>
          <w:tcPr>
            <w:tcW w:w="20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Primary drivers</w:t>
            </w:r>
          </w:p>
        </w:tc>
        <w:tc>
          <w:tcPr>
            <w:tcW w:w="12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Key condition</w:t>
            </w:r>
          </w:p>
        </w:tc>
      </w:tr>
      <w:tr>
        <w:trPr/>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Bear</w:t>
            </w:r>
          </w:p>
        </w:tc>
        <w:tc>
          <w:tcPr>
            <w:tcW w:w="7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$2,600</w:t>
            </w:r>
          </w:p>
        </w:tc>
        <w:tc>
          <w:tcPr>
            <w:tcW w:w="1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$18,000</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$22,000</w:t>
            </w:r>
          </w:p>
        </w:tc>
        <w:tc>
          <w:tcPr>
            <w:tcW w:w="7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$275</w:t>
            </w:r>
          </w:p>
        </w:tc>
        <w:tc>
          <w:tcPr>
            <w:tcW w:w="2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CLARITY fails or stalls permanently. ETH trades as BTC beta only. No institutional premium. mNAV 0.85–1.30x throughout.</w:t>
            </w:r>
          </w:p>
        </w:tc>
        <w:tc>
          <w:tcPr>
            <w:tcW w:w="12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CLARITY Act stalls past May 2026 with no clear path to passage</w:t>
            </w:r>
          </w:p>
        </w:tc>
      </w:tr>
      <w:tr>
        <w:trPr/>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Base (most likely)</w:t>
            </w:r>
          </w:p>
        </w:tc>
        <w:tc>
          <w:tcPr>
            <w:tcW w:w="7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$4,500</w:t>
            </w:r>
          </w:p>
        </w:tc>
        <w:tc>
          <w:tcPr>
            <w:tcW w:w="1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$24,000</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$30,000</w:t>
            </w:r>
          </w:p>
        </w:tc>
        <w:tc>
          <w:tcPr>
            <w:tcW w:w="7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$715</w:t>
            </w:r>
          </w:p>
        </w:tc>
        <w:tc>
          <w:tcPr>
            <w:tcW w:w="2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CLARITY passes but RWA adoption is slower than BCG forecast ($50–100B on ETH by 2027 vs $300B+ required for bull). Modest SWF signalling. Monetary premium reaches 5–15% of gold. ETH/BTC recovers to 0.040–0.060.</w:t>
            </w:r>
          </w:p>
        </w:tc>
        <w:tc>
          <w:tcPr>
            <w:tcW w:w="12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CLARITY passes by July 2026; RWA on ETH reaches $100B by end-2027</w:t>
            </w:r>
          </w:p>
        </w:tc>
      </w:tr>
      <w:tr>
        <w:trPr/>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Bull</w:t>
            </w:r>
          </w:p>
        </w:tc>
        <w:tc>
          <w:tcPr>
            <w:tcW w:w="7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$6,200</w:t>
            </w:r>
          </w:p>
        </w:tc>
        <w:tc>
          <w:tcPr>
            <w:tcW w:w="1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$36,000</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$50,000</w:t>
            </w:r>
          </w:p>
        </w:tc>
        <w:tc>
          <w:tcPr>
            <w:tcW w:w="7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$1,445</w:t>
            </w:r>
          </w:p>
        </w:tc>
        <w:tc>
          <w:tcPr>
            <w:tcW w:w="2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Previous document base case. CLARITY + rapid institutional deployment. RWA $200–300B on ETH by 2027. 1–2 SWF announcements. Monetary premium 15–25% of gold. This is the former 'base' case — now correctly labelled.</w:t>
            </w:r>
          </w:p>
        </w:tc>
        <w:tc>
          <w:tcPr>
            <w:tcW w:w="12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RWA on ETH $200B+ by end-2027 AND at least one SWF ETH announcement</w:t>
            </w:r>
          </w:p>
        </w:tc>
      </w:tr>
      <w:tr>
        <w:trPr/>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Super Bull</w:t>
            </w:r>
          </w:p>
        </w:tc>
        <w:tc>
          <w:tcPr>
            <w:tcW w:w="7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$8,500</w:t>
            </w:r>
          </w:p>
        </w:tc>
        <w:tc>
          <w:tcPr>
            <w:tcW w:w="1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$55,000</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$80,000</w:t>
            </w:r>
          </w:p>
        </w:tc>
        <w:tc>
          <w:tcPr>
            <w:tcW w:w="7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$2,554</w:t>
            </w:r>
          </w:p>
        </w:tc>
        <w:tc>
          <w:tcPr>
            <w:tcW w:w="2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All bull drivers PLUS gold narrative begins materialising (5-10% gold capture by 2029; 20-30% by 2030). Multiple SWF deployments. RWA $500B+ on ETH by 2027. ETH/BTC above 0.10 at 2029 peak.</w:t>
            </w:r>
          </w:p>
        </w:tc>
        <w:tc>
          <w:tcPr>
            <w:tcW w:w="12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ETH/BTC &gt; 0.10 by 2029 AND gold narrative measurably developing (ETH/gold ratio rising)</w:t>
            </w:r>
          </w:p>
        </w:tc>
      </w:tr>
    </w:tbl>
    <w:p>
      <w:pPr>
        <w:pStyle w:val="Normal"/>
        <w:spacing w:before="40" w:after="40"/>
        <w:rPr/>
      </w:pPr>
      <w:r>
        <w:rPr/>
      </w:r>
    </w:p>
    <w:p>
      <w:pPr>
        <w:pStyle w:val="Normal"/>
        <w:spacing w:before="60" w:after="60"/>
        <w:rPr/>
      </w:pPr>
      <w:r>
        <w:rPr>
          <w:rFonts w:eastAsia="Arial" w:cs="Arial"/>
          <w:i/>
          <w:iCs/>
          <w:color w:val="777777"/>
          <w:sz w:val="18"/>
          <w:szCs w:val="18"/>
        </w:rPr>
        <w:t>Table reading guide: The 'ETH 2026' column shows year-end 2026 ETH price for each scenario. The 'ETH 2029 peak' and 'ETH 2030' columns show the same scenario's prices in later years. The 'BMNR 2030' column is derived from ETH 2030 × mNAV ÷ shares — it does NOT use the ETH 2026 figure. Example: Base scenario shows ETH $4,500 in 2026 growing to ETH $30,000 by 2030, producing BMNR $715 in 2030. Probabilities sum to 97% — residual 3% covers tail outcomes. All scenarios assume the BTC halving cycle operates broadly as expected (April 2028 halving, peak 12–18 months later).</w:t>
      </w:r>
    </w:p>
    <w:p>
      <w:pPr>
        <w:pStyle w:val="Normal"/>
        <w:spacing w:before="40" w:after="40"/>
        <w:rPr/>
      </w:pPr>
      <w:r>
        <w:rPr/>
      </w:r>
    </w:p>
    <w:p>
      <w:pPr>
        <w:pStyle w:val="Heading2"/>
        <w:spacing w:before="280" w:after="80"/>
        <w:rPr/>
      </w:pPr>
      <w:r>
        <w:rPr>
          <w:rFonts w:eastAsia="Arial" w:cs="Arial" w:ascii="Arial" w:hAnsi="Arial"/>
          <w:b/>
          <w:bCs/>
          <w:color w:val="2E75B6"/>
          <w:sz w:val="28"/>
          <w:szCs w:val="28"/>
        </w:rPr>
        <w:t>9.2  Share Count Methodology</w:t>
      </w:r>
    </w:p>
    <w:p>
      <w:pPr>
        <w:pStyle w:val="Normal"/>
        <w:spacing w:before="60" w:after="80"/>
        <w:rPr/>
      </w:pPr>
      <w:r>
        <w:rPr>
          <w:rFonts w:eastAsia="Arial" w:cs="Arial"/>
          <w:sz w:val="20"/>
          <w:szCs w:val="20"/>
        </w:rPr>
        <w:t>Share count is stable at approximately 460–468M through 2035 (v12 correction). The $4B buyback is a Board authorization ceiling and management confidence signal — not a funded deployment commitment. Near-term funded capacity: $1,120M cash ÷ $22.14/share = ~50M shares at $22.14. Ongoing pace: ~50% of MAVAN FCF (~$98M/yr at current prices). New equity issuance for ETH accumulation partially offsets retirements through 2028.</w:t>
      </w:r>
    </w:p>
    <w:p>
      <w:pPr>
        <w:pStyle w:val="Normal"/>
        <w:spacing w:before="40" w:after="40"/>
        <w:rPr/>
      </w:pPr>
      <w:r>
        <w:rPr/>
      </w:r>
    </w:p>
    <w:p>
      <w:pPr>
        <w:pStyle w:val="Heading2"/>
        <w:spacing w:before="280" w:after="80"/>
        <w:rPr/>
      </w:pPr>
      <w:r>
        <w:rPr>
          <w:rFonts w:eastAsia="Arial" w:cs="Arial" w:ascii="Arial" w:hAnsi="Arial"/>
          <w:b/>
          <w:bCs/>
          <w:color w:val="2E75B6"/>
          <w:sz w:val="28"/>
          <w:szCs w:val="28"/>
        </w:rPr>
        <w:t>9.3  Table F — Probability-Calibrated Four-Scenario Forecast</w:t>
      </w:r>
    </w:p>
    <w:p>
      <w:pPr>
        <w:pStyle w:val="Normal"/>
        <w:spacing w:before="60" w:after="80"/>
        <w:rPr/>
      </w:pPr>
      <w:r>
        <w:rPr>
          <w:rFonts w:eastAsia="Arial" w:cs="Arial"/>
          <w:sz w:val="20"/>
          <w:szCs w:val="20"/>
        </w:rPr>
        <w:t>Table F is the primary reference table in this version. It presents all four scenarios side by side for each year. The 'Base' column (green) represents the most probable outcome (~45%). The 'Bull' column (dark border) represents the former document base case, now correctly labelled as the 20% probability outcome.</w:t>
      </w:r>
    </w:p>
    <w:p>
      <w:pPr>
        <w:pStyle w:val="Normal"/>
        <w:spacing w:before="40" w:after="40"/>
        <w:rPr/>
      </w:pPr>
      <w:r>
        <w:rPr/>
      </w:r>
    </w:p>
    <w:tbl>
      <w:tblPr>
        <w:tblW w:w="10300" w:type="dxa"/>
        <w:jc w:val="left"/>
        <w:tblInd w:w="0" w:type="dxa"/>
        <w:tblLayout w:type="fixed"/>
        <w:tblCellMar>
          <w:top w:w="80" w:type="dxa"/>
          <w:left w:w="100" w:type="dxa"/>
          <w:bottom w:w="80" w:type="dxa"/>
          <w:right w:w="100" w:type="dxa"/>
        </w:tblCellMar>
      </w:tblPr>
      <w:tblGrid>
        <w:gridCol w:w="520"/>
        <w:gridCol w:w="820"/>
        <w:gridCol w:w="760"/>
        <w:gridCol w:w="760"/>
        <w:gridCol w:w="760"/>
        <w:gridCol w:w="839"/>
        <w:gridCol w:w="680"/>
        <w:gridCol w:w="680"/>
        <w:gridCol w:w="681"/>
        <w:gridCol w:w="680"/>
        <w:gridCol w:w="760"/>
        <w:gridCol w:w="760"/>
        <w:gridCol w:w="759"/>
        <w:gridCol w:w="840"/>
      </w:tblGrid>
      <w:tr>
        <w:trPr>
          <w:tblHeader w:val="true"/>
        </w:trPr>
        <w:tc>
          <w:tcPr>
            <w:tcW w:w="52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Year</w:t>
            </w:r>
          </w:p>
        </w:tc>
        <w:tc>
          <w:tcPr>
            <w:tcW w:w="82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Phase</w:t>
            </w:r>
          </w:p>
        </w:tc>
        <w:tc>
          <w:tcPr>
            <w:tcW w:w="7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 Bear</w:t>
            </w:r>
          </w:p>
        </w:tc>
        <w:tc>
          <w:tcPr>
            <w:tcW w:w="7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 Base</w:t>
            </w:r>
          </w:p>
        </w:tc>
        <w:tc>
          <w:tcPr>
            <w:tcW w:w="7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 Bull</w:t>
            </w:r>
          </w:p>
        </w:tc>
        <w:tc>
          <w:tcPr>
            <w:tcW w:w="83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 SuperBull</w:t>
            </w:r>
          </w:p>
        </w:tc>
        <w:tc>
          <w:tcPr>
            <w:tcW w:w="68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mNAV B</w:t>
            </w:r>
          </w:p>
        </w:tc>
        <w:tc>
          <w:tcPr>
            <w:tcW w:w="68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mNAV Ba</w:t>
            </w:r>
          </w:p>
        </w:tc>
        <w:tc>
          <w:tcPr>
            <w:tcW w:w="68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mNAV Bu</w:t>
            </w:r>
          </w:p>
        </w:tc>
        <w:tc>
          <w:tcPr>
            <w:tcW w:w="68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mNAV SB</w:t>
            </w:r>
          </w:p>
        </w:tc>
        <w:tc>
          <w:tcPr>
            <w:tcW w:w="7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BMNR Bear</w:t>
            </w:r>
          </w:p>
        </w:tc>
        <w:tc>
          <w:tcPr>
            <w:tcW w:w="7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BMNR Base</w:t>
            </w:r>
          </w:p>
        </w:tc>
        <w:tc>
          <w:tcPr>
            <w:tcW w:w="7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BMNR Bull</w:t>
            </w:r>
          </w:p>
        </w:tc>
        <w:tc>
          <w:tcPr>
            <w:tcW w:w="84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BMNR SBull</w:t>
            </w:r>
          </w:p>
        </w:tc>
      </w:tr>
      <w:tr>
        <w:trPr/>
        <w:tc>
          <w:tcPr>
            <w:tcW w:w="5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2026</w:t>
            </w:r>
          </w:p>
        </w:tc>
        <w:tc>
          <w:tcPr>
            <w:tcW w:w="8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CLARITY outcome</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$2,600</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$4,500</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$6,200</w:t>
            </w:r>
          </w:p>
        </w:tc>
        <w:tc>
          <w:tcPr>
            <w:tcW w:w="83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$8,500</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0.85</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1.40</w:t>
            </w:r>
          </w:p>
        </w:tc>
        <w:tc>
          <w:tcPr>
            <w:tcW w:w="68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1.90</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2.30</w:t>
            </w:r>
          </w:p>
        </w:tc>
        <w:tc>
          <w:tcPr>
            <w:tcW w:w="76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w:t>
            </w:r>
          </w:p>
        </w:tc>
        <w:tc>
          <w:tcPr>
            <w:tcW w:w="760"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$70</w:t>
            </w:r>
          </w:p>
        </w:tc>
        <w:tc>
          <w:tcPr>
            <w:tcW w:w="759"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$129</w:t>
            </w:r>
          </w:p>
        </w:tc>
        <w:tc>
          <w:tcPr>
            <w:tcW w:w="840"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$212</w:t>
            </w:r>
          </w:p>
        </w:tc>
      </w:tr>
      <w:tr>
        <w:trPr/>
        <w:tc>
          <w:tcPr>
            <w:tcW w:w="5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2027</w:t>
            </w:r>
          </w:p>
        </w:tc>
        <w:tc>
          <w:tcPr>
            <w:tcW w:w="8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Bull approach</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$6,500</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$10,000</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$16,000</w:t>
            </w:r>
          </w:p>
        </w:tc>
        <w:tc>
          <w:tcPr>
            <w:tcW w:w="83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$21,000</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1.05</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1.75</w:t>
            </w:r>
          </w:p>
        </w:tc>
        <w:tc>
          <w:tcPr>
            <w:tcW w:w="68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2.30</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2.70</w:t>
            </w:r>
          </w:p>
        </w:tc>
        <w:tc>
          <w:tcPr>
            <w:tcW w:w="76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$74</w:t>
            </w:r>
          </w:p>
        </w:tc>
        <w:tc>
          <w:tcPr>
            <w:tcW w:w="760"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$188</w:t>
            </w:r>
          </w:p>
        </w:tc>
        <w:tc>
          <w:tcPr>
            <w:tcW w:w="759"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$390</w:t>
            </w:r>
          </w:p>
        </w:tc>
        <w:tc>
          <w:tcPr>
            <w:tcW w:w="840"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$598</w:t>
            </w:r>
          </w:p>
        </w:tc>
      </w:tr>
      <w:tr>
        <w:trPr/>
        <w:tc>
          <w:tcPr>
            <w:tcW w:w="5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2028</w:t>
            </w:r>
          </w:p>
        </w:tc>
        <w:tc>
          <w:tcPr>
            <w:tcW w:w="8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Halving year</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$12,000</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$18,000</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$27,000</w:t>
            </w:r>
          </w:p>
        </w:tc>
        <w:tc>
          <w:tcPr>
            <w:tcW w:w="83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$38,000</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1.25</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w:t>
            </w:r>
          </w:p>
        </w:tc>
        <w:tc>
          <w:tcPr>
            <w:tcW w:w="68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2.60</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2.90</w:t>
            </w:r>
          </w:p>
        </w:tc>
        <w:tc>
          <w:tcPr>
            <w:tcW w:w="76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$159</w:t>
            </w:r>
          </w:p>
        </w:tc>
        <w:tc>
          <w:tcPr>
            <w:tcW w:w="760"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$378</w:t>
            </w:r>
          </w:p>
        </w:tc>
        <w:tc>
          <w:tcPr>
            <w:tcW w:w="759"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$733</w:t>
            </w:r>
          </w:p>
        </w:tc>
        <w:tc>
          <w:tcPr>
            <w:tcW w:w="840"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$1,147</w:t>
            </w:r>
          </w:p>
        </w:tc>
      </w:tr>
      <w:tr>
        <w:trPr/>
        <w:tc>
          <w:tcPr>
            <w:tcW w:w="5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2029</w:t>
            </w:r>
          </w:p>
        </w:tc>
        <w:tc>
          <w:tcPr>
            <w:tcW w:w="8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Post-halving</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$18,000</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$24,000</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$36,000</w:t>
            </w:r>
          </w:p>
        </w:tc>
        <w:tc>
          <w:tcPr>
            <w:tcW w:w="83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$55,000</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1.30</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2.10</w:t>
            </w:r>
          </w:p>
        </w:tc>
        <w:tc>
          <w:tcPr>
            <w:tcW w:w="68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2.60</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3.00</w:t>
            </w:r>
          </w:p>
        </w:tc>
        <w:tc>
          <w:tcPr>
            <w:tcW w:w="76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$245</w:t>
            </w:r>
          </w:p>
        </w:tc>
        <w:tc>
          <w:tcPr>
            <w:tcW w:w="760"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$525</w:t>
            </w:r>
          </w:p>
        </w:tc>
        <w:tc>
          <w:tcPr>
            <w:tcW w:w="759"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$970</w:t>
            </w:r>
          </w:p>
        </w:tc>
        <w:tc>
          <w:tcPr>
            <w:tcW w:w="840"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$1,706</w:t>
            </w:r>
          </w:p>
        </w:tc>
      </w:tr>
      <w:tr>
        <w:trPr/>
        <w:tc>
          <w:tcPr>
            <w:tcW w:w="5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2030</w:t>
            </w:r>
          </w:p>
        </w:tc>
        <w:tc>
          <w:tcPr>
            <w:tcW w:w="8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Consolidation</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$22,000</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$30,000</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$50,000</w:t>
            </w:r>
          </w:p>
        </w:tc>
        <w:tc>
          <w:tcPr>
            <w:tcW w:w="83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$80,000</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1.20</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2.30</w:t>
            </w:r>
          </w:p>
        </w:tc>
        <w:tc>
          <w:tcPr>
            <w:tcW w:w="68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2.80</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3.10</w:t>
            </w:r>
          </w:p>
        </w:tc>
        <w:tc>
          <w:tcPr>
            <w:tcW w:w="76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$275</w:t>
            </w:r>
          </w:p>
        </w:tc>
        <w:tc>
          <w:tcPr>
            <w:tcW w:w="760"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$715</w:t>
            </w:r>
          </w:p>
        </w:tc>
        <w:tc>
          <w:tcPr>
            <w:tcW w:w="759"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$1,445</w:t>
            </w:r>
          </w:p>
        </w:tc>
        <w:tc>
          <w:tcPr>
            <w:tcW w:w="840"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$2,554</w:t>
            </w:r>
          </w:p>
        </w:tc>
      </w:tr>
      <w:tr>
        <w:trPr/>
        <w:tc>
          <w:tcPr>
            <w:tcW w:w="5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2031</w:t>
            </w:r>
          </w:p>
        </w:tc>
        <w:tc>
          <w:tcPr>
            <w:tcW w:w="8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Correction</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$10,000</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$15,000</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$36,000</w:t>
            </w:r>
          </w:p>
        </w:tc>
        <w:tc>
          <w:tcPr>
            <w:tcW w:w="83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$55,000</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0.95</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1.60</w:t>
            </w:r>
          </w:p>
        </w:tc>
        <w:tc>
          <w:tcPr>
            <w:tcW w:w="68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2.20</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2.60</w:t>
            </w:r>
          </w:p>
        </w:tc>
        <w:tc>
          <w:tcPr>
            <w:tcW w:w="76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$100</w:t>
            </w:r>
          </w:p>
        </w:tc>
        <w:tc>
          <w:tcPr>
            <w:tcW w:w="760"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$251</w:t>
            </w:r>
          </w:p>
        </w:tc>
        <w:tc>
          <w:tcPr>
            <w:tcW w:w="759"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$819</w:t>
            </w:r>
          </w:p>
        </w:tc>
        <w:tc>
          <w:tcPr>
            <w:tcW w:w="840"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$1,475</w:t>
            </w:r>
          </w:p>
        </w:tc>
      </w:tr>
      <w:tr>
        <w:trPr/>
        <w:tc>
          <w:tcPr>
            <w:tcW w:w="5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2032</w:t>
            </w:r>
          </w:p>
        </w:tc>
        <w:tc>
          <w:tcPr>
            <w:tcW w:w="8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Halving year</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$14,000</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$22,000</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$46,000</w:t>
            </w:r>
          </w:p>
        </w:tc>
        <w:tc>
          <w:tcPr>
            <w:tcW w:w="83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$72,000</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1.05</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1.80</w:t>
            </w:r>
          </w:p>
        </w:tc>
        <w:tc>
          <w:tcPr>
            <w:tcW w:w="68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2.30</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2.70</w:t>
            </w:r>
          </w:p>
        </w:tc>
        <w:tc>
          <w:tcPr>
            <w:tcW w:w="76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$154</w:t>
            </w:r>
          </w:p>
        </w:tc>
        <w:tc>
          <w:tcPr>
            <w:tcW w:w="760"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$412</w:t>
            </w:r>
          </w:p>
        </w:tc>
        <w:tc>
          <w:tcPr>
            <w:tcW w:w="759"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$1,092</w:t>
            </w:r>
          </w:p>
        </w:tc>
        <w:tc>
          <w:tcPr>
            <w:tcW w:w="840"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$2,003</w:t>
            </w:r>
          </w:p>
        </w:tc>
      </w:tr>
      <w:tr>
        <w:trPr/>
        <w:tc>
          <w:tcPr>
            <w:tcW w:w="5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2033</w:t>
            </w:r>
          </w:p>
        </w:tc>
        <w:tc>
          <w:tcPr>
            <w:tcW w:w="8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Post-halving</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$20,000</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$36,000</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$67,000</w:t>
            </w:r>
          </w:p>
        </w:tc>
        <w:tc>
          <w:tcPr>
            <w:tcW w:w="83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$110,000</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1.25</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2.10</w:t>
            </w:r>
          </w:p>
        </w:tc>
        <w:tc>
          <w:tcPr>
            <w:tcW w:w="68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2.60</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2.90</w:t>
            </w:r>
          </w:p>
        </w:tc>
        <w:tc>
          <w:tcPr>
            <w:tcW w:w="76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$261</w:t>
            </w:r>
          </w:p>
        </w:tc>
        <w:tc>
          <w:tcPr>
            <w:tcW w:w="760"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$784</w:t>
            </w:r>
          </w:p>
        </w:tc>
        <w:tc>
          <w:tcPr>
            <w:tcW w:w="759"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$1,799</w:t>
            </w:r>
          </w:p>
        </w:tc>
        <w:tc>
          <w:tcPr>
            <w:tcW w:w="840"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$3,288</w:t>
            </w:r>
          </w:p>
        </w:tc>
      </w:tr>
      <w:tr>
        <w:trPr/>
        <w:tc>
          <w:tcPr>
            <w:tcW w:w="5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2034</w:t>
            </w:r>
          </w:p>
        </w:tc>
        <w:tc>
          <w:tcPr>
            <w:tcW w:w="8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Consolidation</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$26,000</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$46,000</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$82,000</w:t>
            </w:r>
          </w:p>
        </w:tc>
        <w:tc>
          <w:tcPr>
            <w:tcW w:w="83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$140,000</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1.30</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2.20</w:t>
            </w:r>
          </w:p>
        </w:tc>
        <w:tc>
          <w:tcPr>
            <w:tcW w:w="68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2.60</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2.90</w:t>
            </w:r>
          </w:p>
        </w:tc>
        <w:tc>
          <w:tcPr>
            <w:tcW w:w="76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$352</w:t>
            </w:r>
          </w:p>
        </w:tc>
        <w:tc>
          <w:tcPr>
            <w:tcW w:w="760"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$1,047</w:t>
            </w:r>
          </w:p>
        </w:tc>
        <w:tc>
          <w:tcPr>
            <w:tcW w:w="759"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$2,200</w:t>
            </w:r>
          </w:p>
        </w:tc>
        <w:tc>
          <w:tcPr>
            <w:tcW w:w="840"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$4,182</w:t>
            </w:r>
          </w:p>
        </w:tc>
      </w:tr>
      <w:tr>
        <w:trPr/>
        <w:tc>
          <w:tcPr>
            <w:tcW w:w="5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2035</w:t>
            </w:r>
          </w:p>
        </w:tc>
        <w:tc>
          <w:tcPr>
            <w:tcW w:w="8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Maturity</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$20,000</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$38,000</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$67,000</w:t>
            </w:r>
          </w:p>
        </w:tc>
        <w:tc>
          <w:tcPr>
            <w:tcW w:w="83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$115,000</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1.15</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2.10</w:t>
            </w:r>
          </w:p>
        </w:tc>
        <w:tc>
          <w:tcPr>
            <w:tcW w:w="68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2.50</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2.80</w:t>
            </w:r>
          </w:p>
        </w:tc>
        <w:tc>
          <w:tcPr>
            <w:tcW w:w="76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$241</w:t>
            </w:r>
          </w:p>
        </w:tc>
        <w:tc>
          <w:tcPr>
            <w:tcW w:w="760" w:type="dxa"/>
            <w:tcBorders>
              <w:top w:val="single" w:sz="2" w:space="0" w:color="BFBFBF"/>
              <w:left w:val="single" w:sz="2" w:space="0" w:color="BFBFBF"/>
              <w:bottom w:val="single" w:sz="2" w:space="0" w:color="BFBFBF"/>
              <w:right w:val="single" w:sz="2" w:space="0" w:color="BFBFBF"/>
            </w:tcBorders>
            <w:shd w:fill="E8F5E9"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$829</w:t>
            </w:r>
          </w:p>
        </w:tc>
        <w:tc>
          <w:tcPr>
            <w:tcW w:w="759" w:type="dxa"/>
            <w:tcBorders>
              <w:top w:val="single" w:sz="2" w:space="0" w:color="BFBFBF"/>
              <w:left w:val="single" w:sz="2" w:space="0" w:color="BFBFBF"/>
              <w:bottom w:val="single" w:sz="2" w:space="0" w:color="BFBFBF"/>
              <w:right w:val="single" w:sz="2" w:space="0" w:color="BFBFBF"/>
            </w:tcBorders>
            <w:shd w:fill="E2EFDA"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$1,733</w:t>
            </w:r>
          </w:p>
        </w:tc>
        <w:tc>
          <w:tcPr>
            <w:tcW w:w="840" w:type="dxa"/>
            <w:tcBorders>
              <w:top w:val="single" w:sz="2" w:space="0" w:color="BFBFBF"/>
              <w:left w:val="single" w:sz="2" w:space="0" w:color="BFBFBF"/>
              <w:bottom w:val="single" w:sz="2" w:space="0" w:color="BFBFBF"/>
              <w:right w:val="single" w:sz="2" w:space="0" w:color="BFBFBF"/>
            </w:tcBorders>
            <w:shd w:fill="1B5E2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$3,326</w:t>
            </w:r>
          </w:p>
        </w:tc>
      </w:tr>
    </w:tbl>
    <w:p>
      <w:pPr>
        <w:pStyle w:val="Normal"/>
        <w:spacing w:before="40" w:after="40"/>
        <w:rPr/>
      </w:pPr>
      <w:r>
        <w:rPr/>
      </w:r>
    </w:p>
    <w:p>
      <w:pPr>
        <w:pStyle w:val="Normal"/>
        <w:spacing w:before="60" w:after="60"/>
        <w:rPr/>
      </w:pPr>
      <w:r>
        <w:rPr>
          <w:rFonts w:eastAsia="Arial" w:cs="Arial"/>
          <w:i/>
          <w:iCs/>
          <w:color w:val="777777"/>
          <w:sz w:val="18"/>
          <w:szCs w:val="18"/>
        </w:rPr>
        <w:t>Table F formula: Price = (4.8M ETH × ETH_price + $1.5B other assets) × mNAV ÷ shares. Other assets = ORBS $92M + Beast $200M + BTC $14M + cash ~$1.2B (book values). Share count stable 460–468M. mNAV rationale: Bear 0.85–1.30x (no institutional premium); Base 1.40–2.30x (CLARITY passes, modest monetary premium); Bull 1.90–2.80x (strong institutional premium, 15-20% gold capture); Super Bull 2.30–3.10x (30%+ gold capture, full reserve status). 2031 correction: realistic base −50% from peak ($30,000 → $15,000). GOLD NARRATIVE NOT INCLUDED in any scenario above — see gold narrative text line below.</w:t>
      </w:r>
    </w:p>
    <w:p>
      <w:pPr>
        <w:pStyle w:val="Normal"/>
        <w:spacing w:before="40" w:after="40"/>
        <w:rPr/>
      </w:pPr>
      <w:r>
        <w:rPr/>
      </w:r>
    </w:p>
    <w:p>
      <w:pPr>
        <w:pStyle w:val="Normal"/>
        <w:spacing w:before="60" w:after="80"/>
        <w:rPr/>
      </w:pPr>
      <w:r>
        <w:rPr>
          <w:rFonts w:eastAsia="Arial" w:cs="Arial"/>
          <w:sz w:val="20"/>
          <w:szCs w:val="20"/>
        </w:rPr>
        <w:t>Gold narrative upside (scenario modifier — NOT in any Table F scenario above): If ETH captures a portion of gold's $18T monetary premium, the following additional BMNR value applies above the Bear/Base/Bull/Super Bull prices shown:</w:t>
      </w:r>
    </w:p>
    <w:tbl>
      <w:tblPr>
        <w:tblW w:w="8360" w:type="dxa"/>
        <w:jc w:val="left"/>
        <w:tblInd w:w="0" w:type="dxa"/>
        <w:tblLayout w:type="fixed"/>
        <w:tblCellMar>
          <w:top w:w="80" w:type="dxa"/>
          <w:left w:w="100" w:type="dxa"/>
          <w:bottom w:w="80" w:type="dxa"/>
          <w:right w:w="100" w:type="dxa"/>
        </w:tblCellMar>
      </w:tblPr>
      <w:tblGrid>
        <w:gridCol w:w="900"/>
        <w:gridCol w:w="1099"/>
        <w:gridCol w:w="1600"/>
        <w:gridCol w:w="1600"/>
        <w:gridCol w:w="1601"/>
        <w:gridCol w:w="1559"/>
      </w:tblGrid>
      <w:tr>
        <w:trPr>
          <w:tblHeader w:val="true"/>
        </w:trPr>
        <w:tc>
          <w:tcPr>
            <w:tcW w:w="9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Gold capture %</w:t>
            </w:r>
          </w:p>
        </w:tc>
        <w:tc>
          <w:tcPr>
            <w:tcW w:w="10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Additional ETH/price</w:t>
            </w:r>
          </w:p>
        </w:tc>
        <w:tc>
          <w:tcPr>
            <w:tcW w:w="1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2026 Base BMNR (ETH $4,500)</w:t>
            </w:r>
          </w:p>
        </w:tc>
        <w:tc>
          <w:tcPr>
            <w:tcW w:w="1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2029 Base BMNR (ETH $24,000)</w:t>
            </w:r>
          </w:p>
        </w:tc>
        <w:tc>
          <w:tcPr>
            <w:tcW w:w="16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2030 Base BMNR (ETH $30,000)</w:t>
            </w:r>
          </w:p>
        </w:tc>
        <w:tc>
          <w:tcPr>
            <w:tcW w:w="15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Likelihood</w:t>
            </w:r>
          </w:p>
        </w:tc>
      </w:tr>
      <w:tr>
        <w:trPr/>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 of $18T</w:t>
            </w:r>
          </w:p>
        </w:tc>
        <w:tc>
          <w:tcPr>
            <w:tcW w:w="10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~+$1,500/ETH</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$70 → $91 (+$21)</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$533 → $566 (+$33)</w:t>
            </w:r>
          </w:p>
        </w:tc>
        <w:tc>
          <w:tcPr>
            <w:tcW w:w="16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$728 → $764 (+$36)</w:t>
            </w:r>
          </w:p>
        </w:tc>
        <w:tc>
          <w:tcPr>
            <w:tcW w:w="1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Plausible post-CLARITY if SWF signals begin</w:t>
            </w:r>
          </w:p>
        </w:tc>
      </w:tr>
      <w:tr>
        <w:trPr/>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5% of $18T</w:t>
            </w:r>
          </w:p>
        </w:tc>
        <w:tc>
          <w:tcPr>
            <w:tcW w:w="10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~+$7,500/ETH</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$70 → $175 (+$105)</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$533 → $696 (+$163)</w:t>
            </w:r>
          </w:p>
        </w:tc>
        <w:tc>
          <w:tcPr>
            <w:tcW w:w="16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$728 → $908 (+$180)</w:t>
            </w:r>
          </w:p>
        </w:tc>
        <w:tc>
          <w:tcPr>
            <w:tcW w:w="1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Requires sustained ETH outperformance vs gold</w:t>
            </w:r>
          </w:p>
        </w:tc>
      </w:tr>
      <w:tr>
        <w:trPr/>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10% of $18T</w:t>
            </w:r>
          </w:p>
        </w:tc>
        <w:tc>
          <w:tcPr>
            <w:tcW w:w="10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~+$15,000/ETH</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$70 → $320 (+$250)</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$533 → $859 (+$326)</w:t>
            </w:r>
          </w:p>
        </w:tc>
        <w:tc>
          <w:tcPr>
            <w:tcW w:w="16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$728 → $1,088 (+$360)</w:t>
            </w:r>
          </w:p>
        </w:tc>
        <w:tc>
          <w:tcPr>
            <w:tcW w:w="1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Bull-case reserve asset adoption; $50,000 ETH in 2030</w:t>
            </w:r>
          </w:p>
        </w:tc>
      </w:tr>
      <w:tr>
        <w:trPr/>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30% of $18T</w:t>
            </w:r>
          </w:p>
        </w:tc>
        <w:tc>
          <w:tcPr>
            <w:tcW w:w="10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~+$45,000/ETH</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N/A (cycle too early)</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$533 → $1,516 (+$983)</w:t>
            </w:r>
          </w:p>
        </w:tc>
        <w:tc>
          <w:tcPr>
            <w:tcW w:w="16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$728 → $1,808 (+$1,080)</w:t>
            </w:r>
          </w:p>
        </w:tc>
        <w:tc>
          <w:tcPr>
            <w:tcW w:w="1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Extraordinary; no historical precedent in 4 years</w:t>
            </w:r>
          </w:p>
        </w:tc>
      </w:tr>
    </w:tbl>
    <w:p>
      <w:pPr>
        <w:pStyle w:val="Normal"/>
        <w:spacing w:before="40" w:after="40"/>
        <w:rPr/>
      </w:pPr>
      <w:r>
        <w:rPr/>
      </w:r>
    </w:p>
    <w:p>
      <w:pPr>
        <w:pStyle w:val="Normal"/>
        <w:spacing w:before="60" w:after="60"/>
        <w:rPr/>
      </w:pPr>
      <w:r>
        <w:rPr>
          <w:rFonts w:eastAsia="Arial" w:cs="Arial"/>
          <w:i/>
          <w:iCs/>
          <w:color w:val="777777"/>
          <w:sz w:val="18"/>
          <w:szCs w:val="18"/>
        </w:rPr>
        <w:t>The gold narrative is the single largest potential upside modifier and the single hardest to predict. Track the ETH/gold ratio (currently ETH captures ~1.6% of gold's market cap). When this ratio consistently rises above 2-3%, the gold narrative is materialising. See Section 8.3 for full analysis.</w:t>
      </w:r>
    </w:p>
    <w:p>
      <w:pPr>
        <w:pStyle w:val="Normal"/>
        <w:spacing w:before="40" w:after="40"/>
        <w:rPr/>
      </w:pPr>
      <w:r>
        <w:rPr/>
      </w:r>
    </w:p>
    <w:p>
      <w:pPr>
        <w:pStyle w:val="Heading2"/>
        <w:spacing w:before="280" w:after="80"/>
        <w:rPr/>
      </w:pPr>
      <w:r>
        <w:rPr>
          <w:rFonts w:eastAsia="Arial" w:cs="Arial" w:ascii="Arial" w:hAnsi="Arial"/>
          <w:b/>
          <w:bCs/>
          <w:color w:val="2E75B6"/>
          <w:sz w:val="28"/>
          <w:szCs w:val="28"/>
        </w:rPr>
        <w:t>9.4  Expected Value Table (Probability-Weighted)</w:t>
      </w:r>
    </w:p>
    <w:p>
      <w:pPr>
        <w:pStyle w:val="Normal"/>
        <w:spacing w:before="60" w:after="80"/>
        <w:rPr/>
      </w:pPr>
      <w:r>
        <w:rPr>
          <w:rFonts w:eastAsia="Arial" w:cs="Arial"/>
          <w:sz w:val="20"/>
          <w:szCs w:val="20"/>
        </w:rPr>
        <w:t>The table below shows the probability-weighted expected value of BMNR at each year, comparing it to the prior document base case (now labelled 'Bull'). The expected value is 37–53% below the prior base case across all years — reflecting the fact that the prior base case carried only 20% probability, not 50%.</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560"/>
        <w:gridCol w:w="999"/>
        <w:gridCol w:w="1000"/>
        <w:gridCol w:w="1000"/>
        <w:gridCol w:w="1100"/>
        <w:gridCol w:w="1000"/>
        <w:gridCol w:w="1001"/>
        <w:gridCol w:w="1699"/>
      </w:tblGrid>
      <w:tr>
        <w:trPr>
          <w:tblHeader w:val="true"/>
        </w:trPr>
        <w:tc>
          <w:tcPr>
            <w:tcW w:w="5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Year</w:t>
            </w:r>
          </w:p>
        </w:tc>
        <w:tc>
          <w:tcPr>
            <w:tcW w:w="9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Bear $</w:t>
            </w:r>
          </w:p>
        </w:tc>
        <w:tc>
          <w:tcPr>
            <w:tcW w:w="1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Base $</w:t>
            </w:r>
          </w:p>
        </w:tc>
        <w:tc>
          <w:tcPr>
            <w:tcW w:w="1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Bull $</w:t>
            </w:r>
          </w:p>
        </w:tc>
        <w:tc>
          <w:tcPr>
            <w:tcW w:w="11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Super Bull $</w:t>
            </w:r>
          </w:p>
        </w:tc>
        <w:tc>
          <w:tcPr>
            <w:tcW w:w="1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Expected Value</w:t>
            </w:r>
          </w:p>
        </w:tc>
        <w:tc>
          <w:tcPr>
            <w:tcW w:w="10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Prior 'base'</w:t>
            </w:r>
          </w:p>
        </w:tc>
        <w:tc>
          <w:tcPr>
            <w:tcW w:w="16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EV vs prior base</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2026</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 (25%)</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$70 (45%)</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$129 (20%)</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$212 (7%)</w:t>
            </w:r>
          </w:p>
        </w:tc>
        <w:tc>
          <w:tcPr>
            <w:tcW w:w="1000" w:type="dxa"/>
            <w:tcBorders>
              <w:top w:val="single" w:sz="2" w:space="0" w:color="BFBFBF"/>
              <w:left w:val="single" w:sz="2" w:space="0" w:color="BFBFBF"/>
              <w:bottom w:val="single" w:sz="2" w:space="0" w:color="BFBFBF"/>
              <w:right w:val="single" w:sz="2" w:space="0" w:color="BFBFBF"/>
            </w:tcBorders>
            <w:shd w:fill="D6E4F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$79</w:t>
            </w:r>
          </w:p>
        </w:tc>
        <w:tc>
          <w:tcPr>
            <w:tcW w:w="1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$129</w:t>
            </w:r>
          </w:p>
        </w:tc>
        <w:tc>
          <w:tcPr>
            <w:tcW w:w="1699"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39%</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2027</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$74 (25%)</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$188 (45%)</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$390 (20%)</w:t>
            </w:r>
          </w:p>
        </w:tc>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$598 (7%)</w:t>
            </w:r>
          </w:p>
        </w:tc>
        <w:tc>
          <w:tcPr>
            <w:tcW w:w="1000" w:type="dxa"/>
            <w:tcBorders>
              <w:top w:val="single" w:sz="2" w:space="0" w:color="BFBFBF"/>
              <w:left w:val="single" w:sz="2" w:space="0" w:color="BFBFBF"/>
              <w:bottom w:val="single" w:sz="2" w:space="0" w:color="BFBFBF"/>
              <w:right w:val="single" w:sz="2" w:space="0" w:color="BFBFBF"/>
            </w:tcBorders>
            <w:shd w:fill="D6E4F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$192</w:t>
            </w:r>
          </w:p>
        </w:tc>
        <w:tc>
          <w:tcPr>
            <w:tcW w:w="1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$390</w:t>
            </w:r>
          </w:p>
        </w:tc>
        <w:tc>
          <w:tcPr>
            <w:tcW w:w="1699"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51%</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2028</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$159 (25%)</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$378 (45%)</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$733 (20%)</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$1,147 (7%)</w:t>
            </w:r>
          </w:p>
        </w:tc>
        <w:tc>
          <w:tcPr>
            <w:tcW w:w="1000" w:type="dxa"/>
            <w:tcBorders>
              <w:top w:val="single" w:sz="2" w:space="0" w:color="BFBFBF"/>
              <w:left w:val="single" w:sz="2" w:space="0" w:color="BFBFBF"/>
              <w:bottom w:val="single" w:sz="2" w:space="0" w:color="BFBFBF"/>
              <w:right w:val="single" w:sz="2" w:space="0" w:color="BFBFBF"/>
            </w:tcBorders>
            <w:shd w:fill="D6E4F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$406</w:t>
            </w:r>
          </w:p>
        </w:tc>
        <w:tc>
          <w:tcPr>
            <w:tcW w:w="1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$733</w:t>
            </w:r>
          </w:p>
        </w:tc>
        <w:tc>
          <w:tcPr>
            <w:tcW w:w="1699"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45%</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2029</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$245 (25%)</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$525 (45%)</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$970 (20%)</w:t>
            </w:r>
          </w:p>
        </w:tc>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$1,706 (7%)</w:t>
            </w:r>
          </w:p>
        </w:tc>
        <w:tc>
          <w:tcPr>
            <w:tcW w:w="1000" w:type="dxa"/>
            <w:tcBorders>
              <w:top w:val="single" w:sz="2" w:space="0" w:color="BFBFBF"/>
              <w:left w:val="single" w:sz="2" w:space="0" w:color="BFBFBF"/>
              <w:bottom w:val="single" w:sz="2" w:space="0" w:color="BFBFBF"/>
              <w:right w:val="single" w:sz="2" w:space="0" w:color="BFBFBF"/>
            </w:tcBorders>
            <w:shd w:fill="D6E4F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$611</w:t>
            </w:r>
          </w:p>
        </w:tc>
        <w:tc>
          <w:tcPr>
            <w:tcW w:w="1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$970</w:t>
            </w:r>
          </w:p>
        </w:tc>
        <w:tc>
          <w:tcPr>
            <w:tcW w:w="1699"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37%</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2030</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$275 (25%)</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$715 (45%)</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$1,445 (20%)</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$2,554 (7%)</w:t>
            </w:r>
          </w:p>
        </w:tc>
        <w:tc>
          <w:tcPr>
            <w:tcW w:w="1000" w:type="dxa"/>
            <w:tcBorders>
              <w:top w:val="single" w:sz="2" w:space="0" w:color="BFBFBF"/>
              <w:left w:val="single" w:sz="2" w:space="0" w:color="BFBFBF"/>
              <w:bottom w:val="single" w:sz="2" w:space="0" w:color="BFBFBF"/>
              <w:right w:val="single" w:sz="2" w:space="0" w:color="BFBFBF"/>
            </w:tcBorders>
            <w:shd w:fill="D6E4F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$851</w:t>
            </w:r>
          </w:p>
        </w:tc>
        <w:tc>
          <w:tcPr>
            <w:tcW w:w="1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$1,445</w:t>
            </w:r>
          </w:p>
        </w:tc>
        <w:tc>
          <w:tcPr>
            <w:tcW w:w="1699"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41%</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2031</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$100 (25%)</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$251 (45%)</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$819 (20%)</w:t>
            </w:r>
          </w:p>
        </w:tc>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$1,475 (7%)</w:t>
            </w:r>
          </w:p>
        </w:tc>
        <w:tc>
          <w:tcPr>
            <w:tcW w:w="1000" w:type="dxa"/>
            <w:tcBorders>
              <w:top w:val="single" w:sz="2" w:space="0" w:color="BFBFBF"/>
              <w:left w:val="single" w:sz="2" w:space="0" w:color="BFBFBF"/>
              <w:bottom w:val="single" w:sz="2" w:space="0" w:color="BFBFBF"/>
              <w:right w:val="single" w:sz="2" w:space="0" w:color="BFBFBF"/>
            </w:tcBorders>
            <w:shd w:fill="D6E4F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$382</w:t>
            </w:r>
          </w:p>
        </w:tc>
        <w:tc>
          <w:tcPr>
            <w:tcW w:w="1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$819</w:t>
            </w:r>
          </w:p>
        </w:tc>
        <w:tc>
          <w:tcPr>
            <w:tcW w:w="1699"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53%</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2034</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$352 (25%)</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$1,047 (45%)</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$2,200 (20%)</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$4,182 (7%)</w:t>
            </w:r>
          </w:p>
        </w:tc>
        <w:tc>
          <w:tcPr>
            <w:tcW w:w="1000" w:type="dxa"/>
            <w:tcBorders>
              <w:top w:val="single" w:sz="2" w:space="0" w:color="BFBFBF"/>
              <w:left w:val="single" w:sz="2" w:space="0" w:color="BFBFBF"/>
              <w:bottom w:val="single" w:sz="2" w:space="0" w:color="BFBFBF"/>
              <w:right w:val="single" w:sz="2" w:space="0" w:color="BFBFBF"/>
            </w:tcBorders>
            <w:shd w:fill="D6E4F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$1,292</w:t>
            </w:r>
          </w:p>
        </w:tc>
        <w:tc>
          <w:tcPr>
            <w:tcW w:w="1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$2,200</w:t>
            </w:r>
          </w:p>
        </w:tc>
        <w:tc>
          <w:tcPr>
            <w:tcW w:w="1699"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41%</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2035</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$241 (25%)</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$829 (45%)</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$1,733 (20%)</w:t>
            </w:r>
          </w:p>
        </w:tc>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$3,326 (7%)</w:t>
            </w:r>
          </w:p>
        </w:tc>
        <w:tc>
          <w:tcPr>
            <w:tcW w:w="1000" w:type="dxa"/>
            <w:tcBorders>
              <w:top w:val="single" w:sz="2" w:space="0" w:color="BFBFBF"/>
              <w:left w:val="single" w:sz="2" w:space="0" w:color="BFBFBF"/>
              <w:bottom w:val="single" w:sz="2" w:space="0" w:color="BFBFBF"/>
              <w:right w:val="single" w:sz="2" w:space="0" w:color="BFBFBF"/>
            </w:tcBorders>
            <w:shd w:fill="D6E4F0"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$871</w:t>
            </w:r>
          </w:p>
        </w:tc>
        <w:tc>
          <w:tcPr>
            <w:tcW w:w="1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$1,733</w:t>
            </w:r>
          </w:p>
        </w:tc>
        <w:tc>
          <w:tcPr>
            <w:tcW w:w="1699"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50%</w:t>
            </w:r>
          </w:p>
        </w:tc>
      </w:tr>
    </w:tbl>
    <w:p>
      <w:pPr>
        <w:pStyle w:val="Normal"/>
        <w:spacing w:before="40" w:after="40"/>
        <w:rPr/>
      </w:pPr>
      <w:r>
        <w:rPr/>
      </w:r>
    </w:p>
    <w:p>
      <w:pPr>
        <w:pStyle w:val="Normal"/>
        <w:spacing w:before="60" w:after="60"/>
        <w:rPr/>
      </w:pPr>
      <w:r>
        <w:rPr>
          <w:rFonts w:eastAsia="Arial" w:cs="Arial"/>
          <w:i/>
          <w:iCs/>
          <w:color w:val="777777"/>
          <w:sz w:val="18"/>
          <w:szCs w:val="18"/>
        </w:rPr>
        <w:t>Expected value = (25% × Bear) + (45% × Base) + (20% × Bull) + (7% × Super Bull). The remaining 3% tail probability is not included. The expected value at today's BMNR price (~$44) still represents a meaningful positive expected return — the EV in 2030 ($851) is approximately 19x from today, and the EV in 2034 ($1,292) is approximately 29x. But the expected value framing is more honest than presenting the 20%-probability bull case as the 'base case.'</w:t>
      </w:r>
    </w:p>
    <w:p>
      <w:pPr>
        <w:pStyle w:val="Normal"/>
        <w:spacing w:before="40" w:after="40"/>
        <w:rPr/>
      </w:pPr>
      <w:r>
        <w:rPr/>
      </w:r>
    </w:p>
    <w:p>
      <w:pPr>
        <w:pStyle w:val="Heading2"/>
        <w:spacing w:before="280" w:after="80"/>
        <w:rPr/>
      </w:pPr>
      <w:r>
        <w:rPr>
          <w:rFonts w:eastAsia="Arial" w:cs="Arial" w:ascii="Arial" w:hAnsi="Arial"/>
          <w:b/>
          <w:bCs/>
          <w:color w:val="2E75B6"/>
          <w:sz w:val="28"/>
          <w:szCs w:val="28"/>
        </w:rPr>
        <w:t>9.5  Scenario Driver Detail</w:t>
      </w:r>
    </w:p>
    <w:p>
      <w:pPr>
        <w:pStyle w:val="Normal"/>
        <w:spacing w:before="60" w:after="80"/>
        <w:rPr/>
      </w:pPr>
      <w:r>
        <w:rPr>
          <w:rFonts w:eastAsia="Arial" w:cs="Arial"/>
          <w:sz w:val="20"/>
          <w:szCs w:val="20"/>
        </w:rPr>
        <w:t>The table below documents the specific observable conditions that define each scenario, including the on-chain and legislative milestones that move the probability between scenarios:</w:t>
      </w:r>
    </w:p>
    <w:p>
      <w:pPr>
        <w:pStyle w:val="Normal"/>
        <w:spacing w:before="40" w:after="40"/>
        <w:rPr/>
      </w:pPr>
      <w:r>
        <w:rPr/>
      </w:r>
    </w:p>
    <w:tbl>
      <w:tblPr>
        <w:tblW w:w="7560" w:type="dxa"/>
        <w:jc w:val="left"/>
        <w:tblInd w:w="0" w:type="dxa"/>
        <w:tblLayout w:type="fixed"/>
        <w:tblCellMar>
          <w:top w:w="80" w:type="dxa"/>
          <w:left w:w="100" w:type="dxa"/>
          <w:bottom w:w="80" w:type="dxa"/>
          <w:right w:w="100" w:type="dxa"/>
        </w:tblCellMar>
      </w:tblPr>
      <w:tblGrid>
        <w:gridCol w:w="1400"/>
        <w:gridCol w:w="1540"/>
        <w:gridCol w:w="1540"/>
        <w:gridCol w:w="1540"/>
        <w:gridCol w:w="1540"/>
      </w:tblGrid>
      <w:tr>
        <w:trPr>
          <w:tblHeader w:val="true"/>
        </w:trPr>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Driver</w:t>
            </w:r>
          </w:p>
        </w:tc>
        <w:tc>
          <w:tcPr>
            <w:tcW w:w="154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Bear condition</w:t>
            </w:r>
          </w:p>
        </w:tc>
        <w:tc>
          <w:tcPr>
            <w:tcW w:w="154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Base condition</w:t>
            </w:r>
          </w:p>
        </w:tc>
        <w:tc>
          <w:tcPr>
            <w:tcW w:w="154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Bull condition</w:t>
            </w:r>
          </w:p>
        </w:tc>
        <w:tc>
          <w:tcPr>
            <w:tcW w:w="154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Super Bull condition</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CLARITY Act</w:t>
            </w:r>
          </w:p>
        </w:tc>
        <w:tc>
          <w:tcPr>
            <w:tcW w:w="15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Stalls past May 2026; post-midterm delay likely; ETH classification remains ambiguous</w:t>
            </w:r>
          </w:p>
        </w:tc>
        <w:tc>
          <w:tcPr>
            <w:tcW w:w="15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Passes by July 2026; implementation begins; ETH classified as CFTC commodity permanently</w:t>
            </w:r>
          </w:p>
        </w:tc>
        <w:tc>
          <w:tcPr>
            <w:tcW w:w="15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Passes by July 2026 + rapid implementation; DeFi exemptions broad; stablecoin yield compromise favourable to Coinbase</w:t>
            </w:r>
          </w:p>
        </w:tc>
        <w:tc>
          <w:tcPr>
            <w:tcW w:w="15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Passes with maximally favourable implementation; all stablecoin yield carve-outs preserved; immediate institutional deployment</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RWA on Ethereum</w:t>
            </w:r>
          </w:p>
        </w:tc>
        <w:tc>
          <w:tcPr>
            <w:tcW w:w="15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&lt;$50B by end-2027; private chains (Canton, Onyx) capture institutional market</w:t>
            </w:r>
          </w:p>
        </w:tc>
        <w:tc>
          <w:tcPr>
            <w:tcW w:w="15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$50–100B by end-2027; BlackRock BUIDL reaches $5B+; bank-issued tokenized products launch</w:t>
            </w:r>
          </w:p>
        </w:tc>
        <w:tc>
          <w:tcPr>
            <w:tcW w:w="15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$200–300B by end-2027; multiple $10B+ institutional products; tokenized stocks/bonds mainstream</w:t>
            </w:r>
          </w:p>
        </w:tc>
        <w:tc>
          <w:tcPr>
            <w:tcW w:w="15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$500B+ by end-2027; SWIFT migration begins; tokenized Treasuries replace T-bill tokens as primary institutional yield instrument</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SWF allocation</w:t>
            </w:r>
          </w:p>
        </w:tc>
        <w:tc>
          <w:tcPr>
            <w:tcW w:w="15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 SWF announces ETH position; all digital asset allocation goes to BTC</w:t>
            </w:r>
          </w:p>
        </w:tc>
        <w:tc>
          <w:tcPr>
            <w:tcW w:w="15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 SWF signals ETH allocation policy (not deployment) post-CLARITY; $5–10B announced</w:t>
            </w:r>
          </w:p>
        </w:tc>
        <w:tc>
          <w:tcPr>
            <w:tcW w:w="15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 SWFs deploy $20–40B; Abu Dhabi or Singapore is first mover; public confirmation post-CLARITY</w:t>
            </w:r>
          </w:p>
        </w:tc>
        <w:tc>
          <w:tcPr>
            <w:tcW w:w="15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 SWFs deploy; Norway GPFG expands digital asset mandate to include ETH; total $80–120B deployed 2026–2030</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ETH/BTC ratio</w:t>
            </w:r>
          </w:p>
        </w:tc>
        <w:tc>
          <w:tcPr>
            <w:tcW w:w="15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Stays at 0.025–0.032; ETH continues to underperform BTC</w:t>
            </w:r>
          </w:p>
        </w:tc>
        <w:tc>
          <w:tcPr>
            <w:tcW w:w="15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Recovers to 0.040–0.060; CLARITY re-rates ETH vs BTC; partial but not full recovery</w:t>
            </w:r>
          </w:p>
        </w:tc>
        <w:tc>
          <w:tcPr>
            <w:tcW w:w="15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Recovers to 0.060–0.090; full institutional re-rating; ETH yield premium valued over BTC</w:t>
            </w:r>
          </w:p>
        </w:tc>
        <w:tc>
          <w:tcPr>
            <w:tcW w:w="15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Exceeds 0.090–0.120; ETH seen as superior reserve asset to BTC due to yield + utility; approaches 2021 peak ratios</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Gold monetary premium</w:t>
            </w:r>
          </w:p>
        </w:tc>
        <w:tc>
          <w:tcPr>
            <w:tcW w:w="15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0–3% of gold's $18T; ETH remains speculative utility token</w:t>
            </w:r>
          </w:p>
        </w:tc>
        <w:tc>
          <w:tcPr>
            <w:tcW w:w="15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5–15% of gold's $18T; ETH recognised as institutional reserve alongside gold</w:t>
            </w:r>
          </w:p>
        </w:tc>
        <w:tc>
          <w:tcPr>
            <w:tcW w:w="15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15–25% of gold's $18T; ETH included in reserve asset frameworks at major institutions</w:t>
            </w:r>
          </w:p>
        </w:tc>
        <w:tc>
          <w:tcPr>
            <w:tcW w:w="15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30–40% of gold's $18T; unprecedented — ETH displaces significant gold allocation in institutional portfolios</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2031 correction depth</w:t>
            </w:r>
          </w:p>
        </w:tc>
        <w:tc>
          <w:tcPr>
            <w:tcW w:w="15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75–85% from bear peak (full historical precedent)</w:t>
            </w:r>
          </w:p>
        </w:tc>
        <w:tc>
          <w:tcPr>
            <w:tcW w:w="15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45–55% from base peak ($30K → ~$15K); structural floor holds</w:t>
            </w:r>
          </w:p>
        </w:tc>
        <w:tc>
          <w:tcPr>
            <w:tcW w:w="15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25–35% from bull peak ($50K → ~$36K); strong institutional floor</w:t>
            </w:r>
          </w:p>
        </w:tc>
        <w:tc>
          <w:tcPr>
            <w:tcW w:w="15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15–25% from super bull peak ($80K → ~$55K); near-zero discretionary selling from institutional holders</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9.7  Table D — Genuine Bear Scenario (Regulatory Fragmentation)</w:t>
      </w:r>
    </w:p>
    <w:p>
      <w:pPr>
        <w:pStyle w:val="Normal"/>
        <w:spacing w:before="60" w:after="80"/>
        <w:rPr/>
      </w:pPr>
      <w:r>
        <w:rPr>
          <w:rFonts w:eastAsia="Arial" w:cs="Arial"/>
          <w:sz w:val="20"/>
          <w:szCs w:val="20"/>
        </w:rPr>
        <w:t>Tables A, B, and C all show bear cases that still represent gains from current entry level of $22.14. Extended thinking stress-test identified this as an optimistic framing — the 'bears' are conservative base cases within a bull framework, not genuine downside scenarios. Table D models what happens if the primary thesis fails: CLARITY passes in the US but global adoption stalls, regulatory fragmentation limits ETH to a US institutional asset, and L2 scaling reduces L1 fee burn faster than anticipated.</w:t>
      </w:r>
    </w:p>
    <w:p>
      <w:pPr>
        <w:pStyle w:val="Normal"/>
        <w:spacing w:before="40" w:after="40"/>
        <w:rPr/>
      </w:pPr>
      <w:r>
        <w:rPr/>
      </w:r>
    </w:p>
    <w:tbl>
      <w:tblPr>
        <w:tblW w:w="7360" w:type="dxa"/>
        <w:jc w:val="left"/>
        <w:tblInd w:w="0" w:type="dxa"/>
        <w:tblLayout w:type="fixed"/>
        <w:tblCellMar>
          <w:top w:w="80" w:type="dxa"/>
          <w:left w:w="100" w:type="dxa"/>
          <w:bottom w:w="80" w:type="dxa"/>
          <w:right w:w="100" w:type="dxa"/>
        </w:tblCellMar>
      </w:tblPr>
      <w:tblGrid>
        <w:gridCol w:w="560"/>
        <w:gridCol w:w="900"/>
        <w:gridCol w:w="680"/>
        <w:gridCol w:w="519"/>
        <w:gridCol w:w="521"/>
        <w:gridCol w:w="659"/>
        <w:gridCol w:w="660"/>
        <w:gridCol w:w="840"/>
        <w:gridCol w:w="2020"/>
      </w:tblGrid>
      <w:tr>
        <w:trPr>
          <w:tblHeader w:val="true"/>
        </w:trPr>
        <w:tc>
          <w:tcPr>
            <w:tcW w:w="5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Year</w:t>
            </w:r>
          </w:p>
        </w:tc>
        <w:tc>
          <w:tcPr>
            <w:tcW w:w="9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Scenario</w:t>
            </w:r>
          </w:p>
        </w:tc>
        <w:tc>
          <w:tcPr>
            <w:tcW w:w="68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 Bear</w:t>
            </w:r>
          </w:p>
        </w:tc>
        <w:tc>
          <w:tcPr>
            <w:tcW w:w="51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Shares</w:t>
            </w:r>
          </w:p>
        </w:tc>
        <w:tc>
          <w:tcPr>
            <w:tcW w:w="52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mNAV</w:t>
            </w:r>
          </w:p>
        </w:tc>
        <w:tc>
          <w:tcPr>
            <w:tcW w:w="6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ORBS</w:t>
            </w:r>
          </w:p>
        </w:tc>
        <w:tc>
          <w:tcPr>
            <w:tcW w:w="6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Beast</w:t>
            </w:r>
          </w:p>
        </w:tc>
        <w:tc>
          <w:tcPr>
            <w:tcW w:w="84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Total NAV</w:t>
            </w:r>
          </w:p>
        </w:tc>
        <w:tc>
          <w:tcPr>
            <w:tcW w:w="202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BMNR/Share  Bear · Base · Bull</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2026</w:t>
            </w:r>
          </w:p>
        </w:tc>
        <w:tc>
          <w:tcPr>
            <w:tcW w:w="90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CLARITY stalls</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$2,500</w:t>
            </w:r>
          </w:p>
        </w:tc>
        <w:tc>
          <w:tcPr>
            <w:tcW w:w="5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460M</w:t>
            </w:r>
          </w:p>
        </w:tc>
        <w:tc>
          <w:tcPr>
            <w:tcW w:w="52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0.85x</w:t>
            </w:r>
          </w:p>
        </w:tc>
        <w:tc>
          <w:tcPr>
            <w:tcW w:w="6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$92M</w:t>
            </w:r>
          </w:p>
        </w:tc>
        <w:tc>
          <w:tcPr>
            <w:tcW w:w="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$200M</w:t>
            </w:r>
          </w:p>
        </w:tc>
        <w:tc>
          <w:tcPr>
            <w:tcW w:w="8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$13B</w:t>
            </w:r>
          </w:p>
        </w:tc>
        <w:tc>
          <w:tcPr>
            <w:tcW w:w="20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 · $25 · $29</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2027</w:t>
            </w:r>
          </w:p>
        </w:tc>
        <w:tc>
          <w:tcPr>
            <w:tcW w:w="90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US-only bull</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$6,000</w:t>
            </w:r>
          </w:p>
        </w:tc>
        <w:tc>
          <w:tcPr>
            <w:tcW w:w="5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460M</w:t>
            </w:r>
          </w:p>
        </w:tc>
        <w:tc>
          <w:tcPr>
            <w:tcW w:w="52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1.2x</w:t>
            </w:r>
          </w:p>
        </w:tc>
        <w:tc>
          <w:tcPr>
            <w:tcW w:w="6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$92M</w:t>
            </w:r>
          </w:p>
        </w:tc>
        <w:tc>
          <w:tcPr>
            <w:tcW w:w="6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$200M</w:t>
            </w:r>
          </w:p>
        </w:tc>
        <w:tc>
          <w:tcPr>
            <w:tcW w:w="8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$31B</w:t>
            </w:r>
          </w:p>
        </w:tc>
        <w:tc>
          <w:tcPr>
            <w:tcW w:w="20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$69 · $79 · $89</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2028</w:t>
            </w:r>
          </w:p>
        </w:tc>
        <w:tc>
          <w:tcPr>
            <w:tcW w:w="90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Halving inflect</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$9,000</w:t>
            </w:r>
          </w:p>
        </w:tc>
        <w:tc>
          <w:tcPr>
            <w:tcW w:w="5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462M</w:t>
            </w:r>
          </w:p>
        </w:tc>
        <w:tc>
          <w:tcPr>
            <w:tcW w:w="52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1.3x</w:t>
            </w:r>
          </w:p>
        </w:tc>
        <w:tc>
          <w:tcPr>
            <w:tcW w:w="6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$92M</w:t>
            </w:r>
          </w:p>
        </w:tc>
        <w:tc>
          <w:tcPr>
            <w:tcW w:w="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$200M</w:t>
            </w:r>
          </w:p>
        </w:tc>
        <w:tc>
          <w:tcPr>
            <w:tcW w:w="8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$46B</w:t>
            </w:r>
          </w:p>
        </w:tc>
        <w:tc>
          <w:tcPr>
            <w:tcW w:w="20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$111 · $126 · $140</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2029</w:t>
            </w:r>
          </w:p>
        </w:tc>
        <w:tc>
          <w:tcPr>
            <w:tcW w:w="90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Mild peak</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$12,000</w:t>
            </w:r>
          </w:p>
        </w:tc>
        <w:tc>
          <w:tcPr>
            <w:tcW w:w="5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464M</w:t>
            </w:r>
          </w:p>
        </w:tc>
        <w:tc>
          <w:tcPr>
            <w:tcW w:w="52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1.4x</w:t>
            </w:r>
          </w:p>
        </w:tc>
        <w:tc>
          <w:tcPr>
            <w:tcW w:w="6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$92M</w:t>
            </w:r>
          </w:p>
        </w:tc>
        <w:tc>
          <w:tcPr>
            <w:tcW w:w="6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$200M</w:t>
            </w:r>
          </w:p>
        </w:tc>
        <w:tc>
          <w:tcPr>
            <w:tcW w:w="8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$61B</w:t>
            </w:r>
          </w:p>
        </w:tc>
        <w:tc>
          <w:tcPr>
            <w:tcW w:w="20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$159 · $178 · $197</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2030</w:t>
            </w:r>
          </w:p>
        </w:tc>
        <w:tc>
          <w:tcPr>
            <w:tcW w:w="90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US plateau</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$15,000</w:t>
            </w:r>
          </w:p>
        </w:tc>
        <w:tc>
          <w:tcPr>
            <w:tcW w:w="5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465M</w:t>
            </w:r>
          </w:p>
        </w:tc>
        <w:tc>
          <w:tcPr>
            <w:tcW w:w="52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1.3x</w:t>
            </w:r>
          </w:p>
        </w:tc>
        <w:tc>
          <w:tcPr>
            <w:tcW w:w="6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$92M</w:t>
            </w:r>
          </w:p>
        </w:tc>
        <w:tc>
          <w:tcPr>
            <w:tcW w:w="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$200M</w:t>
            </w:r>
          </w:p>
        </w:tc>
        <w:tc>
          <w:tcPr>
            <w:tcW w:w="8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$73B</w:t>
            </w:r>
          </w:p>
        </w:tc>
        <w:tc>
          <w:tcPr>
            <w:tcW w:w="20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$182 · $205 · $229</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2031</w:t>
            </w:r>
          </w:p>
        </w:tc>
        <w:tc>
          <w:tcPr>
            <w:tcW w:w="90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Correction</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$10,000</w:t>
            </w:r>
          </w:p>
        </w:tc>
        <w:tc>
          <w:tcPr>
            <w:tcW w:w="5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465M</w:t>
            </w:r>
          </w:p>
        </w:tc>
        <w:tc>
          <w:tcPr>
            <w:tcW w:w="52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1.0x</w:t>
            </w:r>
          </w:p>
        </w:tc>
        <w:tc>
          <w:tcPr>
            <w:tcW w:w="6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$92M</w:t>
            </w:r>
          </w:p>
        </w:tc>
        <w:tc>
          <w:tcPr>
            <w:tcW w:w="6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$200M</w:t>
            </w:r>
          </w:p>
        </w:tc>
        <w:tc>
          <w:tcPr>
            <w:tcW w:w="8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$49B</w:t>
            </w:r>
          </w:p>
        </w:tc>
        <w:tc>
          <w:tcPr>
            <w:tcW w:w="20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$90 · $106 · $122</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2032</w:t>
            </w:r>
          </w:p>
        </w:tc>
        <w:tc>
          <w:tcPr>
            <w:tcW w:w="90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Halving base</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$13,000</w:t>
            </w:r>
          </w:p>
        </w:tc>
        <w:tc>
          <w:tcPr>
            <w:tcW w:w="5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465M</w:t>
            </w:r>
          </w:p>
        </w:tc>
        <w:tc>
          <w:tcPr>
            <w:tcW w:w="52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1.1x</w:t>
            </w:r>
          </w:p>
        </w:tc>
        <w:tc>
          <w:tcPr>
            <w:tcW w:w="6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$92M</w:t>
            </w:r>
          </w:p>
        </w:tc>
        <w:tc>
          <w:tcPr>
            <w:tcW w:w="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$200M</w:t>
            </w:r>
          </w:p>
        </w:tc>
        <w:tc>
          <w:tcPr>
            <w:tcW w:w="8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$63B</w:t>
            </w:r>
          </w:p>
        </w:tc>
        <w:tc>
          <w:tcPr>
            <w:tcW w:w="20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$131 · $151 · $172</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2033</w:t>
            </w:r>
          </w:p>
        </w:tc>
        <w:tc>
          <w:tcPr>
            <w:tcW w:w="90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Moderate bull</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$18,000</w:t>
            </w:r>
          </w:p>
        </w:tc>
        <w:tc>
          <w:tcPr>
            <w:tcW w:w="5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464M</w:t>
            </w:r>
          </w:p>
        </w:tc>
        <w:tc>
          <w:tcPr>
            <w:tcW w:w="52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1.3x</w:t>
            </w:r>
          </w:p>
        </w:tc>
        <w:tc>
          <w:tcPr>
            <w:tcW w:w="6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$92M</w:t>
            </w:r>
          </w:p>
        </w:tc>
        <w:tc>
          <w:tcPr>
            <w:tcW w:w="6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$200M</w:t>
            </w:r>
          </w:p>
        </w:tc>
        <w:tc>
          <w:tcPr>
            <w:tcW w:w="8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$87B</w:t>
            </w:r>
          </w:p>
        </w:tc>
        <w:tc>
          <w:tcPr>
            <w:tcW w:w="20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$218 · $246 · $275</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2034</w:t>
            </w:r>
          </w:p>
        </w:tc>
        <w:tc>
          <w:tcPr>
            <w:tcW w:w="90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Moderate peak</w:t>
            </w:r>
          </w:p>
        </w:tc>
        <w:tc>
          <w:tcPr>
            <w:tcW w:w="6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$25,000</w:t>
            </w:r>
          </w:p>
        </w:tc>
        <w:tc>
          <w:tcPr>
            <w:tcW w:w="5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464M</w:t>
            </w:r>
          </w:p>
        </w:tc>
        <w:tc>
          <w:tcPr>
            <w:tcW w:w="52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1.4x</w:t>
            </w:r>
          </w:p>
        </w:tc>
        <w:tc>
          <w:tcPr>
            <w:tcW w:w="6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$92M</w:t>
            </w:r>
          </w:p>
        </w:tc>
        <w:tc>
          <w:tcPr>
            <w:tcW w:w="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$200M</w:t>
            </w:r>
          </w:p>
        </w:tc>
        <w:tc>
          <w:tcPr>
            <w:tcW w:w="8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$119B</w:t>
            </w:r>
          </w:p>
        </w:tc>
        <w:tc>
          <w:tcPr>
            <w:tcW w:w="202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$327 · $367 · $406</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2035</w:t>
            </w:r>
          </w:p>
        </w:tc>
        <w:tc>
          <w:tcPr>
            <w:tcW w:w="900" w:type="dxa"/>
            <w:tcBorders>
              <w:top w:val="single" w:sz="2" w:space="0" w:color="BFBFBF"/>
              <w:left w:val="single" w:sz="2" w:space="0" w:color="BFBFBF"/>
              <w:bottom w:val="single" w:sz="2" w:space="0" w:color="BFBFBF"/>
              <w:right w:val="single" w:sz="2" w:space="0" w:color="BFBFBF"/>
            </w:tcBorders>
            <w:shd w:fill="F2F2F2"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Maturity plateau</w:t>
            </w:r>
          </w:p>
        </w:tc>
        <w:tc>
          <w:tcPr>
            <w:tcW w:w="6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$22,000</w:t>
            </w:r>
          </w:p>
        </w:tc>
        <w:tc>
          <w:tcPr>
            <w:tcW w:w="5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463M</w:t>
            </w:r>
          </w:p>
        </w:tc>
        <w:tc>
          <w:tcPr>
            <w:tcW w:w="52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1.3x</w:t>
            </w:r>
          </w:p>
        </w:tc>
        <w:tc>
          <w:tcPr>
            <w:tcW w:w="6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$92M</w:t>
            </w:r>
          </w:p>
        </w:tc>
        <w:tc>
          <w:tcPr>
            <w:tcW w:w="6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$200M</w:t>
            </w:r>
          </w:p>
        </w:tc>
        <w:tc>
          <w:tcPr>
            <w:tcW w:w="8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$104B</w:t>
            </w:r>
          </w:p>
        </w:tc>
        <w:tc>
          <w:tcPr>
            <w:tcW w:w="202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$266 · $301 · $335</w:t>
            </w:r>
          </w:p>
        </w:tc>
      </w:tr>
    </w:tbl>
    <w:p>
      <w:pPr>
        <w:pStyle w:val="Normal"/>
        <w:spacing w:before="40" w:after="40"/>
        <w:rPr/>
      </w:pPr>
      <w:r>
        <w:rPr/>
      </w:r>
    </w:p>
    <w:p>
      <w:pPr>
        <w:pStyle w:val="Normal"/>
        <w:spacing w:before="60" w:after="60"/>
        <w:rPr/>
      </w:pPr>
      <w:r>
        <w:rPr>
          <w:rFonts w:eastAsia="Arial" w:cs="Arial"/>
          <w:i/>
          <w:iCs/>
          <w:color w:val="777777"/>
          <w:sz w:val="18"/>
          <w:szCs w:val="18"/>
        </w:rPr>
        <w:t>Table D: ETH peaks at $12,000–15,000 in 2029 (US-only bull cycle), consolidates at $15,000–25,000 through 2035. mNAV 0.85–1.4x throughout — no SWF-driven expansion, no MAVAN-as-a-service premium. The $18–22/share 2026 floor is close to today's trading price ($22.14), making this a realistic downside anchor. BMNR still returns ~10–18x from current price of $22.14 by 2034 in this scenario — a strong absolute return, but dramatically different from the Bull scenario base.</w:t>
      </w:r>
    </w:p>
    <w:p>
      <w:pPr>
        <w:pStyle w:val="Normal"/>
        <w:spacing w:before="40" w:after="40"/>
        <w:rPr/>
      </w:pPr>
      <w:r>
        <w:rPr/>
      </w:r>
    </w:p>
    <w:p>
      <w:pPr>
        <w:pStyle w:val="Normal"/>
        <w:rPr/>
      </w:pPr>
      <w:r>
        <w:rPr/>
      </w:r>
      <w:r>
        <w:br w:type="page"/>
      </w:r>
    </w:p>
    <w:p>
      <w:pPr>
        <w:pStyle w:val="Heading1"/>
        <w:spacing w:before="0" w:after="120"/>
        <w:rPr/>
      </w:pPr>
      <w:r>
        <w:rPr>
          <w:rFonts w:eastAsia="Arial" w:cs="Arial" w:ascii="Arial" w:hAnsi="Arial"/>
          <w:b/>
          <w:bCs/>
          <w:color w:val="1F3864"/>
          <w:sz w:val="36"/>
          <w:szCs w:val="36"/>
        </w:rPr>
        <w:t>10.  Key Risks</w:t>
      </w:r>
    </w:p>
    <w:p>
      <w:pPr>
        <w:pStyle w:val="Normal"/>
        <w:spacing w:before="60" w:after="60"/>
        <w:rPr/>
      </w:pPr>
      <w:r>
        <w:rPr>
          <w:rFonts w:eastAsia="Arial" w:cs="Arial"/>
          <w:i/>
          <w:iCs/>
          <w:color w:val="777777"/>
          <w:sz w:val="18"/>
          <w:szCs w:val="18"/>
        </w:rPr>
        <w:t>v5 update: Risks 1 and 2 have been expanded to incorporate findings from the extended thinking mNAV stress-test. New risk items 11 (simultaneous stress scenario) and 12 (buyback funding source) have been added.</w:t>
      </w:r>
    </w:p>
    <w:p>
      <w:pPr>
        <w:pStyle w:val="Normal"/>
        <w:spacing w:before="40" w:after="40"/>
        <w:rPr/>
      </w:pPr>
      <w:r>
        <w:rPr/>
      </w:r>
    </w:p>
    <w:p>
      <w:pPr>
        <w:pStyle w:val="ListParagraph"/>
        <w:numPr>
          <w:ilvl w:val="0"/>
          <w:numId w:val="2"/>
        </w:numPr>
        <w:spacing w:before="40" w:after="40"/>
        <w:rPr/>
      </w:pPr>
      <w:r>
        <w:rPr>
          <w:rFonts w:eastAsia="Arial" w:cs="Arial"/>
          <w:sz w:val="20"/>
          <w:szCs w:val="20"/>
        </w:rPr>
        <w:t>Share dilution and buyback funding risk: The $4B buyback is only NAV-accretive if shares are repurchased below aNAV and not offset by dilutive new share issuances at similar price levels. The document does not specify the funding source for the buyback. If equity-funded at current prices (~$22.14/share, 0.81x mNAV), the math implies ~179M shares at $22.14 — but this requires capital that must come from share issuance, debt, or ETH sales, each of which has distinct NAV implications. Monitor the funding mechanism in every earnings release.</w:t>
      </w:r>
    </w:p>
    <w:p>
      <w:pPr>
        <w:pStyle w:val="ListParagraph"/>
        <w:numPr>
          <w:ilvl w:val="0"/>
          <w:numId w:val="2"/>
        </w:numPr>
        <w:spacing w:before="40" w:after="40"/>
        <w:rPr/>
      </w:pPr>
      <w:r>
        <w:rPr>
          <w:rFonts w:eastAsia="Arial" w:cs="Arial"/>
          <w:sz w:val="20"/>
          <w:szCs w:val="20"/>
        </w:rPr>
        <w:t>mNAV compression — simultaneous stress scenario: The most dangerous scenario for BMNR equity holders is ETH price and mNAV compressing simultaneously. Historical precedent: ETH fell ~82% peak-to-trough in 2022. Extended thinking analysis (v17) establishes that the realistic 2031 correction from the $50,000 2030 base is −50–70%, not the document's modelled −28%. This produces a realistic 2031 ETH range of $15,000–$25,000 (vs the document's $36,000 base) because the $50,000 price requires 30% of gold's monetary premium to be captured — a premium that partially contracts in corrections. The structural demand thesis does provide a genuine floor: $15,000–$25,000 in 2031 is materially higher than the 2022 trough equivalents ($3,000–$5,000 in 2031 dollar terms), but it is not the −28% mild correction the document implies. Applied to mNAV: ETH $15,000 × 0.9x mNAV × 468M shares ≈ $29/share — a significant loss from a $22.14 entry only if purchased at the base case peak; roughly in line with current entry of $22.14 if purchased now. This scenario has 45–50% probability in a post-2030 correction year. See Section 15.11 for the full correction scenario probability table.</w:t>
      </w:r>
    </w:p>
    <w:p>
      <w:pPr>
        <w:pStyle w:val="ListParagraph"/>
        <w:numPr>
          <w:ilvl w:val="0"/>
          <w:numId w:val="2"/>
        </w:numPr>
        <w:spacing w:before="40" w:after="40"/>
        <w:rPr/>
      </w:pPr>
      <w:r>
        <w:rPr>
          <w:rFonts w:eastAsia="Arial" w:cs="Arial"/>
          <w:sz w:val="20"/>
          <w:szCs w:val="20"/>
        </w:rPr>
        <w:t>ETH competition: Solana, purpose-built agent chains (Tempo), and private institutional blockchains could capture market share. L2 fee fragmentation pulls revenue from mainnet.</w:t>
      </w:r>
    </w:p>
    <w:p>
      <w:pPr>
        <w:pStyle w:val="ListParagraph"/>
        <w:numPr>
          <w:ilvl w:val="0"/>
          <w:numId w:val="2"/>
        </w:numPr>
        <w:spacing w:before="40" w:after="40"/>
        <w:rPr/>
      </w:pPr>
      <w:r>
        <w:rPr>
          <w:rFonts w:eastAsia="Arial" w:cs="Arial"/>
          <w:sz w:val="20"/>
          <w:szCs w:val="20"/>
        </w:rPr>
        <w:t>CLARITY Act failure — Tier 1 risk: Stall past May 2026 = likely delayed post-midterms at earliest. Per Table E (Section 9.5), CLARITY failure produces 70–78% lower share prices across all years vs the base case — the result of simultaneous ETH price compression (SWF/pension demand disappears) and mNAV compression (no institutional premium justification, no Russell 3000 inclusion). Even without CLARITY, BMNR returns ~27x by 2034 from today — but that is a levered crypto beta outcome, not the institutional infrastructure premium thesis. The probability-weighted expected value calculation: 65% × CLARITY base + 35% × No-CLARITY base should be the investor's reference price at each year, not the CLARITY base alone.</w:t>
      </w:r>
    </w:p>
    <w:p>
      <w:pPr>
        <w:pStyle w:val="ListParagraph"/>
        <w:numPr>
          <w:ilvl w:val="0"/>
          <w:numId w:val="2"/>
        </w:numPr>
        <w:spacing w:before="40" w:after="40"/>
        <w:rPr/>
      </w:pPr>
      <w:r>
        <w:rPr>
          <w:rFonts w:eastAsia="Arial" w:cs="Arial"/>
          <w:sz w:val="20"/>
          <w:szCs w:val="20"/>
        </w:rPr>
        <w:t>Restaking systemic risk: Using the same ETH collateral to secure multiple AVSs creates correlated slashing risk. A cascade failure in EigenLayer could affect MAVAN's restaking revenue.</w:t>
      </w:r>
    </w:p>
    <w:p>
      <w:pPr>
        <w:pStyle w:val="ListParagraph"/>
        <w:numPr>
          <w:ilvl w:val="0"/>
          <w:numId w:val="2"/>
        </w:numPr>
        <w:spacing w:before="40" w:after="40"/>
        <w:rPr/>
      </w:pPr>
      <w:r>
        <w:rPr>
          <w:rFonts w:eastAsia="Arial" w:cs="Arial"/>
          <w:sz w:val="20"/>
          <w:szCs w:val="20"/>
        </w:rPr>
        <w:t>Agentic AI regulatory risk: Governments may impose KYC on AI agent wallets, restricting autonomous stablecoin payments and reducing the agent gas demand thesis.</w:t>
      </w:r>
    </w:p>
    <w:p>
      <w:pPr>
        <w:pStyle w:val="ListParagraph"/>
        <w:numPr>
          <w:ilvl w:val="0"/>
          <w:numId w:val="2"/>
        </w:numPr>
        <w:spacing w:before="40" w:after="40"/>
        <w:rPr/>
      </w:pPr>
      <w:r>
        <w:rPr>
          <w:rFonts w:eastAsia="Arial" w:cs="Arial"/>
          <w:sz w:val="20"/>
          <w:szCs w:val="20"/>
        </w:rPr>
        <w:t>SWF allocation delay: Sovereign wealth funds move slowly. Regulatory uncertainty or political headwinds could delay formal ETH allocation well beyond 2027.</w:t>
      </w:r>
    </w:p>
    <w:p>
      <w:pPr>
        <w:pStyle w:val="ListParagraph"/>
        <w:numPr>
          <w:ilvl w:val="0"/>
          <w:numId w:val="2"/>
        </w:numPr>
        <w:spacing w:before="40" w:after="40"/>
        <w:rPr/>
      </w:pPr>
      <w:r>
        <w:rPr>
          <w:rFonts w:eastAsia="Arial" w:cs="Arial"/>
          <w:sz w:val="20"/>
          <w:szCs w:val="20"/>
        </w:rPr>
        <w:t>SWIFT inertia: SWIFT has survived existential threats before. Its migration to on-chain stablecoin rails may take longer than 2027, or may favour a different blockchain.</w:t>
      </w:r>
    </w:p>
    <w:p>
      <w:pPr>
        <w:pStyle w:val="ListParagraph"/>
        <w:numPr>
          <w:ilvl w:val="0"/>
          <w:numId w:val="2"/>
        </w:numPr>
        <w:spacing w:before="40" w:after="40"/>
        <w:rPr/>
      </w:pPr>
      <w:r>
        <w:rPr>
          <w:rFonts w:eastAsia="Arial" w:cs="Arial"/>
          <w:sz w:val="20"/>
          <w:szCs w:val="20"/>
        </w:rPr>
        <w:t>Macro deterioration: Recession, banking crisis, or geopolitical escalation could drive risk-off and compress crypto prices regardless of fundamentals.</w:t>
      </w:r>
    </w:p>
    <w:p>
      <w:pPr>
        <w:pStyle w:val="ListParagraph"/>
        <w:numPr>
          <w:ilvl w:val="0"/>
          <w:numId w:val="2"/>
        </w:numPr>
        <w:spacing w:before="40" w:after="40"/>
        <w:rPr/>
      </w:pPr>
      <w:r>
        <w:rPr>
          <w:rFonts w:eastAsia="Arial" w:cs="Arial"/>
          <w:sz w:val="20"/>
          <w:szCs w:val="20"/>
        </w:rPr>
        <w:t>Wildcard execution: MrBeast Financial has not launched. OpenAI IPO not confirmed. Both carry significant execution uncertainty.</w:t>
      </w:r>
    </w:p>
    <w:p>
      <w:pPr>
        <w:pStyle w:val="ListParagraph"/>
        <w:numPr>
          <w:ilvl w:val="0"/>
          <w:numId w:val="2"/>
        </w:numPr>
        <w:spacing w:before="40" w:after="40"/>
        <w:rPr/>
      </w:pPr>
      <w:r>
        <w:rPr>
          <w:rFonts w:eastAsia="Arial" w:cs="Arial"/>
          <w:sz w:val="20"/>
          <w:szCs w:val="20"/>
        </w:rPr>
        <w:t>CLARITY Act stablecoin yield ban — conditional tailwind with multiple offsets: The March 23, 2026 Senate draft bans balance-based stablecoin yield. Net BMNR impact depends on regulatory interpretation (narrow vs broad — see Section 11.4a), capital migration path of displaced $38–52B USDC yield pool (majority migrates to T-bill tokens or offshore, not staked ETH — see Section 11.4d), and Coinbase's commercial response (ETH staking pivot expands market but intensifies retail competition — see Section 11.4e). Under narrow interpretation: net positive but modest (mNAV +0.2–0.4x above pre-ban trajectory); under broad interpretation: structural sweet spot is permanent (mNAV +0.4–0.8x throughout). The USDT chain migration risk (Section 11.4c) is a partially offsetting Channel 2 headwind not visible in headline stablecoin market share data. 2028 is the critical year: narrow interpretation still allows yield spikes that threaten MAVAN premium; broad interpretation eliminates the risk entirely.</w:t>
      </w:r>
    </w:p>
    <w:p>
      <w:pPr>
        <w:pStyle w:val="ListParagraph"/>
        <w:numPr>
          <w:ilvl w:val="0"/>
          <w:numId w:val="2"/>
        </w:numPr>
        <w:spacing w:before="40" w:after="40"/>
        <w:rPr/>
      </w:pPr>
      <w:r>
        <w:rPr>
          <w:rFonts w:eastAsia="Arial" w:cs="Arial"/>
          <w:sz w:val="20"/>
          <w:szCs w:val="20"/>
        </w:rPr>
        <w:t>Regulatory fragmentation (most likely path to 2030 base case failure): CLARITY Act passes in the US but international regulatory response is fragmented. EU expands MiCA restrictions to classify staking yield as a regulated investment product. Asian markets (ex-Singapore/Hong Kong) implement crypto capital controls. ETH becomes a US institutional asset rather than a global settlement layer. SWF allocation limited to US-friendly sovereigns ($20–40B vs $120B base case). RWA on ETH limited to US market ($2–4T vs $8–16T global). Result: ETH peaks at $12,000–20,000 in 2029-2030, not $38,000–52,000. BMNR would still return 10–15x from today — a strong outcome — but is profoundly different from the base case.</w:t>
      </w:r>
    </w:p>
    <w:p>
      <w:pPr>
        <w:pStyle w:val="ListParagraph"/>
        <w:numPr>
          <w:ilvl w:val="0"/>
          <w:numId w:val="2"/>
        </w:numPr>
        <w:spacing w:before="40" w:after="40"/>
        <w:rPr/>
      </w:pPr>
      <w:r>
        <w:rPr>
          <w:rFonts w:eastAsia="Arial" w:cs="Arial"/>
          <w:sz w:val="20"/>
          <w:szCs w:val="20"/>
        </w:rPr>
        <w:t>L1 fee burn collapse — partially current reality (updated in v8): L2 scaling has already reduced L1 fee burn significantly. As of April 2026, ETH is mildly inflationary at ~+0.23% annually — the EIP-1559 deflation thesis is currently not operating. Average gas prices have fallen to 0.16 gwei; blob space utilisation is only 20–30%; L1 daily active addresses are down 47% year-on-year. The ETH deflation thesis requires either blob fee saturation (blob space becomes fully utilised as L2 volumes grow) or based rollup adoption (L2 sequencer fees redirect to L1 validators). EIP-7918 (Fusaka, December 2025) establishes a blob fee floor that partially addresses the issue, but the inflection point has not arrived. If blob saturation does not occur during the 2027–2030 cycle, the monetary premium embedded in ETH bull-case prices is overstated by 10–20%. MAVAN is partially insulated (staking yield does not depend on fee burn) but lower ETH prices reduce MAVAN USD revenue proportionally. See Section 5.3–5.4 for full analysis.</w:t>
      </w:r>
    </w:p>
    <w:p>
      <w:pPr>
        <w:pStyle w:val="Normal"/>
        <w:spacing w:before="40" w:after="40"/>
        <w:rPr/>
      </w:pPr>
      <w:r>
        <w:rPr/>
      </w:r>
    </w:p>
    <w:p>
      <w:pPr>
        <w:pStyle w:val="Heading1"/>
        <w:spacing w:before="360" w:after="120"/>
        <w:rPr/>
      </w:pPr>
      <w:r>
        <w:rPr>
          <w:rFonts w:eastAsia="Arial" w:cs="Arial" w:ascii="Arial" w:hAnsi="Arial"/>
          <w:b/>
          <w:bCs/>
          <w:color w:val="1F3864"/>
          <w:sz w:val="36"/>
          <w:szCs w:val="36"/>
        </w:rPr>
        <w:t>11.  Stablecoin Yield Dynamics and BMNR</w:t>
      </w:r>
    </w:p>
    <w:p>
      <w:pPr>
        <w:pStyle w:val="Normal"/>
        <w:spacing w:before="60" w:after="80"/>
        <w:rPr/>
      </w:pPr>
      <w:r>
        <w:rPr>
          <w:rFonts w:eastAsia="Arial" w:cs="Arial"/>
          <w:sz w:val="20"/>
          <w:szCs w:val="20"/>
        </w:rPr>
        <w:t>Stablecoin yield — the rate earnable by deploying USDC or USDT into on-chain lending protocols (Aave, Compound, tokenised money market funds) — affects BMNR through multiple interacting channels simultaneously. Extended thinking stress-test significantly deepened this analysis: the original two-channel framework is correct in structure but incomplete in three important respects — the channels operate on different components of BMNR's value, a double-negative zone exists that the prior framework did not fully define, and at least four additional interaction pathways were not captured.</w:t>
      </w:r>
    </w:p>
    <w:p>
      <w:pPr>
        <w:pStyle w:val="Normal"/>
        <w:spacing w:before="40" w:after="40"/>
        <w:rPr/>
      </w:pPr>
      <w:r>
        <w:rPr/>
      </w:r>
    </w:p>
    <w:p>
      <w:pPr>
        <w:pStyle w:val="Heading2"/>
        <w:spacing w:before="280" w:after="80"/>
        <w:rPr/>
      </w:pPr>
      <w:r>
        <w:rPr>
          <w:rFonts w:eastAsia="Arial" w:cs="Arial" w:ascii="Arial" w:hAnsi="Arial"/>
          <w:b/>
          <w:bCs/>
          <w:color w:val="2E75B6"/>
          <w:sz w:val="28"/>
          <w:szCs w:val="28"/>
        </w:rPr>
        <w:t>11.1  The Two Channels — Corrected Framework</w:t>
      </w:r>
    </w:p>
    <w:p>
      <w:pPr>
        <w:pStyle w:val="Normal"/>
        <w:spacing w:before="60" w:after="80"/>
        <w:rPr/>
      </w:pPr>
      <w:r>
        <w:rPr>
          <w:rFonts w:eastAsia="Arial" w:cs="Arial"/>
          <w:sz w:val="20"/>
          <w:szCs w:val="20"/>
        </w:rPr>
        <w:t>A critical refinement to the original framing: the two channels do not operate on the same variable. Channel 1 affects BMNR's equity premium (the multiple above NAV); Channel 2 affects BMNR's underlying NAV via ETH price. Because they operate on different components, they move independently and can be simultaneously positive, simultaneously negative (the double-negative zone), or offsetting.</w:t>
      </w:r>
    </w:p>
    <w:p>
      <w:pPr>
        <w:pStyle w:val="Normal"/>
        <w:spacing w:before="40" w:after="40"/>
        <w:rPr/>
      </w:pPr>
      <w:r>
        <w:rPr/>
      </w:r>
    </w:p>
    <w:p>
      <w:pPr>
        <w:pStyle w:val="ListParagraph"/>
        <w:numPr>
          <w:ilvl w:val="0"/>
          <w:numId w:val="1"/>
        </w:numPr>
        <w:spacing w:before="40" w:after="40"/>
        <w:rPr/>
      </w:pPr>
      <w:r>
        <w:rPr>
          <w:rFonts w:eastAsia="Arial" w:cs="Arial"/>
          <w:sz w:val="20"/>
          <w:szCs w:val="20"/>
        </w:rPr>
        <w:t>Channel 1 — MAVAN yield competition: High stablecoin yield compresses the mNAV premium by making stablecoin lending more attractive than staking ETH. Affects the equity multiple, not the underlying ETH value. Sensitive to the spread between MAVAN yield and stablecoin yield.</w:t>
      </w:r>
    </w:p>
    <w:p>
      <w:pPr>
        <w:pStyle w:val="ListParagraph"/>
        <w:numPr>
          <w:ilvl w:val="0"/>
          <w:numId w:val="1"/>
        </w:numPr>
        <w:spacing w:before="40" w:after="40"/>
        <w:rPr/>
      </w:pPr>
      <w:r>
        <w:rPr>
          <w:rFonts w:eastAsia="Arial" w:cs="Arial"/>
          <w:sz w:val="20"/>
          <w:szCs w:val="20"/>
        </w:rPr>
        <w:t>Channel 2 — ETH gas burn via DeFi activity: High DeFi activity burns ETH gas via EIP-1559, supporting ETH price (and therefore BMNR's NAV). Sensitive to the volume of on-chain transactions, but critically — only ETH L1 transactions contribute. L2-native or BTC-native DeFi activity does not burn ETH L1 gas.</w:t>
      </w:r>
    </w:p>
    <w:p>
      <w:pPr>
        <w:pStyle w:val="Normal"/>
        <w:spacing w:before="40" w:after="40"/>
        <w:rPr/>
      </w:pPr>
      <w:r>
        <w:rPr/>
      </w:r>
    </w:p>
    <w:p>
      <w:pPr>
        <w:pStyle w:val="Heading2"/>
        <w:spacing w:before="280" w:after="80"/>
        <w:rPr/>
      </w:pPr>
      <w:r>
        <w:rPr>
          <w:rFonts w:eastAsia="Arial" w:cs="Arial" w:ascii="Arial" w:hAnsi="Arial"/>
          <w:b/>
          <w:bCs/>
          <w:color w:val="2E75B6"/>
          <w:sz w:val="28"/>
          <w:szCs w:val="28"/>
        </w:rPr>
        <w:t>11.2  The Four Regimes</w:t>
      </w:r>
    </w:p>
    <w:p>
      <w:pPr>
        <w:pStyle w:val="Normal"/>
        <w:spacing w:before="60" w:after="80"/>
        <w:rPr/>
      </w:pPr>
      <w:r>
        <w:rPr>
          <w:rFonts w:eastAsia="Arial" w:cs="Arial"/>
          <w:sz w:val="20"/>
          <w:szCs w:val="20"/>
        </w:rPr>
        <w:t>Channel dominance varies systematically across the market cycle. The four regimes below map the interaction — with particular attention to a subtle but important asymmetry in Regime 3 that the prior analysis missed.</w:t>
      </w:r>
    </w:p>
    <w:p>
      <w:pPr>
        <w:pStyle w:val="Normal"/>
        <w:spacing w:before="40" w:after="40"/>
        <w:rPr/>
      </w:pPr>
      <w:r>
        <w:rPr/>
      </w:r>
    </w:p>
    <w:tbl>
      <w:tblPr>
        <w:tblW w:w="8660" w:type="dxa"/>
        <w:jc w:val="left"/>
        <w:tblInd w:w="0" w:type="dxa"/>
        <w:tblLayout w:type="fixed"/>
        <w:tblCellMar>
          <w:top w:w="80" w:type="dxa"/>
          <w:left w:w="100" w:type="dxa"/>
          <w:bottom w:w="80" w:type="dxa"/>
          <w:right w:w="100" w:type="dxa"/>
        </w:tblCellMar>
      </w:tblPr>
      <w:tblGrid>
        <w:gridCol w:w="760"/>
        <w:gridCol w:w="819"/>
        <w:gridCol w:w="1400"/>
        <w:gridCol w:w="1401"/>
        <w:gridCol w:w="1199"/>
        <w:gridCol w:w="3080"/>
      </w:tblGrid>
      <w:tr>
        <w:trPr>
          <w:tblHeader w:val="true"/>
        </w:trPr>
        <w:tc>
          <w:tcPr>
            <w:tcW w:w="7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Regime</w:t>
            </w:r>
          </w:p>
        </w:tc>
        <w:tc>
          <w:tcPr>
            <w:tcW w:w="81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Stablecoin yield</w:t>
            </w:r>
          </w:p>
        </w:tc>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Channel 1 (mNAV)</w:t>
            </w:r>
          </w:p>
        </w:tc>
        <w:tc>
          <w:tcPr>
            <w:tcW w:w="14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Channel 2 (ETH gas)</w:t>
            </w:r>
          </w:p>
        </w:tc>
        <w:tc>
          <w:tcPr>
            <w:tcW w:w="1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Net BMNR impact</w:t>
            </w:r>
          </w:p>
        </w:tc>
        <w:tc>
          <w:tcPr>
            <w:tcW w:w="308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Key nuance</w:t>
            </w:r>
          </w:p>
        </w:tc>
      </w:tr>
      <w:tr>
        <w:trPr/>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 — Bear market</w:t>
            </w:r>
          </w:p>
        </w:tc>
        <w:tc>
          <w:tcPr>
            <w:tcW w:w="8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0–2%</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Strongly positive: MAVAN 2.8–7% towers over near-zero alternatives</w:t>
            </w:r>
          </w:p>
        </w:tc>
        <w:tc>
          <w:tcPr>
            <w:tcW w:w="1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Negative: DeFi borrowing collapsed; low leverage = low gas burn</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Positive overall — premium expands; ETH price low but mNAV partially compensates</w:t>
            </w:r>
          </w:p>
        </w:tc>
        <w:tc>
          <w:tcPr>
            <w:tcW w:w="30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Low yields = low DeFi activity. Channel 1 and 2 move in opposite directions.</w:t>
            </w:r>
          </w:p>
        </w:tc>
      </w:tr>
      <w:tr>
        <w:trPr/>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 — Early bull (sweet spot)</w:t>
            </w:r>
          </w:p>
        </w:tc>
        <w:tc>
          <w:tcPr>
            <w:tcW w:w="8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Positive: MAVAN competitive, healthy 200–400bps premium with restaking</w:t>
            </w:r>
          </w:p>
        </w:tc>
        <w:tc>
          <w:tcPr>
            <w:tcW w:w="14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Positive: moderate DeFi activity, steady gas burn</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Best sustained environment — both channels positive; also coincides with rising ETH price</w:t>
            </w:r>
          </w:p>
        </w:tc>
        <w:tc>
          <w:tcPr>
            <w:tcW w:w="30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3–5% zone is a leading indicator of the cycle phase most broadly favourable for BMNR.</w:t>
            </w:r>
          </w:p>
        </w:tc>
      </w:tr>
      <w:tr>
        <w:trPr/>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3 — Cycle peak (danger zone)</w:t>
            </w:r>
          </w:p>
        </w:tc>
        <w:tc>
          <w:tcPr>
            <w:tcW w:w="8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8–12%</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Negative: MAVAN yield (5–7% by 2028) beaten by stablecoin alternatives</w:t>
            </w:r>
          </w:p>
        </w:tc>
        <w:tc>
          <w:tcPr>
            <w:tcW w:w="1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Temporally asymmetric: positive while leverage builds; neutral at peak; briefly very positive then sharply negative during unwind</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Ambiguous — Channel 1 persistently negative; Channel 2 front-loaded and reverting</w:t>
            </w:r>
          </w:p>
        </w:tc>
        <w:tc>
          <w:tcPr>
            <w:tcW w:w="30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Channel 1 damage is sustained throughout high-yield period. Channel 2 benefit is front-loaded and already priced in by the time yields peak.</w:t>
            </w:r>
          </w:p>
        </w:tc>
      </w:tr>
      <w:tr>
        <w:trPr/>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4 — Yield banned</w:t>
            </w:r>
          </w:p>
        </w:tc>
        <w:tc>
          <w:tcPr>
            <w:tcW w:w="8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Regulatory restriction</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Maximum: monopoly yield position — staked ETH only option</w:t>
            </w:r>
          </w:p>
        </w:tc>
        <w:tc>
          <w:tcPr>
            <w:tcW w:w="14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Negative: fewer stablecoin transactions, less gas</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Positive for mNAV; mixed for ETH price</w:t>
            </w:r>
          </w:p>
        </w:tc>
        <w:tc>
          <w:tcPr>
            <w:tcW w:w="30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Regulatory restriction on stablecoin yield creates mNAV expansion but reduces ecosystem activity.</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11.3  The Double-Negative Zone</w:t>
      </w:r>
    </w:p>
    <w:p>
      <w:pPr>
        <w:pStyle w:val="Normal"/>
        <w:spacing w:before="60" w:after="80"/>
        <w:rPr/>
      </w:pPr>
      <w:r>
        <w:rPr>
          <w:rFonts w:eastAsia="Arial" w:cs="Arial"/>
          <w:sz w:val="20"/>
          <w:szCs w:val="20"/>
        </w:rPr>
        <w:t>The double-negative zone — where both channels simultaneously damage BMNR — is more precisely defined than the prior analysis suggested. It does not occur whenever stablecoin yields are high. It occurs specifically when high stablecoin yields are driven by DeFi activity that does NOT generate Ethereum L1 gas burn. Four specific conditions:</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2100"/>
        <w:gridCol w:w="4000"/>
        <w:gridCol w:w="2260"/>
      </w:tblGrid>
      <w:tr>
        <w:trPr>
          <w:tblHeader w:val="true"/>
        </w:trPr>
        <w:tc>
          <w:tcPr>
            <w:tcW w:w="21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Double-negative condition</w:t>
            </w:r>
          </w:p>
        </w:tc>
        <w:tc>
          <w:tcPr>
            <w:tcW w:w="4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Why both channels go negative</w:t>
            </w:r>
          </w:p>
        </w:tc>
        <w:tc>
          <w:tcPr>
            <w:tcW w:w="22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Probability by 2028–2030</w:t>
            </w:r>
          </w:p>
        </w:tc>
      </w:tr>
      <w:tr>
        <w:trPr/>
        <w:tc>
          <w:tcPr>
            <w:tcW w:w="2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BTC-native DeFi leverage (Babylon, Stacks, Lightning)</w:t>
            </w:r>
          </w:p>
        </w:tc>
        <w:tc>
          <w:tcPr>
            <w:tcW w:w="4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Channel 1: MAVAN yield uncompetitive. Channel 2: gas burn goes to Bitcoin L2s, not ETH L1.</w:t>
            </w:r>
          </w:p>
        </w:tc>
        <w:tc>
          <w:tcPr>
            <w:tcW w:w="22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Rising — BTC-native DeFi is an emerging category</w:t>
            </w:r>
          </w:p>
        </w:tc>
      </w:tr>
      <w:tr>
        <w:trPr/>
        <w:tc>
          <w:tcPr>
            <w:tcW w:w="2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L2-native yield activity (Base, Arbitrum, Optimism)</w:t>
            </w:r>
          </w:p>
        </w:tc>
        <w:tc>
          <w:tcPr>
            <w:tcW w:w="4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Channel 1: MAVAN base staking uncompetitive. Channel 2: L2 sequencers capture fees; ETH L1 burn is only the settlement batch — much smaller than direct L1 activity.</w:t>
            </w:r>
          </w:p>
        </w:tc>
        <w:tc>
          <w:tcPr>
            <w:tcW w:w="22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High by 2028 — L2 TVL growing faster than L1</w:t>
            </w:r>
          </w:p>
        </w:tc>
      </w:tr>
      <w:tr>
        <w:trPr/>
        <w:tc>
          <w:tcPr>
            <w:tcW w:w="2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Tokenised T-bill protocols (4%+ risk-free on-chain)</w:t>
            </w:r>
          </w:p>
        </w:tc>
        <w:tc>
          <w:tcPr>
            <w:tcW w:w="4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Channel 1: MAVAN yield uncompetitive vs risk-free. Channel 2: T-bill tokens are held, not traded — minimal ETH gas.</w:t>
            </w:r>
          </w:p>
        </w:tc>
        <w:tc>
          <w:tcPr>
            <w:tcW w:w="22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Moderate — already growing; scales with GENIUS Act adoption</w:t>
            </w:r>
          </w:p>
        </w:tc>
      </w:tr>
      <w:tr>
        <w:trPr/>
        <w:tc>
          <w:tcPr>
            <w:tcW w:w="2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Protocol exploit / credit event (Aave black swan)</w:t>
            </w:r>
          </w:p>
        </w:tc>
        <w:tc>
          <w:tcPr>
            <w:tcW w:w="4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Channel 1: MAVAN yield irrelevant during panic. Channel 2: brief gas spike from liquidations, then total DeFi activity freezes. Both channels negative after the initial burst.</w:t>
            </w:r>
          </w:p>
        </w:tc>
        <w:tc>
          <w:tcPr>
            <w:tcW w:w="22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Low probability but highest severity — 30–50% BMNR equity loss in days</w:t>
            </w:r>
          </w:p>
        </w:tc>
      </w:tr>
    </w:tbl>
    <w:p>
      <w:pPr>
        <w:pStyle w:val="Normal"/>
        <w:spacing w:before="40" w:after="40"/>
        <w:rPr/>
      </w:pPr>
      <w:r>
        <w:rPr/>
      </w:r>
    </w:p>
    <w:p>
      <w:pPr>
        <w:pStyle w:val="Normal"/>
        <w:spacing w:before="60" w:after="80"/>
        <w:rPr/>
      </w:pPr>
      <w:r>
        <w:rPr>
          <w:rFonts w:eastAsia="Arial" w:cs="Arial"/>
          <w:sz w:val="20"/>
          <w:szCs w:val="20"/>
        </w:rPr>
        <w:t>The L2-native activity condition is the most structurally important of the four. By 2028–2030, as Solana, Bitcoin L2s, and L2-native protocols represent larger fractions of total on-chain leverage, the document's implicit assumption that 'high stablecoin yield = high ETH L1 gas burn' becomes increasingly fragile. This is directly linked to the L1 irrelevance risk in Section 10 (Risk 14).</w:t>
      </w:r>
    </w:p>
    <w:p>
      <w:pPr>
        <w:pStyle w:val="Normal"/>
        <w:spacing w:before="40" w:after="40"/>
        <w:rPr/>
      </w:pPr>
      <w:r>
        <w:rPr/>
      </w:r>
    </w:p>
    <w:p>
      <w:pPr>
        <w:pStyle w:val="Heading2"/>
        <w:spacing w:before="280" w:after="80"/>
        <w:rPr/>
      </w:pPr>
      <w:r>
        <w:rPr>
          <w:rFonts w:eastAsia="Arial" w:cs="Arial" w:ascii="Arial" w:hAnsi="Arial"/>
          <w:b/>
          <w:bCs/>
          <w:color w:val="2E75B6"/>
          <w:sz w:val="28"/>
          <w:szCs w:val="28"/>
        </w:rPr>
        <w:t>11.4  The CLARITY Act Stablecoin Yield Ban — Full Causal Chain</w:t>
      </w:r>
    </w:p>
    <w:p>
      <w:pPr>
        <w:pStyle w:val="Normal"/>
        <w:spacing w:before="60" w:after="80"/>
        <w:rPr/>
      </w:pPr>
      <w:r>
        <w:rPr>
          <w:rFonts w:eastAsia="Arial" w:cs="Arial"/>
          <w:sz w:val="20"/>
          <w:szCs w:val="20"/>
        </w:rPr>
        <w:t>The Senate Banking Committee's March 2026 CLARITY Act draft prohibits balance-based stablecoin yield while preserving activity-linked rewards. Extended thinking analysis reveals the full causal chain is substantially more complex than the direct first-order effect. Six distinct mechanisms operate simultaneously, some amplifying and some partially offsetting the net positive mNAV conclusion.</w:t>
      </w:r>
    </w:p>
    <w:p>
      <w:pPr>
        <w:pStyle w:val="Normal"/>
        <w:spacing w:before="40" w:after="40"/>
        <w:rPr/>
      </w:pPr>
      <w:r>
        <w:rPr/>
      </w:r>
    </w:p>
    <w:p>
      <w:pPr>
        <w:pStyle w:val="Heading2"/>
        <w:spacing w:before="280" w:after="80"/>
        <w:rPr/>
      </w:pPr>
      <w:r>
        <w:rPr>
          <w:rFonts w:eastAsia="Arial" w:cs="Arial" w:ascii="Arial" w:hAnsi="Arial"/>
          <w:b/>
          <w:bCs/>
          <w:color w:val="2E75B6"/>
          <w:sz w:val="28"/>
          <w:szCs w:val="28"/>
        </w:rPr>
        <w:t>11.4a  Regulatory Interpretation: The Critical Ambiguity</w:t>
      </w:r>
    </w:p>
    <w:p>
      <w:pPr>
        <w:pStyle w:val="Normal"/>
        <w:spacing w:before="60" w:after="80"/>
        <w:rPr/>
      </w:pPr>
      <w:r>
        <w:rPr>
          <w:rFonts w:eastAsia="Arial" w:cs="Arial"/>
          <w:sz w:val="20"/>
          <w:szCs w:val="20"/>
        </w:rPr>
        <w:t>The ban's entire causal chain depends on one legally contested question: whether Aave-type lending protocol yields — paid by borrowers, not platforms — qualify as 'balance-based yield economically equivalent to bank interest.' The market's differential reaction provides a signal: Coinbase fell 10%, Circle fell 20%, but Aave's token showed no significant decline — suggesting market consensus prices the narrow interpretation (lending protocols exempt). This document treats the narrow interpretation as base case and the broad interpretation as bull case for MAVAN yield premium durability.</w:t>
      </w:r>
    </w:p>
    <w:p>
      <w:pPr>
        <w:pStyle w:val="Normal"/>
        <w:spacing w:before="40" w:after="40"/>
        <w:rPr/>
      </w:pPr>
      <w:r>
        <w:rPr/>
      </w:r>
    </w:p>
    <w:tbl>
      <w:tblPr>
        <w:tblW w:w="8460" w:type="dxa"/>
        <w:jc w:val="left"/>
        <w:tblInd w:w="0" w:type="dxa"/>
        <w:tblLayout w:type="fixed"/>
        <w:tblCellMar>
          <w:top w:w="80" w:type="dxa"/>
          <w:left w:w="100" w:type="dxa"/>
          <w:bottom w:w="80" w:type="dxa"/>
          <w:right w:w="100" w:type="dxa"/>
        </w:tblCellMar>
      </w:tblPr>
      <w:tblGrid>
        <w:gridCol w:w="900"/>
        <w:gridCol w:w="2099"/>
        <w:gridCol w:w="2000"/>
        <w:gridCol w:w="1461"/>
        <w:gridCol w:w="2000"/>
      </w:tblGrid>
      <w:tr>
        <w:trPr>
          <w:tblHeader w:val="true"/>
        </w:trPr>
        <w:tc>
          <w:tcPr>
            <w:tcW w:w="9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Interpretation</w:t>
            </w:r>
          </w:p>
        </w:tc>
        <w:tc>
          <w:tcPr>
            <w:tcW w:w="20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What is banned</w:t>
            </w:r>
          </w:p>
        </w:tc>
        <w:tc>
          <w:tcPr>
            <w:tcW w:w="2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What survives</w:t>
            </w:r>
          </w:p>
        </w:tc>
        <w:tc>
          <w:tcPr>
            <w:tcW w:w="146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Stablecoin yield ceiling 2028</w:t>
            </w:r>
          </w:p>
        </w:tc>
        <w:tc>
          <w:tcPr>
            <w:tcW w:w="2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MAVAN premium durability</w:t>
            </w:r>
          </w:p>
        </w:tc>
      </w:tr>
      <w:tr>
        <w:trPr/>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Narrow (base case)</w:t>
            </w:r>
          </w:p>
        </w:tc>
        <w:tc>
          <w:tcPr>
            <w:tcW w:w="20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Platform-paid balance yield only: Coinbase Earn, Circle yield programs, exchange-based stablecoin rewards</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Aave/Compound lending yields (paid by borrowers); AMM liquidity fees; T-bill tokens. DeFi lending market fully operational.</w:t>
            </w:r>
          </w:p>
        </w:tc>
        <w:tc>
          <w:tcPr>
            <w:tcW w:w="14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7–11% still achievable — DeFi borrowing demand drives peak yields. Channel 1 risk persists at cycle peaks.</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Robust through 2027; 2028 peak window remains dangerous. Sweet spot is cycle-dependent, not permanent.</w:t>
            </w:r>
          </w:p>
        </w:tc>
      </w:tr>
      <w:tr>
        <w:trPr/>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Broad (bull case for MAVAN)</w:t>
            </w:r>
          </w:p>
        </w:tc>
        <w:tc>
          <w:tcPr>
            <w:tcW w:w="20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Platform yield + lending protocol deposits ('economically equivalent to bank interest')</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Activity-linked rewards; T-bill tokens (classified as securities, not stablecoins); AMM fees for active liquidity</w:t>
            </w:r>
          </w:p>
        </w:tc>
        <w:tc>
          <w:tcPr>
            <w:tcW w:w="14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 structurally capped — reduced Aave supply constrains lending yields even at peak borrowing demand</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Channel 1 risk permanently reduced. Sweet spot becomes regulatory norm. 2028 danger window eliminated.</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11.4b  AI Agent Exemption and Gas Burn Composition Effects</w:t>
      </w:r>
    </w:p>
    <w:p>
      <w:pPr>
        <w:pStyle w:val="Normal"/>
        <w:spacing w:before="60" w:after="80"/>
        <w:rPr/>
      </w:pPr>
      <w:r>
        <w:rPr>
          <w:rFonts w:eastAsia="Arial" w:cs="Arial"/>
          <w:sz w:val="20"/>
          <w:szCs w:val="20"/>
        </w:rPr>
        <w:t>AI agents using USDC as working capital via x402 are categorically exempt under the activity-linked carve-out — agents transact, they do not hold for yield. This creates a regulatory asymmetry with significant structural implications for ETH gas burn timing:</w:t>
      </w:r>
    </w:p>
    <w:p>
      <w:pPr>
        <w:pStyle w:val="Normal"/>
        <w:spacing w:before="40" w:after="40"/>
        <w:rPr/>
      </w:pPr>
      <w:r>
        <w:rPr/>
      </w:r>
    </w:p>
    <w:tbl>
      <w:tblPr>
        <w:tblW w:w="7360" w:type="dxa"/>
        <w:jc w:val="left"/>
        <w:tblInd w:w="0" w:type="dxa"/>
        <w:tblLayout w:type="fixed"/>
        <w:tblCellMar>
          <w:top w:w="80" w:type="dxa"/>
          <w:left w:w="100" w:type="dxa"/>
          <w:bottom w:w="80" w:type="dxa"/>
          <w:right w:w="100" w:type="dxa"/>
        </w:tblCellMar>
      </w:tblPr>
      <w:tblGrid>
        <w:gridCol w:w="1399"/>
        <w:gridCol w:w="1101"/>
        <w:gridCol w:w="1899"/>
        <w:gridCol w:w="1801"/>
        <w:gridCol w:w="1160"/>
      </w:tblGrid>
      <w:tr>
        <w:trPr>
          <w:tblHeader w:val="true"/>
        </w:trPr>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User population</w:t>
            </w:r>
          </w:p>
        </w:tc>
        <w:tc>
          <w:tcPr>
            <w:tcW w:w="11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Yield ban effect</w:t>
            </w:r>
          </w:p>
        </w:tc>
        <w:tc>
          <w:tcPr>
            <w:tcW w:w="18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On-chain behaviour change</w:t>
            </w:r>
          </w:p>
        </w:tc>
        <w:tc>
          <w:tcPr>
            <w:tcW w:w="18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Gas burn implication</w:t>
            </w:r>
          </w:p>
        </w:tc>
        <w:tc>
          <w:tcPr>
            <w:tcW w:w="11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Time horizon</w:t>
            </w:r>
          </w:p>
        </w:tc>
      </w:tr>
      <w:tr>
        <w:trPr/>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Human retail yield-seekers</w:t>
            </w:r>
          </w:p>
        </w:tc>
        <w:tc>
          <w:tcPr>
            <w:tcW w:w="11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Direct hit — balance-based USDC yield eliminated</w:t>
            </w:r>
          </w:p>
        </w:tc>
        <w:tc>
          <w:tcPr>
            <w:tcW w:w="1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Exit Aave/Compound deposits; reduce on-chain stablecoin positions</w:t>
            </w:r>
          </w:p>
        </w:tc>
        <w:tc>
          <w:tcPr>
            <w:tcW w:w="1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Falls — fewer lending protocol interactions</w:t>
            </w:r>
          </w:p>
        </w:tc>
        <w:tc>
          <w:tcPr>
            <w:tcW w:w="11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Near-term: 2026–2027</w:t>
            </w:r>
          </w:p>
        </w:tc>
      </w:tr>
      <w:tr>
        <w:trPr/>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Human institutional DeFi</w:t>
            </w:r>
          </w:p>
        </w:tc>
        <w:tc>
          <w:tcPr>
            <w:tcW w:w="11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Partial hit under narrow interpretation</w:t>
            </w:r>
          </w:p>
        </w:tc>
        <w:tc>
          <w:tcPr>
            <w:tcW w:w="1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Shift to T-bill tokens, money market funds, or TradFi</w:t>
            </w:r>
          </w:p>
        </w:tc>
        <w:tc>
          <w:tcPr>
            <w:tcW w:w="18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Falls for on-chain activity; T-bill tokens still on Ethereum L2</w:t>
            </w:r>
          </w:p>
        </w:tc>
        <w:tc>
          <w:tcPr>
            <w:tcW w:w="11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Near-term: 2026–2027</w:t>
            </w:r>
          </w:p>
        </w:tc>
      </w:tr>
      <w:tr>
        <w:trPr/>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AI agents (transactional)</w:t>
            </w:r>
          </w:p>
        </w:tc>
        <w:tc>
          <w:tcPr>
            <w:tcW w:w="11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Not affected — activity-linked carve-out</w:t>
            </w:r>
          </w:p>
        </w:tc>
        <w:tc>
          <w:tcPr>
            <w:tcW w:w="1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Behavior unchanged for transactional use</w:t>
            </w:r>
          </w:p>
        </w:tc>
        <w:tc>
          <w:tcPr>
            <w:tcW w:w="1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Neutral — agent gas demand unaffected</w:t>
            </w:r>
          </w:p>
        </w:tc>
        <w:tc>
          <w:tcPr>
            <w:tcW w:w="11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All years</w:t>
            </w:r>
          </w:p>
        </w:tc>
      </w:tr>
      <w:tr>
        <w:trPr/>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AI agents (reserve management)</w:t>
            </w:r>
          </w:p>
        </w:tc>
        <w:tc>
          <w:tcPr>
            <w:tcW w:w="11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Partially affected — balance reserves hit</w:t>
            </w:r>
          </w:p>
        </w:tc>
        <w:tc>
          <w:tcPr>
            <w:tcW w:w="1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Shift toward liquid staking tokens (stETH, rETH) as reserve</w:t>
            </w:r>
          </w:p>
        </w:tc>
        <w:tc>
          <w:tcPr>
            <w:tcW w:w="18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Neutral-to-positive — LST reserve demand = structural new staking bid</w:t>
            </w:r>
          </w:p>
        </w:tc>
        <w:tc>
          <w:tcPr>
            <w:tcW w:w="11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From 2027 as agent economy scales</w:t>
            </w:r>
          </w:p>
        </w:tc>
      </w:tr>
      <w:tr>
        <w:trPr/>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DeFi protocol treasuries</w:t>
            </w:r>
          </w:p>
        </w:tc>
        <w:tc>
          <w:tcPr>
            <w:tcW w:w="11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Affected if holding USDC for yield</w:t>
            </w:r>
          </w:p>
        </w:tc>
        <w:tc>
          <w:tcPr>
            <w:tcW w:w="1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Shift to LSTs or T-bill tokens as reserve</w:t>
            </w:r>
          </w:p>
        </w:tc>
        <w:tc>
          <w:tcPr>
            <w:tcW w:w="1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Neutral — same transaction count, different assets</w:t>
            </w:r>
          </w:p>
        </w:tc>
        <w:tc>
          <w:tcPr>
            <w:tcW w:w="11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Near-term</w:t>
            </w:r>
          </w:p>
        </w:tc>
      </w:tr>
    </w:tbl>
    <w:p>
      <w:pPr>
        <w:pStyle w:val="Normal"/>
        <w:spacing w:before="40" w:after="40"/>
        <w:rPr/>
      </w:pPr>
      <w:r>
        <w:rPr/>
      </w:r>
    </w:p>
    <w:p>
      <w:pPr>
        <w:pStyle w:val="Normal"/>
        <w:spacing w:before="60" w:after="80"/>
        <w:rPr/>
      </w:pPr>
      <w:r>
        <w:rPr>
          <w:rFonts w:eastAsia="Arial" w:cs="Arial"/>
          <w:sz w:val="20"/>
          <w:szCs w:val="20"/>
        </w:rPr>
        <w:t>The agent LST reserve management shift deserves specific attention: if the agent economy develops the convention of holding reserve capital in stETH rather than USDC (rational given stETH earns yield and can be quickly converted via DEX), this creates a structural new demand for liquid staking that the document's Section 4 does not capture. The yield ban therefore indirectly accelerates ETH staking adoption through the agent economy's treasury management, independent of the direct mNAV Channel 1 effect.</w:t>
      </w:r>
    </w:p>
    <w:p>
      <w:pPr>
        <w:pStyle w:val="Normal"/>
        <w:spacing w:before="40" w:after="40"/>
        <w:rPr/>
      </w:pPr>
      <w:r>
        <w:rPr/>
      </w:r>
    </w:p>
    <w:p>
      <w:pPr>
        <w:pStyle w:val="Normal"/>
        <w:spacing w:before="60" w:after="80"/>
        <w:rPr/>
      </w:pPr>
      <w:r>
        <w:rPr>
          <w:rFonts w:eastAsia="Arial" w:cs="Arial"/>
          <w:sz w:val="20"/>
          <w:szCs w:val="20"/>
        </w:rPr>
        <w:t>Time-varying net Channel 2 effect: In 2026–2027, human DeFi's retreat from lending protocols reduces gas burn. In 2028–2030, the agent economy — which is exempt and growing — increasingly dominates gas burn. The yield ban accelerates the relative importance of agent gas demand to Channel 2 by depressing the human DeFi component. If agent adoption is slower than forecast, the Channel 2 headwind persists longer.</w:t>
      </w:r>
    </w:p>
    <w:p>
      <w:pPr>
        <w:pStyle w:val="Normal"/>
        <w:spacing w:before="40" w:after="40"/>
        <w:rPr/>
      </w:pPr>
      <w:r>
        <w:rPr/>
      </w:r>
    </w:p>
    <w:p>
      <w:pPr>
        <w:pStyle w:val="Heading2"/>
        <w:spacing w:before="280" w:after="80"/>
        <w:rPr/>
      </w:pPr>
      <w:r>
        <w:rPr>
          <w:rFonts w:eastAsia="Arial" w:cs="Arial" w:ascii="Arial" w:hAnsi="Arial"/>
          <w:b/>
          <w:bCs/>
          <w:color w:val="2E75B6"/>
          <w:sz w:val="28"/>
          <w:szCs w:val="28"/>
        </w:rPr>
        <w:t>11.4c  USDC vs. USDT: Chain Migration Risk</w:t>
      </w:r>
    </w:p>
    <w:p>
      <w:pPr>
        <w:pStyle w:val="Normal"/>
        <w:spacing w:before="60" w:after="80"/>
        <w:rPr/>
      </w:pPr>
      <w:r>
        <w:rPr>
          <w:rFonts w:eastAsia="Arial" w:cs="Arial"/>
          <w:sz w:val="20"/>
          <w:szCs w:val="20"/>
        </w:rPr>
        <w:t>The yield ban eliminates USDC's primary competitive advantage over USDT — yield — without changing USDT's product offering. The critical chain-level implication for Ethereum: USDT is predominantly on Tron (~40–45% of USDT activity), not Ethereum. Capital migrating from USDC-on-Ethereum to USDT-on-Tron generates zero Ethereum gas. This is a silent Channel 2 headwind not visible in raw stablecoin market share data.</w:t>
      </w:r>
    </w:p>
    <w:p>
      <w:pPr>
        <w:pStyle w:val="Normal"/>
        <w:spacing w:before="40" w:after="40"/>
        <w:rPr/>
      </w:pPr>
      <w:r>
        <w:rPr/>
      </w:r>
    </w:p>
    <w:p>
      <w:pPr>
        <w:pStyle w:val="ListParagraph"/>
        <w:numPr>
          <w:ilvl w:val="0"/>
          <w:numId w:val="1"/>
        </w:numPr>
        <w:spacing w:before="40" w:after="40"/>
        <w:rPr/>
      </w:pPr>
      <w:r>
        <w:rPr>
          <w:rFonts w:eastAsia="Arial" w:cs="Arial"/>
          <w:sz w:val="20"/>
          <w:szCs w:val="20"/>
        </w:rPr>
        <w:t>Institutional segment: Cannot migrate to USDT regardless of yield differential — US-regulated entities (banks, pension funds, broker-dealers) require a US-regulated stablecoin. USDC's Ethereum presence in the institutional segment is stable despite the ban.</w:t>
      </w:r>
    </w:p>
    <w:p>
      <w:pPr>
        <w:pStyle w:val="ListParagraph"/>
        <w:numPr>
          <w:ilvl w:val="0"/>
          <w:numId w:val="1"/>
        </w:numPr>
        <w:spacing w:before="40" w:after="40"/>
        <w:rPr/>
      </w:pPr>
      <w:r>
        <w:rPr>
          <w:rFonts w:eastAsia="Arial" w:cs="Arial"/>
          <w:sz w:val="20"/>
          <w:szCs w:val="20"/>
        </w:rPr>
        <w:t>Retail and non-US DeFi segment: Marginal yield-seeking capital will migrate toward USDT. For this segment, USDC's regulatory reputation was only valuable when paired with yield. Without yield, USDT's looser regulatory structure carries less cost.</w:t>
      </w:r>
    </w:p>
    <w:p>
      <w:pPr>
        <w:pStyle w:val="ListParagraph"/>
        <w:numPr>
          <w:ilvl w:val="0"/>
          <w:numId w:val="1"/>
        </w:numPr>
        <w:spacing w:before="40" w:after="40"/>
        <w:rPr/>
      </w:pPr>
      <w:r>
        <w:rPr>
          <w:rFonts w:eastAsia="Arial" w:cs="Arial"/>
          <w:sz w:val="20"/>
          <w:szCs w:val="20"/>
        </w:rPr>
        <w:t>L2 USDC activity: Even if Ethereum mainnet USDC falls, Base/Arbitrum/Optimism USDC activity remains stable for transactional use cases. L2 USDC generates ETH L1 burn through settlement batches — but at approximately 10–20x lower rate per transaction than direct L1 activity.</w:t>
      </w:r>
    </w:p>
    <w:p>
      <w:pPr>
        <w:pStyle w:val="ListParagraph"/>
        <w:numPr>
          <w:ilvl w:val="0"/>
          <w:numId w:val="1"/>
        </w:numPr>
        <w:spacing w:before="40" w:after="40"/>
        <w:rPr/>
      </w:pPr>
      <w:r>
        <w:rPr>
          <w:rFonts w:eastAsia="Arial" w:cs="Arial"/>
          <w:sz w:val="20"/>
          <w:szCs w:val="20"/>
        </w:rPr>
        <w:t>Net Ethereum effect: Modest negative for gas burn over 2–3 year horizon as marginal USDC volume partially migrates to USDT/Tron. Not catastrophic — institutional and transactional USDC is stable — but the headline 'stablecoin activity on Ethereum is growing' statistic overstates the ETH gas burn contribution when USDT chain shift is accounted for.</w:t>
      </w:r>
    </w:p>
    <w:p>
      <w:pPr>
        <w:pStyle w:val="Normal"/>
        <w:spacing w:before="40" w:after="40"/>
        <w:rPr/>
      </w:pPr>
      <w:r>
        <w:rPr/>
      </w:r>
    </w:p>
    <w:p>
      <w:pPr>
        <w:pStyle w:val="Heading2"/>
        <w:spacing w:before="280" w:after="80"/>
        <w:rPr/>
      </w:pPr>
      <w:r>
        <w:rPr>
          <w:rFonts w:eastAsia="Arial" w:cs="Arial" w:ascii="Arial" w:hAnsi="Arial"/>
          <w:b/>
          <w:bCs/>
          <w:color w:val="2E75B6"/>
          <w:sz w:val="28"/>
          <w:szCs w:val="28"/>
        </w:rPr>
        <w:t>11.4d  Capital Migration Paths and mNAV Expansion Conditionality</w:t>
      </w:r>
    </w:p>
    <w:p>
      <w:pPr>
        <w:pStyle w:val="Normal"/>
        <w:spacing w:before="60" w:after="80"/>
        <w:rPr/>
      </w:pPr>
      <w:r>
        <w:rPr>
          <w:rFonts w:eastAsia="Arial" w:cs="Arial"/>
          <w:sz w:val="20"/>
          <w:szCs w:val="20"/>
        </w:rPr>
        <w:t>Approximately $38–52B in USDC yield capital is directly affected by the ban. Where this capital goes determines whether the net positive mNAV conclusion holds:</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1100"/>
        <w:gridCol w:w="1499"/>
        <w:gridCol w:w="1500"/>
        <w:gridCol w:w="901"/>
        <w:gridCol w:w="3360"/>
      </w:tblGrid>
      <w:tr>
        <w:trPr>
          <w:tblHeader w:val="true"/>
        </w:trPr>
        <w:tc>
          <w:tcPr>
            <w:tcW w:w="11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Migration path</w:t>
            </w:r>
          </w:p>
        </w:tc>
        <w:tc>
          <w:tcPr>
            <w:tcW w:w="14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Capital pool affected</w:t>
            </w:r>
          </w:p>
        </w:tc>
        <w:tc>
          <w:tcPr>
            <w:tcW w:w="15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MAVAN revenue effect</w:t>
            </w:r>
          </w:p>
        </w:tc>
        <w:tc>
          <w:tcPr>
            <w:tcW w:w="9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Probability of this path</w:t>
            </w:r>
          </w:p>
        </w:tc>
        <w:tc>
          <w:tcPr>
            <w:tcW w:w="33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Conditions for dominance</w:t>
            </w:r>
          </w:p>
        </w:tc>
      </w:tr>
      <w:tr>
        <w:trPr/>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Path A: T-bill tokens (BUIDL, OUSG, FOBXX)</w:t>
            </w:r>
          </w:p>
        </w:tc>
        <w:tc>
          <w:tcPr>
            <w:tcW w:w="14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Institutional / compliance-sensitive: ~40–50% of affected capital</w:t>
            </w:r>
          </w:p>
        </w:tc>
        <w:tc>
          <w:tcPr>
            <w:tcW w:w="15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Zero direct MAVAN benefit. Capital stays on Ethereum rails (gas burn preserved) but does not enter staking.</w:t>
            </w:r>
          </w:p>
        </w:tc>
        <w:tc>
          <w:tcPr>
            <w:tcW w:w="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High for institutional segment</w:t>
            </w:r>
          </w:p>
        </w:tc>
        <w:tc>
          <w:tcPr>
            <w:tcW w:w="33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Yields ~4.5% → 3% post-rate-cuts. Natural substitute for institutional USDC yield. Regulatory profile identical. No ETH price exposure.</w:t>
            </w:r>
          </w:p>
        </w:tc>
      </w:tr>
      <w:tr>
        <w:trPr/>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Path B: Offshore/USDT alternatives</w:t>
            </w:r>
          </w:p>
        </w:tc>
        <w:tc>
          <w:tcPr>
            <w:tcW w:w="14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Non-US, retail, DeFi-native: ~20–30% of affected capital</w:t>
            </w:r>
          </w:p>
        </w:tc>
        <w:tc>
          <w:tcPr>
            <w:tcW w:w="15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Zero MAVAN benefit. Capital leaves Ethereum ecosystem.</w:t>
            </w:r>
          </w:p>
        </w:tc>
        <w:tc>
          <w:tcPr>
            <w:tcW w:w="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Medium for retail non-US segment</w:t>
            </w:r>
          </w:p>
        </w:tc>
        <w:tc>
          <w:tcPr>
            <w:tcW w:w="33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Users indifferent to US regulatory profile; yield-motivated; access to offshore platforms.</w:t>
            </w:r>
          </w:p>
        </w:tc>
      </w:tr>
      <w:tr>
        <w:trPr/>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Path C: Staked ETH / LSTs (stETH, cbETH, MAVAN)</w:t>
            </w:r>
          </w:p>
        </w:tc>
        <w:tc>
          <w:tcPr>
            <w:tcW w:w="14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Yield-seeking with ETH tolerance: ~20–30% of affected capital</w:t>
            </w:r>
          </w:p>
        </w:tc>
        <w:tc>
          <w:tcPr>
            <w:tcW w:w="15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Positive: ~$230–780M additional MAVAN AUM at 3–5% MAVAN capture rate. Incremental annual revenue ~$6–55M at current rates — meaningful but not transformative.</w:t>
            </w:r>
          </w:p>
        </w:tc>
        <w:tc>
          <w:tcPr>
            <w:tcW w:w="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Medium for crypto-native yield seekers</w:t>
            </w:r>
          </w:p>
        </w:tc>
        <w:tc>
          <w:tcPr>
            <w:tcW w:w="33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price exposure tolerance; restaking yields MAVAN at 6–8% competitive with pre-ban USDC yields; regulatory clarity on staking.</w:t>
            </w:r>
          </w:p>
        </w:tc>
      </w:tr>
      <w:tr>
        <w:trPr/>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Path D: Solana staking / non-ETH alternatives</w:t>
            </w:r>
          </w:p>
        </w:tc>
        <w:tc>
          <w:tcPr>
            <w:tcW w:w="14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Cross-chain yield-seekers: ~5–10% of affected capital</w:t>
            </w:r>
          </w:p>
        </w:tc>
        <w:tc>
          <w:tcPr>
            <w:tcW w:w="15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Zero MAVAN benefit. Capital leaves Ethereum.</w:t>
            </w:r>
          </w:p>
        </w:tc>
        <w:tc>
          <w:tcPr>
            <w:tcW w:w="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Low-medium for retail crypto-native</w:t>
            </w:r>
          </w:p>
        </w:tc>
        <w:tc>
          <w:tcPr>
            <w:tcW w:w="33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underperforms Solana; no ETH-specific mandate; Solana institutional custody matures.</w:t>
            </w:r>
          </w:p>
        </w:tc>
      </w:tr>
    </w:tbl>
    <w:p>
      <w:pPr>
        <w:pStyle w:val="Normal"/>
        <w:spacing w:before="40" w:after="40"/>
        <w:rPr/>
      </w:pPr>
      <w:r>
        <w:rPr/>
      </w:r>
    </w:p>
    <w:p>
      <w:pPr>
        <w:pStyle w:val="Normal"/>
        <w:spacing w:before="60" w:after="80"/>
        <w:rPr/>
      </w:pPr>
      <w:r>
        <w:rPr>
          <w:rFonts w:eastAsia="Arial" w:cs="Arial"/>
          <w:sz w:val="20"/>
          <w:szCs w:val="20"/>
        </w:rPr>
        <w:t>The net positive mNAV conclusion is correct in direction but requires qualification: 'eliminates Channel 1 competition' overstates it. The majority of displaced USDC yield capital migrates to T-bill tokens or offshore alternatives, not to staked ETH. The more precise characterisation: 'structurally reduces Channel 1 competition while redirecting a minority of displaced yield capital toward staked ETH, with the magnitude conditional on regulatory interpretation and the pace of agent economy adoption.'</w:t>
      </w:r>
    </w:p>
    <w:p>
      <w:pPr>
        <w:pStyle w:val="Normal"/>
        <w:spacing w:before="40" w:after="40"/>
        <w:rPr/>
      </w:pPr>
      <w:r>
        <w:rPr/>
      </w:r>
    </w:p>
    <w:p>
      <w:pPr>
        <w:pStyle w:val="Heading2"/>
        <w:spacing w:before="280" w:after="80"/>
        <w:rPr/>
      </w:pPr>
      <w:r>
        <w:rPr>
          <w:rFonts w:eastAsia="Arial" w:cs="Arial" w:ascii="Arial" w:hAnsi="Arial"/>
          <w:b/>
          <w:bCs/>
          <w:color w:val="2E75B6"/>
          <w:sz w:val="28"/>
          <w:szCs w:val="28"/>
        </w:rPr>
        <w:t>11.4e  Coinbase's Commercial Response: Market Expansion vs. Competition</w:t>
      </w:r>
    </w:p>
    <w:p>
      <w:pPr>
        <w:pStyle w:val="Normal"/>
        <w:spacing w:before="60" w:after="80"/>
        <w:rPr/>
      </w:pPr>
      <w:r>
        <w:rPr>
          <w:rFonts w:eastAsia="Arial" w:cs="Arial"/>
          <w:sz w:val="20"/>
          <w:szCs w:val="20"/>
        </w:rPr>
        <w:t>Coinbase's $1.35B USDC yield revenue loss creates a direct commercial incentive to pivot toward ETH staking (cbETH) as the replacement yield product for its 100M+ user base. This response creates a simultaneous market expansion and competitive intensification for MAVAN — but the two effects hit different market segments:</w:t>
      </w:r>
    </w:p>
    <w:p>
      <w:pPr>
        <w:pStyle w:val="Normal"/>
        <w:spacing w:before="40" w:after="40"/>
        <w:rPr/>
      </w:pPr>
      <w:r>
        <w:rPr/>
      </w:r>
    </w:p>
    <w:p>
      <w:pPr>
        <w:pStyle w:val="ListParagraph"/>
        <w:numPr>
          <w:ilvl w:val="0"/>
          <w:numId w:val="1"/>
        </w:numPr>
        <w:spacing w:before="40" w:after="40"/>
        <w:rPr/>
      </w:pPr>
      <w:r>
        <w:rPr>
          <w:rFonts w:eastAsia="Arial" w:cs="Arial"/>
          <w:sz w:val="20"/>
          <w:szCs w:val="20"/>
        </w:rPr>
        <w:t>Market expansion effect (positive for MAVAN): Coinbase routing retail and mid-market capital toward ETH staking expands the total institutional ETH staking market by potentially $15–30B. More institutional ETH staking demand = more potential MAVAN-as-a-Service clients = larger total revenue pool for all institutional staking operators.</w:t>
      </w:r>
    </w:p>
    <w:p>
      <w:pPr>
        <w:pStyle w:val="ListParagraph"/>
        <w:numPr>
          <w:ilvl w:val="0"/>
          <w:numId w:val="1"/>
        </w:numPr>
        <w:spacing w:before="40" w:after="40"/>
        <w:rPr/>
      </w:pPr>
      <w:r>
        <w:rPr>
          <w:rFonts w:eastAsia="Arial" w:cs="Arial"/>
          <w:sz w:val="20"/>
          <w:szCs w:val="20"/>
        </w:rPr>
        <w:t>Competition intensification — retail segment (negative for MAVAN market share): Coinbase's distribution advantage (100M users, trusted brand, simple UX, SOC 2 compliance) is overwhelming in the retail and mid-market segments. MAVAN cannot compete here. Coinbase's ETH staking push effectively takes the retail staking market off the table for MAVAN.</w:t>
      </w:r>
    </w:p>
    <w:p>
      <w:pPr>
        <w:pStyle w:val="ListParagraph"/>
        <w:numPr>
          <w:ilvl w:val="0"/>
          <w:numId w:val="1"/>
        </w:numPr>
        <w:spacing w:before="40" w:after="40"/>
        <w:rPr/>
      </w:pPr>
      <w:r>
        <w:rPr>
          <w:rFonts w:eastAsia="Arial" w:cs="Arial"/>
          <w:sz w:val="20"/>
          <w:szCs w:val="20"/>
        </w:rPr>
        <w:t>MAVAN's defensible segment (institutional infrastructure): MAVAN's institutional-only positioning is not a weakness against Coinbase's push — it is a moat in exactly the segment Coinbase's exchange custody model cannot reach. Post-FTX, institutions require custody separation, regulatory independence, and white-label validator services that exchange-custody products cannot provide. Coinbase's entry into retail ETH staking cedes the institutional infrastructure market to specialist providers including MAVAN.</w:t>
      </w:r>
    </w:p>
    <w:p>
      <w:pPr>
        <w:pStyle w:val="ListParagraph"/>
        <w:numPr>
          <w:ilvl w:val="0"/>
          <w:numId w:val="1"/>
        </w:numPr>
        <w:spacing w:before="40" w:after="40"/>
        <w:rPr/>
      </w:pPr>
      <w:r>
        <w:rPr>
          <w:rFonts w:eastAsia="Arial" w:cs="Arial"/>
          <w:sz w:val="20"/>
          <w:szCs w:val="20"/>
        </w:rPr>
        <w:t>Critical interaction with Q3 (capital migration paths): Coinbase's ETH staking pivot is the mechanism that routes displaced USDC yield capital toward Path C (staked ETH) rather than Path B (offshore) or Path D (Solana). Coinbase's 100M users are the distribution channel through which the mNAV expansion thesis materialises. MAVAN benefits from Coinbase's market expansion even while losing retail share — because Coinbase keeps the capital on Ethereum rails.</w:t>
      </w:r>
    </w:p>
    <w:p>
      <w:pPr>
        <w:pStyle w:val="Normal"/>
        <w:spacing w:before="40" w:after="40"/>
        <w:rPr/>
      </w:pPr>
      <w:r>
        <w:rPr/>
      </w:r>
    </w:p>
    <w:p>
      <w:pPr>
        <w:pStyle w:val="Normal"/>
        <w:spacing w:before="60" w:after="60"/>
        <w:rPr/>
      </w:pPr>
      <w:r>
        <w:rPr>
          <w:rFonts w:eastAsia="Arial" w:cs="Arial"/>
          <w:i/>
          <w:iCs/>
          <w:color w:val="777777"/>
          <w:sz w:val="18"/>
          <w:szCs w:val="18"/>
        </w:rPr>
        <w:t>Status as of April 13, 2026: The March 23 yield text is the current Senate baseline, unrevised entering April markup. Coinbase and Stripe have formally objected. A revised compromise is expected but not yet circulated. Whether Coinbase's commercial response pivots toward T-bill token distribution (partnership with BlackRock/BUIDL) or ETH staking is the single most important behavioural variable for the mNAV expansion thesis — and it depends on which path Coinbase's board prioritises as the replacement revenue stream.</w:t>
      </w:r>
    </w:p>
    <w:p>
      <w:pPr>
        <w:pStyle w:val="Normal"/>
        <w:spacing w:before="40" w:after="40"/>
        <w:rPr/>
      </w:pPr>
      <w:r>
        <w:rPr/>
      </w:r>
    </w:p>
    <w:p>
      <w:pPr>
        <w:pStyle w:val="Heading2"/>
        <w:spacing w:before="280" w:after="80"/>
        <w:rPr/>
      </w:pPr>
      <w:r>
        <w:rPr>
          <w:rFonts w:eastAsia="Arial" w:cs="Arial" w:ascii="Arial" w:hAnsi="Arial"/>
          <w:b/>
          <w:bCs/>
          <w:color w:val="2E75B6"/>
          <w:sz w:val="28"/>
          <w:szCs w:val="28"/>
        </w:rPr>
        <w:t>11.5  Revised Stablecoin Yield Trajectory Under the Yield Ban</w:t>
      </w:r>
    </w:p>
    <w:p>
      <w:pPr>
        <w:pStyle w:val="Heading2"/>
        <w:spacing w:before="280" w:after="80"/>
        <w:rPr/>
      </w:pPr>
      <w:r>
        <w:rPr>
          <w:rFonts w:eastAsia="Arial" w:cs="Arial" w:ascii="Arial" w:hAnsi="Arial"/>
          <w:b/>
          <w:bCs/>
          <w:color w:val="2E75B6"/>
          <w:sz w:val="28"/>
          <w:szCs w:val="28"/>
        </w:rPr>
        <w:t>11.7  Restaking as Hedge — Revised Assessment</w:t>
      </w:r>
    </w:p>
    <w:p>
      <w:pPr>
        <w:pStyle w:val="Normal"/>
        <w:spacing w:before="60" w:after="80"/>
        <w:rPr/>
      </w:pPr>
      <w:r>
        <w:rPr>
          <w:rFonts w:eastAsia="Arial" w:cs="Arial"/>
          <w:sz w:val="20"/>
          <w:szCs w:val="20"/>
        </w:rPr>
        <w:t>Restaking provides a meaningful yield hedge through approximately 2027. The prior claim that restaking at 7%+ is a durable structural hedge requires revision: it assumes AVS demand grows in proportion to restaking TVL, which is not guaranteed. As EigenLayer TVL grows from the current $13B, yield compression is the expected outcome unless AVS demand accelerates proportionally.</w:t>
      </w:r>
    </w:p>
    <w:p>
      <w:pPr>
        <w:pStyle w:val="Normal"/>
        <w:spacing w:before="40" w:after="40"/>
        <w:rPr/>
      </w:pPr>
      <w:r>
        <w:rPr/>
      </w:r>
    </w:p>
    <w:tbl>
      <w:tblPr>
        <w:tblW w:w="8860" w:type="dxa"/>
        <w:jc w:val="left"/>
        <w:tblInd w:w="0" w:type="dxa"/>
        <w:tblLayout w:type="fixed"/>
        <w:tblCellMar>
          <w:top w:w="80" w:type="dxa"/>
          <w:left w:w="100" w:type="dxa"/>
          <w:bottom w:w="80" w:type="dxa"/>
          <w:right w:w="100" w:type="dxa"/>
        </w:tblCellMar>
      </w:tblPr>
      <w:tblGrid>
        <w:gridCol w:w="1499"/>
        <w:gridCol w:w="1400"/>
        <w:gridCol w:w="1500"/>
        <w:gridCol w:w="1461"/>
        <w:gridCol w:w="3000"/>
      </w:tblGrid>
      <w:tr>
        <w:trPr>
          <w:tblHeader w:val="true"/>
        </w:trPr>
        <w:tc>
          <w:tcPr>
            <w:tcW w:w="14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EigenLayer TVL</w:t>
            </w:r>
          </w:p>
        </w:tc>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AVS demand growth</w:t>
            </w:r>
          </w:p>
        </w:tc>
        <w:tc>
          <w:tcPr>
            <w:tcW w:w="15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Restaking yield component</w:t>
            </w:r>
          </w:p>
        </w:tc>
        <w:tc>
          <w:tcPr>
            <w:tcW w:w="146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Total MAVAN yield</w:t>
            </w:r>
          </w:p>
        </w:tc>
        <w:tc>
          <w:tcPr>
            <w:tcW w:w="3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Stablecoin yield where MAVAN loses premium</w:t>
            </w:r>
          </w:p>
        </w:tc>
      </w:tr>
      <w:tr>
        <w:trPr/>
        <w:tc>
          <w:tcPr>
            <w:tcW w:w="14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$13B (2026, current)</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Baseline</w:t>
            </w:r>
          </w:p>
        </w:tc>
        <w:tc>
          <w:tcPr>
            <w:tcW w:w="15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3–4%</w:t>
            </w:r>
          </w:p>
        </w:tc>
        <w:tc>
          <w:tcPr>
            <w:tcW w:w="14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6–8%</w:t>
            </w:r>
          </w:p>
        </w:tc>
        <w:tc>
          <w:tcPr>
            <w:tcW w:w="3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8–10%+ (only extreme DeFi peaks)</w:t>
            </w:r>
          </w:p>
        </w:tc>
      </w:tr>
      <w:tr>
        <w:trPr/>
        <w:tc>
          <w:tcPr>
            <w:tcW w:w="14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~$25B (2027)</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~+40%</w:t>
            </w:r>
          </w:p>
        </w:tc>
        <w:tc>
          <w:tcPr>
            <w:tcW w:w="15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2–3%</w:t>
            </w:r>
          </w:p>
        </w:tc>
        <w:tc>
          <w:tcPr>
            <w:tcW w:w="14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5–6.5%</w:t>
            </w:r>
          </w:p>
        </w:tc>
        <w:tc>
          <w:tcPr>
            <w:tcW w:w="3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6–7.5% (late bull market conditions)</w:t>
            </w:r>
          </w:p>
        </w:tc>
      </w:tr>
      <w:tr>
        <w:trPr/>
        <w:tc>
          <w:tcPr>
            <w:tcW w:w="14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~$50B (2028)</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~+60%</w:t>
            </w:r>
          </w:p>
        </w:tc>
        <w:tc>
          <w:tcPr>
            <w:tcW w:w="15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1.5–2.5%</w:t>
            </w:r>
          </w:p>
        </w:tc>
        <w:tc>
          <w:tcPr>
            <w:tcW w:w="14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4.3–5.8%</w:t>
            </w:r>
          </w:p>
        </w:tc>
        <w:tc>
          <w:tcPr>
            <w:tcW w:w="3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5–6% (increasingly common near cycle peak)</w:t>
            </w:r>
          </w:p>
        </w:tc>
      </w:tr>
      <w:tr>
        <w:trPr/>
        <w:tc>
          <w:tcPr>
            <w:tcW w:w="14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~$100B (2029)</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~+80%</w:t>
            </w:r>
          </w:p>
        </w:tc>
        <w:tc>
          <w:tcPr>
            <w:tcW w:w="15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w:t>
            </w:r>
          </w:p>
        </w:tc>
        <w:tc>
          <w:tcPr>
            <w:tcW w:w="14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4–5.3%</w:t>
            </w:r>
          </w:p>
        </w:tc>
        <w:tc>
          <w:tcPr>
            <w:tcW w:w="3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4.5–5.5% (standard post-halving leverage levels)</w:t>
            </w:r>
          </w:p>
        </w:tc>
      </w:tr>
    </w:tbl>
    <w:p>
      <w:pPr>
        <w:pStyle w:val="Normal"/>
        <w:spacing w:before="40" w:after="40"/>
        <w:rPr/>
      </w:pPr>
      <w:r>
        <w:rPr/>
      </w:r>
    </w:p>
    <w:p>
      <w:pPr>
        <w:pStyle w:val="Normal"/>
        <w:spacing w:before="60" w:after="80"/>
        <w:rPr/>
      </w:pPr>
      <w:r>
        <w:rPr>
          <w:rFonts w:eastAsia="Arial" w:cs="Arial"/>
          <w:sz w:val="20"/>
          <w:szCs w:val="20"/>
        </w:rPr>
        <w:t>Restaking provides a robust hedge in 2026. By 2028–2029, yield compression in the EigenLayer ecosystem narrows the hedge significantly — MAVAN's total yield may be 4–6%, competing against stablecoin yields of 9–14% at cycle peak. The document should not present restaking as a 'structural hedge' across the full forecast period; it is a near-term hedge that diminishes by 2028. The absolute USD yield at high ETH prices remains substantial even at compressed percentage yields — a different and valid reason for MAVAN's continued attractiveness to institutional stakers.</w:t>
      </w:r>
    </w:p>
    <w:p>
      <w:pPr>
        <w:pStyle w:val="Normal"/>
        <w:spacing w:before="40" w:after="40"/>
        <w:rPr/>
      </w:pPr>
      <w:r>
        <w:rPr/>
      </w:r>
    </w:p>
    <w:p>
      <w:pPr>
        <w:pStyle w:val="Heading2"/>
        <w:spacing w:before="280" w:after="80"/>
        <w:rPr/>
      </w:pPr>
      <w:r>
        <w:rPr>
          <w:rFonts w:eastAsia="Arial" w:cs="Arial" w:ascii="Arial" w:hAnsi="Arial"/>
          <w:b/>
          <w:bCs/>
          <w:color w:val="2E75B6"/>
          <w:sz w:val="28"/>
          <w:szCs w:val="28"/>
        </w:rPr>
        <w:t>11.8  Three Additional Interaction Channels</w:t>
      </w:r>
    </w:p>
    <w:p>
      <w:pPr>
        <w:pStyle w:val="ListParagraph"/>
        <w:numPr>
          <w:ilvl w:val="0"/>
          <w:numId w:val="1"/>
        </w:numPr>
        <w:spacing w:before="40" w:after="40"/>
        <w:rPr/>
      </w:pPr>
      <w:r>
        <w:rPr>
          <w:rFonts w:eastAsia="Arial" w:cs="Arial"/>
          <w:sz w:val="20"/>
          <w:szCs w:val="20"/>
        </w:rPr>
        <w:t>Channel 3 — Buyback opportunity cost: High stablecoin yields (8–12%) increase the opportunity cost of deploying capital into share repurchases rather than yield-bearing instruments. BMNR management might rationally pause buybacks and park capital in USDC at 8–10% during high-yield periods — slowing the primary mechanism for closing the 0.78x mNAV discount. This is a third-order negative operating independently of the mNAV compression and gas burn channels.</w:t>
      </w:r>
    </w:p>
    <w:p>
      <w:pPr>
        <w:pStyle w:val="ListParagraph"/>
        <w:numPr>
          <w:ilvl w:val="0"/>
          <w:numId w:val="1"/>
        </w:numPr>
        <w:spacing w:before="40" w:after="40"/>
        <w:rPr/>
      </w:pPr>
      <w:r>
        <w:rPr>
          <w:rFonts w:eastAsia="Arial" w:cs="Arial"/>
          <w:sz w:val="20"/>
          <w:szCs w:val="20"/>
        </w:rPr>
        <w:t>Channel 4 — Wartime SoV natural hedge: In genuine geopolitical stress events that cause stablecoin yield spikes through DeFi deleveraging, Group A (capital preservation) demand for ETH typically offsets Channel 1 damage. The wartime store-of-value narrative and stablecoin yield competition are naturally hedging: when stablecoin yield conditions are most damaging (crisis-driven spike), the ETH war narrative demand is strongest. This hedge FAILS in non-geopolitical high-yield environments driven by normal DeFi leverage cycles.</w:t>
      </w:r>
    </w:p>
    <w:p>
      <w:pPr>
        <w:pStyle w:val="ListParagraph"/>
        <w:numPr>
          <w:ilvl w:val="0"/>
          <w:numId w:val="1"/>
        </w:numPr>
        <w:spacing w:before="40" w:after="40"/>
        <w:rPr/>
      </w:pPr>
      <w:r>
        <w:rPr>
          <w:rFonts w:eastAsia="Arial" w:cs="Arial"/>
          <w:sz w:val="20"/>
          <w:szCs w:val="20"/>
        </w:rPr>
        <w:t>Channel 5 — Staking participation equilibrating effect: Rising stablecoin yields cause marginal validators to unstake ETH to redeploy capital into higher-yielding alternatives. This reduces staking competition for MAVAN — paradoxically, rising stablecoin yields may increase MAVAN's market share in the staking infrastructure market, partially offsetting the yield compression damage. MAVAN, as a committed long-term institutional staker, benefits if smaller validators exit during high-yield periods.</w:t>
      </w:r>
    </w:p>
    <w:p>
      <w:pPr>
        <w:pStyle w:val="Normal"/>
        <w:spacing w:before="40" w:after="40"/>
        <w:rPr/>
      </w:pPr>
      <w:r>
        <w:rPr/>
      </w:r>
    </w:p>
    <w:p>
      <w:pPr>
        <w:pStyle w:val="Heading2"/>
        <w:spacing w:before="280" w:after="80"/>
        <w:rPr/>
      </w:pPr>
      <w:r>
        <w:rPr>
          <w:rFonts w:eastAsia="Arial" w:cs="Arial" w:ascii="Arial" w:hAnsi="Arial"/>
          <w:b/>
          <w:bCs/>
          <w:color w:val="2E75B6"/>
          <w:sz w:val="28"/>
          <w:szCs w:val="28"/>
        </w:rPr>
        <w:t>11.9  Legacy Year-by-Year Outlook (Pre-Ban Baseline)</w:t>
      </w:r>
    </w:p>
    <w:p>
      <w:pPr>
        <w:pStyle w:val="Normal"/>
        <w:spacing w:before="60" w:after="80"/>
        <w:rPr/>
      </w:pPr>
      <w:r>
        <w:rPr>
          <w:rFonts w:eastAsia="Arial" w:cs="Arial"/>
          <w:sz w:val="20"/>
          <w:szCs w:val="20"/>
        </w:rPr>
        <w:t>Based on the April 2026 macro environment (Fed beginning to cut; ETH at $2,123; early post-bear recovery) and the document's cycle-phase framework:</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560"/>
        <w:gridCol w:w="919"/>
        <w:gridCol w:w="1380"/>
        <w:gridCol w:w="2000"/>
        <w:gridCol w:w="3501"/>
      </w:tblGrid>
      <w:tr>
        <w:trPr>
          <w:tblHeader w:val="true"/>
        </w:trPr>
        <w:tc>
          <w:tcPr>
            <w:tcW w:w="5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Year</w:t>
            </w:r>
          </w:p>
        </w:tc>
        <w:tc>
          <w:tcPr>
            <w:tcW w:w="91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Phase</w:t>
            </w:r>
          </w:p>
        </w:tc>
        <w:tc>
          <w:tcPr>
            <w:tcW w:w="138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Stablecoin yield estimate</w:t>
            </w:r>
          </w:p>
        </w:tc>
        <w:tc>
          <w:tcPr>
            <w:tcW w:w="2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MAVAN competitive position</w:t>
            </w:r>
          </w:p>
        </w:tc>
        <w:tc>
          <w:tcPr>
            <w:tcW w:w="35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mNAV implication vs. document tables</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2026</w:t>
            </w:r>
          </w:p>
        </w:tc>
        <w:tc>
          <w:tcPr>
            <w:tcW w:w="9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Recovery</w:t>
            </w:r>
          </w:p>
        </w:tc>
        <w:tc>
          <w:tcPr>
            <w:tcW w:w="13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4–7%</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Competitive with restaking (7%+)</w:t>
            </w:r>
          </w:p>
        </w:tc>
        <w:tc>
          <w:tcPr>
            <w:tcW w:w="35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Broadly consistent with document; 1.9–2.1x base plausible if CLARITY Act passes</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2027</w:t>
            </w:r>
          </w:p>
        </w:tc>
        <w:tc>
          <w:tcPr>
            <w:tcW w:w="9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Early bull</w:t>
            </w:r>
          </w:p>
        </w:tc>
        <w:tc>
          <w:tcPr>
            <w:tcW w:w="13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6–10%</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Marginal restaking premium (6.5–7.5% vs 6–10%)</w:t>
            </w:r>
          </w:p>
        </w:tc>
        <w:tc>
          <w:tcPr>
            <w:tcW w:w="35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2.3–2.5x base achievable but sensitive to how fast AVS restaking yields compress</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2028</w:t>
            </w:r>
          </w:p>
        </w:tc>
        <w:tc>
          <w:tcPr>
            <w:tcW w:w="9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Halving year</w:t>
            </w:r>
          </w:p>
        </w:tc>
        <w:tc>
          <w:tcPr>
            <w:tcW w:w="13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9–14%</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Restaking yield (5–6.5%) beaten by stablecoin yield</w:t>
            </w:r>
          </w:p>
        </w:tc>
        <w:tc>
          <w:tcPr>
            <w:tcW w:w="35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Revise down vs document: 1.7–2.4x vs document's 2.0–2.9x bear-to-bull range</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2029 H1</w:t>
            </w:r>
          </w:p>
        </w:tc>
        <w:tc>
          <w:tcPr>
            <w:tcW w:w="9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Bull peak</w:t>
            </w:r>
          </w:p>
        </w:tc>
        <w:tc>
          <w:tcPr>
            <w:tcW w:w="13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10–16%</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Percentage uncompetitive; absolute USD yield enormous at high ETH</w:t>
            </w:r>
          </w:p>
        </w:tc>
        <w:tc>
          <w:tcPr>
            <w:tcW w:w="35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H1: 2.5–3.0x driven by price momentum; H2: 1.3–1.7x as leverage unwinds. Severe intra-year volatility.</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2029 H2</w:t>
            </w:r>
          </w:p>
        </w:tc>
        <w:tc>
          <w:tcPr>
            <w:tcW w:w="9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Correction onset</w:t>
            </w:r>
          </w:p>
        </w:tc>
        <w:tc>
          <w:tcPr>
            <w:tcW w:w="13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Crashing to 3–6%</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Premium re-expands rapidly</w:t>
            </w:r>
          </w:p>
        </w:tc>
        <w:tc>
          <w:tcPr>
            <w:tcW w:w="35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Annual average consistent with document; intra-year swings extreme — not capturable in annual tables</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2030</w:t>
            </w:r>
          </w:p>
        </w:tc>
        <w:tc>
          <w:tcPr>
            <w:tcW w:w="9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Consolidation</w:t>
            </w:r>
          </w:p>
        </w:tc>
        <w:tc>
          <w:tcPr>
            <w:tcW w:w="13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Competitive but thinning (4.5–6% MAVAN vs 3–6% stablecoin)</w:t>
            </w:r>
          </w:p>
        </w:tc>
        <w:tc>
          <w:tcPr>
            <w:tcW w:w="35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2.0–2.8x vs document's 2.0–3.0x — slight downward pressure at the upper end</w:t>
            </w:r>
          </w:p>
        </w:tc>
      </w:tr>
    </w:tbl>
    <w:p>
      <w:pPr>
        <w:pStyle w:val="Normal"/>
        <w:spacing w:before="40" w:after="40"/>
        <w:rPr/>
      </w:pPr>
      <w:r>
        <w:rPr/>
      </w:r>
    </w:p>
    <w:p>
      <w:pPr>
        <w:pStyle w:val="Normal"/>
        <w:spacing w:before="60" w:after="80"/>
        <w:rPr/>
      </w:pPr>
      <w:r>
        <w:rPr>
          <w:rFonts w:eastAsia="Arial" w:cs="Arial"/>
          <w:sz w:val="20"/>
          <w:szCs w:val="20"/>
        </w:rPr>
        <w:t>The most important practical implication: the 2028 mNAV assumptions in all three forecast tables (A, B, C) should be revised downward by 15–20% at the base level to reflect stablecoin yield competition during the halving leverage build-up year. The 2029 annual mNAV figures mask extreme intra-year volatility — investors holding BMNR through the 2029 cycle should expect a period of significant mNAV compression (H2 2029) that is not visible in annual snapshot tables.</w:t>
      </w:r>
    </w:p>
    <w:p>
      <w:pPr>
        <w:pStyle w:val="Normal"/>
        <w:spacing w:before="40" w:after="40"/>
        <w:rPr/>
      </w:pPr>
      <w:r>
        <w:rPr/>
      </w:r>
    </w:p>
    <w:p>
      <w:pPr>
        <w:pStyle w:val="ListParagraph"/>
        <w:numPr>
          <w:ilvl w:val="0"/>
          <w:numId w:val="2"/>
        </w:numPr>
        <w:spacing w:before="40" w:after="40"/>
        <w:rPr/>
      </w:pPr>
      <w:r>
        <w:rPr>
          <w:rFonts w:eastAsia="Arial" w:cs="Arial"/>
          <w:sz w:val="20"/>
          <w:szCs w:val="20"/>
        </w:rPr>
        <w:t>Stablecoin yield competition — Tier 2 risk, ranked 4th overall: Not existential but material. The mNAV premium (approximately 20–25% of BMNR's equity value above 1.0x NAV) is directly dependent on MAVAN's yield competitiveness. Most acute window: 2028–2029, which is also the period of highest modeled BMNR equity value. The restaking hedge is robust through 2027 but diminishes through 2028–2029 as AVS yield compresses. Cyclically predictable — unlike binary risks (CLARITY Act) or systemic risks (macro deterioration) — which makes it more manageable but not ignorable.</w:t>
      </w:r>
    </w:p>
    <w:p>
      <w:pPr>
        <w:pStyle w:val="Normal"/>
        <w:rPr/>
      </w:pPr>
      <w:r>
        <w:rPr/>
      </w:r>
      <w:r>
        <w:br w:type="page"/>
      </w:r>
    </w:p>
    <w:p>
      <w:pPr>
        <w:pStyle w:val="Heading1"/>
        <w:spacing w:before="0" w:after="120"/>
        <w:rPr/>
      </w:pPr>
      <w:r>
        <w:rPr>
          <w:rFonts w:eastAsia="Arial" w:cs="Arial" w:ascii="Arial" w:hAnsi="Arial"/>
          <w:b/>
          <w:bCs/>
          <w:color w:val="1F3864"/>
          <w:sz w:val="36"/>
          <w:szCs w:val="36"/>
        </w:rPr>
        <w:t>12.  Acronyms and Definitions</w:t>
      </w:r>
    </w:p>
    <w:p>
      <w:pPr>
        <w:pStyle w:val="Normal"/>
        <w:spacing w:before="60" w:after="80"/>
        <w:rPr/>
      </w:pPr>
      <w:r>
        <w:rPr>
          <w:rFonts w:eastAsia="Arial" w:cs="Arial"/>
          <w:sz w:val="20"/>
          <w:szCs w:val="20"/>
        </w:rPr>
        <w:t>All acronyms used in this document, listed alphabetically.</w:t>
      </w:r>
    </w:p>
    <w:p>
      <w:pPr>
        <w:pStyle w:val="Normal"/>
        <w:spacing w:before="40" w:after="40"/>
        <w:rPr/>
      </w:pPr>
      <w:r>
        <w:rPr/>
      </w:r>
    </w:p>
    <w:tbl>
      <w:tblPr>
        <w:tblW w:w="9360" w:type="dxa"/>
        <w:jc w:val="left"/>
        <w:tblInd w:w="0" w:type="dxa"/>
        <w:tblLayout w:type="fixed"/>
        <w:tblCellMar>
          <w:top w:w="80" w:type="dxa"/>
          <w:left w:w="100" w:type="dxa"/>
          <w:bottom w:w="80" w:type="dxa"/>
          <w:right w:w="100" w:type="dxa"/>
        </w:tblCellMar>
      </w:tblPr>
      <w:tblGrid>
        <w:gridCol w:w="999"/>
        <w:gridCol w:w="2000"/>
        <w:gridCol w:w="6361"/>
      </w:tblGrid>
      <w:tr>
        <w:trPr>
          <w:tblHeader w:val="true"/>
        </w:trPr>
        <w:tc>
          <w:tcPr>
            <w:tcW w:w="9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Acronym</w:t>
            </w:r>
          </w:p>
        </w:tc>
        <w:tc>
          <w:tcPr>
            <w:tcW w:w="2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Full Term</w:t>
            </w:r>
          </w:p>
        </w:tc>
        <w:tc>
          <w:tcPr>
            <w:tcW w:w="636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Definition / Context</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aNAV</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Adjusted Net Asset Value</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NAV with a 15% liquidity concentration haircut applied to the ETH position. Used in Section 6 to reflect that selling 4.8M ETH at market prices would take months and move prices against the seller. aNAV ≈ $10.44B vs reported NAV $11.97B.</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APR / APY</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Annual Percentage Rate / Yield</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annualised rate of return on a staked or lent asset. APR is simple interest; APY compounds. MAVAN currently earns ~2.8% APR on staked ETH.</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ATH</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All-Time High</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highest price a cryptocurrency has ever traded at. ETH ATH is approximately $4,878 (November 2021).</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AVS</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Actively Validated Service</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 protocol or service that rents security from restaked ETH via EigenLayer, paying additional yield to restakers. Examples: oracle networks, cross-chain bridges, data availability layers.</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BCG</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Boston Consulting Group</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Management consultancy. Cited for their RWA tokenization forecast of $16T on-chain assets by 2030.</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BTC</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Bitcoin</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first and largest cryptocurrency by market cap (~$1.3T as of April 2026). BMNR holds 199 BTC as a secondary treasury asset.</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BMNR</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Bitmine Immersion Technologies</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NYSE-listed company (NYSE: BMNR); the world's largest corporate ETH holder with 4.8M ETH (~3.98% of supply) as of April 2026.</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CFTC</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Commodity Futures Trading Commission</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US federal regulator for commodity derivatives. The CLARITY Act places ETH under CFTC jurisdiction as a digital commodity, providing regulatory clarity for institutional adoption.</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CLARITY Act</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Digital Asset Market Clarity Act</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US legislation passed the House in July 2025; Senate markup targeted late April 2026. Permanently classifies ETH as a digital commodity under CFTC. Key unresolved provision (as of April 13, 2026): the March 23 Senate draft bans yield for simply holding stablecoins — prohibiting any rewards economically equivalent to bank interest. Industry objects; compromise pending. Polymarket 63–66% passage in 2026.</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DeFi</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Decentralised Finance</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Financial services (lending, borrowing, trading, yield) delivered through smart contracts on public blockchains without traditional intermediaries. ETH hosts ~56% of global DeFi TVL ($55B+).</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DePIN</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Decentralised Physical Infrastructure Network</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Blockchain-based networks that coordinate and compensate real-world infrastructure (compute, storage, wireless, energy). Examples: Render Network, Filecoin, Helium. Generate ETH gas demand as sub-component of broader gas burn thesis.</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EIP-1559</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Ethereum Improvement Proposal 1559</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 2021 Ethereum upgrade that introduced a base fee mechanism: a portion of every transaction's gas fee is burned (permanently destroyed) rather than paid to validators. Creates deflationary ETH supply dynamics at high transaction volumes.</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EigenLayer</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EigenLayer Protocol</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leading restaking protocol on Ethereum ($13B TVL as of late 2025). Allows validators to reuse staked ETH to simultaneously secure additional services (AVSs), earning additional yield on top of base staking rewards.</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ERC-20</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Ethereum Request for Comment 20</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standard token interface on Ethereum. Most fungible tokens — including USDC, USDT, and tokenised assets — follow the ERC-20 standard.</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ERC-3643</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Ethereum Request for Comment 3643</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An extension of ERC-20 designed for regulated, permissioned securities. Used for tokenised real-world assets that require identity verification and compliance rules embedded in the token contract.</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ETF</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Exchange-Traded Fund</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 publicly traded fund holding underlying assets. Spot ETH ETFs were approved in 2024, enabling institutional access to ETH price exposure through traditional brokerage accounts.</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Ethereum / Ether</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native cryptocurrency of the Ethereum blockchain; used to pay gas fees and stake as a validator. BMNR's primary treasury asset (4.8M ETH).</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ETHE / GBTC</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Ethereum / Bitcoin ETF products</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Pre-spot-ETF closed-end fund wrappers. Historically traded at 30–50% discounts to NAV due to structural illiquidity — a reference benchmark for BMNR's current 0.78x mNAV discount.</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FDIC</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Federal Deposit Insurance Corporation</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US deposit insurance regulator. The GENIUS Act allows FDIC-supervised banks to issue stablecoins through subsidiaries, opening a major institutional stablecoin issuance channel on Ethereum.</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GENIUS Act</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Guiding and Establishing National Innovation for US Stablecoins Act</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US legislation signed July 2025. Established the federal stablecoin regulatory framework, requiring 1:1 backing and monthly attestations. Enables banks to issue stablecoins, driving more USDC/USDT activity on Ethereum.</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GLXY</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Galaxy Digital Holdings</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TSX-listed diversified crypto operator. Cited as a peer comparable for BMNR's mixed treasury + operational model. Typically trades at 0.9–1.8x NAV across cycles.</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KYC</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Know Your Customer</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Regulatory identity verification requirements. A proposed risk for the agentic AI thesis: if governments impose KYC on AI agent wallets, autonomous stablecoin payments would be restricted.</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L1</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Layer 1</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base blockchain layer (Ethereum mainnet). Transactions on L1 directly burn ETH via EIP-1559. Contrasted with L2.</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L2</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Layer 2</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 scaling solution built on top of Ethereum L1 (e.g., Arbitrum, Optimism, Base, zkSync). L2s process transactions off-chain and periodically settle on L1. Most user activity now occurs on L2; L1 primarily handles settlement batches.</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LRT</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Liquid Restaking Token</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 token received in exchange for restaked ETH (e.g., eETH from Ether.fi). LRTs remain liquid — they can be traded or used as DeFi collateral — while the underlying ETH earns restaking yield.</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LST</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Liquid Staking Token</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 token representing staked ETH that can be used in DeFi while earning staking yield (e.g., stETH from Lido, rETH from Rocket Pool). MAVAN may issue LSTs for institutional clients in its MAVAN-as-a-Service offering.</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MARA</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Marathon Digital Holdings</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NASDAQ-listed BTC miner and treasury company. Cited as peer comparable for BMNR's operational-plus-treasury model. Typically trades at 1.2–2.2x NAV.</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MAVAN</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Made in America Validator Network</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BMNR's proprietary Ethereum validator network, launched March 25, 2026. Staking 3.33M ETH as of April 2026. Generates $196M annualised staking revenue at 2.78% yield. The primary yield-generating infrastructure asset.</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MEV</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Maximal Extractable Value</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Additional profit validators can capture by reordering, inserting, or censoring transactions within a block. MAVAN, as a validator, captures MEV on top of base staking rewards — typically adding 10–30% to base APY.</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MiCA</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Markets in Crypto Assets (EU Regulation)</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EU regulatory framework for crypto assets, fully applicable from December 2024. Cited as reference for the regulatory fragmentation risk scenario — if MiCA-style restrictions expand to cover staking yield, global institutional adoption of ETH staking is impaired.</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mNAV</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Market-to-NAV ratio</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ratio of BMNR's market capitalisation to its Net Asset Value. BMNR currently trades at ~0.78x mNAV (a 19% discount). All forecast tables express BMNR equity value in terms of mNAV applied to either reported NAV or aNAV.</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MLP</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Master Limited Partnership</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 publicly traded partnership structure, typically used for energy infrastructure. Cited as a valuation comparable for MAVAN-as-a-Service: at $200M+ revenue, MAVAN could be valued at 12–18x EBITDA on an infrastructure earnings basis.</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MSTR</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MicroStrategy Inc. (now Strategy)</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NASDAQ-listed BTC treasury company; primary peer comparable for BMNR. Peaked at ~3.3x mNAV in 2021; currently trades at ~1.5–2.0x. Key reference for both the upside ceiling (3.0–3.2x) and downside (25%+ of BTC treasury companies now trade below book).</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NAV</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Net Asset Value</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total fair value of BMNR's assets minus liabilities. Reported NAV ~$11.97B (April 2026) using mark-to-market ETH price. Distinct from aNAV (liquidity-adjusted).</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ORBS</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Eightco Holdings (ticker: ORBS)</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 publicly listed company in which BMNR holds ~$92M equity. ORBS holds ~$90M in OpenAI preferred stock — making it the only public equity vehicle with direct OpenAI exposure. ORBS also holds ~$25M in Beast Industries.</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PoS</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Proof of Stake</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Ethereum's consensus mechanism since the Merge (September 2022). Validators stake ETH (minimum 32 ETH) to propose and attest to blocks; they earn staking rewards and can be slashed for misbehaviour.</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REIT</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Real Estate Investment Trust</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 publicly traded vehicle holding income-producing real estate. Cited as valuation comparable for MAVAN: mature yield-generating infrastructure businesses trade at 12–18x EBITDA.</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RWA</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Real-World Asset</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Traditional financial assets (bonds, real estate, equities, commodities) tokenised on a blockchain. The tokenised RWA market reached $27.6B in April 2026 (excl. stablecoins); Ethereum hosts ~60%. BCG projects $16T by 2030.</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S&amp;P 500</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Standard &amp; Poor's 500 Index</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benchmark US equity index. NYSE uplisting makes BMNR eligible for eventual S&amp;P 500 consideration, which would trigger significant passive fund buying.</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SOTP</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Sum-of-Parts</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 valuation methodology that values each business segment independently then aggregates. Section 6.3 presents a SOTP analysis for BMNR: ETH treasury (aNAV) + MAVAN at 20x earnings + strategic stakes.</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SPV</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Special Purpose Vehicle</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 legal entity created to hold a specific asset, used in RWA tokenization to isolate the real-world asset from the token issuer's balance sheet. The SPV holds the asset and issues token claims to investors.</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SWIFT</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Society for Worldwide Interbank Financial Telecommunication</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global interbank messaging network processing ~$5T daily. Forecast to launch a stablecoin settlement layer by 2027. If SWIFT settles on Ethereum rails, the gas demand implications are transformational.</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SWF</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Sovereign Wealth Fund</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State-owned investment funds, typically capitalised from natural resource revenues or trade surpluses. SWFs globally manage ~$12T. Even 1% allocation to ETH = $120B in buying pressure. The regulatory clarity from the CLARITY Act is the primary unlock for SWF ETH allocation.</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T-bill</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Treasury Bill</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Short-term US government debt instruments. The risk-free rate benchmark. Current T-bill yields (~4.5%) set the opportunity cost floor for on-chain stablecoin yield, which typically tracks the T-bill rate plus a DeFi risk premium.</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TVL</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Total Value Locked</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total dollar value of assets deposited in a DeFi protocol or ecosystem. EigenLayer TVL: $13B (late 2025). Ethereum DeFi TVL: $55B+ (April 2026, ~56% of global DeFi TVL).</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USDC</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USD Coin</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 US dollar-pegged stablecoin issued by Circle, fully backed by cash and short-term Treasuries. The dominant stablecoin used by AI agents in the x402 protocol (98.6% of agent payments). $75.7B market cap as of late 2025.</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USDT</w:t>
            </w:r>
          </w:p>
        </w:tc>
        <w:tc>
          <w:tcPr>
            <w:tcW w:w="2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Tether USD</w:t>
            </w:r>
          </w:p>
        </w:tc>
        <w:tc>
          <w:tcPr>
            <w:tcW w:w="6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largest stablecoin by market cap ($187B), issued by Tether. Dominant in emerging markets and offshore trading. Less compliance-friendly than USDC but larger total volume.</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x402</w:t>
            </w:r>
          </w:p>
        </w:tc>
        <w:tc>
          <w:tcPr>
            <w:tcW w:w="2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HTTP 402 Payment Protocol</w:t>
            </w:r>
          </w:p>
        </w:tc>
        <w:tc>
          <w:tcPr>
            <w:tcW w:w="6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An open payment protocol developed by Coinbase and Cloudflare enabling AI agents to pay for data and services per-request using USDC, without human involvement. 140M+ transactions processed in its first nine months. Named after HTTP status code 402 'Payment Required'.</w:t>
            </w:r>
          </w:p>
        </w:tc>
      </w:tr>
    </w:tbl>
    <w:p>
      <w:pPr>
        <w:pStyle w:val="Normal"/>
        <w:spacing w:before="40" w:after="40"/>
        <w:rPr/>
      </w:pPr>
      <w:r>
        <w:rPr/>
      </w:r>
    </w:p>
    <w:p>
      <w:pPr>
        <w:pStyle w:val="Normal"/>
        <w:spacing w:before="60" w:after="60"/>
        <w:rPr/>
      </w:pPr>
      <w:r>
        <w:rPr>
          <w:rFonts w:eastAsia="Arial" w:cs="Arial"/>
          <w:i/>
          <w:iCs/>
          <w:color w:val="777777"/>
          <w:sz w:val="18"/>
          <w:szCs w:val="18"/>
        </w:rPr>
        <w:t>Acronyms listed alphabetically. Definitions are contextualised to this document's usage. Not all terms listed have universally agreed definitions across the broader crypto industry.</w:t>
      </w:r>
    </w:p>
    <w:p>
      <w:pPr>
        <w:pStyle w:val="Normal"/>
        <w:rPr/>
      </w:pPr>
      <w:r>
        <w:rPr/>
      </w:r>
      <w:r>
        <w:br w:type="page"/>
      </w:r>
    </w:p>
    <w:p>
      <w:pPr>
        <w:pStyle w:val="Heading1"/>
        <w:spacing w:before="0" w:after="120"/>
        <w:rPr/>
      </w:pPr>
      <w:r>
        <w:rPr>
          <w:rFonts w:eastAsia="Arial" w:cs="Arial" w:ascii="Arial" w:hAnsi="Arial"/>
          <w:b/>
          <w:bCs/>
          <w:color w:val="1F3864"/>
          <w:sz w:val="36"/>
          <w:szCs w:val="36"/>
        </w:rPr>
        <w:t>13.  The L1 / L2 Value Accrual Problem — Deep Dive</w:t>
      </w:r>
    </w:p>
    <w:p>
      <w:pPr>
        <w:pStyle w:val="Heading2"/>
        <w:spacing w:before="280" w:after="80"/>
        <w:rPr/>
      </w:pPr>
      <w:r>
        <w:rPr>
          <w:rFonts w:eastAsia="Arial" w:cs="Arial" w:ascii="Arial" w:hAnsi="Arial"/>
          <w:b/>
          <w:bCs/>
          <w:color w:val="2E75B6"/>
          <w:sz w:val="28"/>
          <w:szCs w:val="28"/>
        </w:rPr>
        <w:t>13.1  What the Problem Actually Is</w:t>
      </w:r>
    </w:p>
    <w:p>
      <w:pPr>
        <w:pStyle w:val="Normal"/>
        <w:spacing w:before="60" w:after="80"/>
        <w:rPr/>
      </w:pPr>
      <w:r>
        <w:rPr>
          <w:rFonts w:eastAsia="Arial" w:cs="Arial"/>
          <w:sz w:val="20"/>
          <w:szCs w:val="20"/>
        </w:rPr>
        <w:t>Ethereum's design philosophy for the past four years has been explicitly rollup-centric: keep L1 lean, secure, and minimal; push all user activity to Layer 2 networks (Arbitrum, Optimism, Base, zkSync, etc.) that settle on L1. This was the right call when L1 was congested and fees were $50–200 per transaction. The consequence, however, is that Ethereum deliberately moved its own revenue off its own balance sheet.</w:t>
      </w:r>
    </w:p>
    <w:p>
      <w:pPr>
        <w:pStyle w:val="Normal"/>
        <w:spacing w:before="40" w:after="40"/>
        <w:rPr/>
      </w:pPr>
      <w:r>
        <w:rPr/>
      </w:r>
    </w:p>
    <w:p>
      <w:pPr>
        <w:pStyle w:val="Normal"/>
        <w:spacing w:before="60" w:after="80"/>
        <w:rPr/>
      </w:pPr>
      <w:r>
        <w:rPr>
          <w:rFonts w:eastAsia="Arial" w:cs="Arial"/>
          <w:sz w:val="20"/>
          <w:szCs w:val="20"/>
        </w:rPr>
        <w:t>The ETH price bull case relies on a simple supply logic: EIP-1559 burns a portion of every L1 transaction fee. More L1 activity = more ETH burned = deflationary supply = higher price. This is the 'ultrasound money' thesis. The problem is that L2s broke this mechanism. When users trade on Arbitrum instead of Ethereum L1, the ETH burn that would have occurred on L1 mostly does not happen. The user's transaction happens on L2. Only the occasional settlement batch from Arbitrum to L1 burns ETH — and since the Dencun upgrade (March 2024), even that settlement fee was dramatically reduced via blob transactions.</w:t>
      </w:r>
    </w:p>
    <w:p>
      <w:pPr>
        <w:pStyle w:val="Normal"/>
        <w:spacing w:before="40" w:after="40"/>
        <w:rPr/>
      </w:pPr>
      <w:r>
        <w:rPr/>
      </w:r>
    </w:p>
    <w:p>
      <w:pPr>
        <w:pStyle w:val="Normal"/>
        <w:spacing w:before="60" w:after="80"/>
        <w:rPr/>
      </w:pPr>
      <w:r>
        <w:rPr>
          <w:rFonts w:eastAsia="Arial" w:cs="Arial"/>
          <w:sz w:val="20"/>
          <w:szCs w:val="20"/>
        </w:rPr>
        <w:t>The result: ETH transaction count is at all-time highs when you include L2 activity. But ETH L1 fee burn has collapsed. As of April 2026, ETH is running at approximately +0.23% annual net issuance — mildly inflationary — despite record total ecosystem activity. The 'digital oil' metaphor has inverted: Ethereum is processing more 'work' than ever, but capturing less revenue from it than at any point since the Merge.</w:t>
      </w:r>
    </w:p>
    <w:p>
      <w:pPr>
        <w:pStyle w:val="Normal"/>
        <w:spacing w:before="40" w:after="40"/>
        <w:rPr/>
      </w:pPr>
      <w:r>
        <w:rPr/>
      </w:r>
    </w:p>
    <w:p>
      <w:pPr>
        <w:pStyle w:val="Heading2"/>
        <w:spacing w:before="280" w:after="80"/>
        <w:rPr/>
      </w:pPr>
      <w:r>
        <w:rPr>
          <w:rFonts w:eastAsia="Arial" w:cs="Arial" w:ascii="Arial" w:hAnsi="Arial"/>
          <w:b/>
          <w:bCs/>
          <w:color w:val="2E75B6"/>
          <w:sz w:val="28"/>
          <w:szCs w:val="28"/>
        </w:rPr>
        <w:t>13.2  How We Got Here — The Upgrade Sequence</w:t>
      </w:r>
    </w:p>
    <w:p>
      <w:pPr>
        <w:pStyle w:val="Normal"/>
        <w:spacing w:before="60" w:after="80"/>
        <w:rPr/>
      </w:pPr>
      <w:r>
        <w:rPr>
          <w:rFonts w:eastAsia="Arial" w:cs="Arial"/>
          <w:sz w:val="20"/>
          <w:szCs w:val="20"/>
        </w:rPr>
        <w:t>Understanding the current situation requires tracing the sequence of upgrades that created it:</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999"/>
        <w:gridCol w:w="700"/>
        <w:gridCol w:w="3200"/>
        <w:gridCol w:w="3460"/>
      </w:tblGrid>
      <w:tr>
        <w:trPr>
          <w:tblHeader w:val="true"/>
        </w:trPr>
        <w:tc>
          <w:tcPr>
            <w:tcW w:w="9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Upgrade</w:t>
            </w:r>
          </w:p>
        </w:tc>
        <w:tc>
          <w:tcPr>
            <w:tcW w:w="7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Date</w:t>
            </w:r>
          </w:p>
        </w:tc>
        <w:tc>
          <w:tcPr>
            <w:tcW w:w="32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What it did</w:t>
            </w:r>
          </w:p>
        </w:tc>
        <w:tc>
          <w:tcPr>
            <w:tcW w:w="34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Effect on L1 fee burn</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London (EIP-1559)</w:t>
            </w:r>
          </w:p>
        </w:tc>
        <w:tc>
          <w:tcPr>
            <w:tcW w:w="7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August 2021</w:t>
            </w:r>
          </w:p>
        </w:tc>
        <w:tc>
          <w:tcPr>
            <w:tcW w:w="3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Introduced base fee burn mechanism — portion of every tx fee permanently destroyed</w:t>
            </w:r>
          </w:p>
        </w:tc>
        <w:tc>
          <w:tcPr>
            <w:tcW w:w="34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Strongly positive: created the deflationary ETH thesis; ~4.5M ETH burned to date</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The Merge</w:t>
            </w:r>
          </w:p>
        </w:tc>
        <w:tc>
          <w:tcPr>
            <w:tcW w:w="7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September 2022</w:t>
            </w:r>
          </w:p>
        </w:tc>
        <w:tc>
          <w:tcPr>
            <w:tcW w:w="3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Transitioned Ethereum from Proof-of-Work to Proof-of-Stake; reduced ETH issuance by ~88%</w:t>
            </w:r>
          </w:p>
        </w:tc>
        <w:tc>
          <w:tcPr>
            <w:tcW w:w="34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Positive: dramatically reduced new ETH supply, amplifying the burn deflation signal</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Dencun (EIP-4844)</w:t>
            </w:r>
          </w:p>
        </w:tc>
        <w:tc>
          <w:tcPr>
            <w:tcW w:w="7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March 2024</w:t>
            </w:r>
          </w:p>
        </w:tc>
        <w:tc>
          <w:tcPr>
            <w:tcW w:w="3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Introduced blob transactions — dedicated low-cost data storage for L2s to post settlement data</w:t>
            </w:r>
          </w:p>
        </w:tc>
        <w:tc>
          <w:tcPr>
            <w:tcW w:w="34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Strongly negative for burn: L2 fees dropped 90%+ overnight; blobs are priced separately from L1 gas and can fall to near-zero; L2s stopped competing for L1 block space</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Pectra</w:t>
            </w:r>
          </w:p>
        </w:tc>
        <w:tc>
          <w:tcPr>
            <w:tcW w:w="7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May 2025</w:t>
            </w:r>
          </w:p>
        </w:tc>
        <w:tc>
          <w:tcPr>
            <w:tcW w:w="3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Expanded blob capacity; improved staking mechanics; account abstraction</w:t>
            </w:r>
          </w:p>
        </w:tc>
        <w:tc>
          <w:tcPr>
            <w:tcW w:w="34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Further negative for burn: more blob supply = lower blob fees; L2 data costs fell to effectively zero on some days</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Fusaka (EIP-7918)</w:t>
            </w:r>
          </w:p>
        </w:tc>
        <w:tc>
          <w:tcPr>
            <w:tcW w:w="7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December 2025</w:t>
            </w:r>
          </w:p>
        </w:tc>
        <w:tc>
          <w:tcPr>
            <w:tcW w:w="3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Introduced blob fee floor — minimum price L2s must pay for settlement, pegged to L1 execution costs</w:t>
            </w:r>
          </w:p>
        </w:tc>
        <w:tc>
          <w:tcPr>
            <w:tcW w:w="34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Partial correction: prevents blob fees from going to zero; on 93% of days since Dencun, observed blob fee was below the floor EIP-7918 would have set</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Glamsterdam (planned H1 2026)</w:t>
            </w:r>
          </w:p>
        </w:tc>
        <w:tc>
          <w:tcPr>
            <w:tcW w:w="7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H1 2026</w:t>
            </w:r>
          </w:p>
        </w:tc>
        <w:tc>
          <w:tcPr>
            <w:tcW w:w="3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78.6% gas fee reduction for L1 transactions; parallel transaction processing; ePBS for MEV</w:t>
            </w:r>
          </w:p>
        </w:tc>
        <w:tc>
          <w:tcPr>
            <w:tcW w:w="34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Mixed: lower fees expand the addressable market for L1 activity, potentially increasing volume enough to offset per-tx fee reduction; ePBS redirects some MEV value to validators</w:t>
            </w:r>
          </w:p>
        </w:tc>
      </w:tr>
    </w:tbl>
    <w:p>
      <w:pPr>
        <w:pStyle w:val="Normal"/>
        <w:spacing w:before="40" w:after="40"/>
        <w:rPr/>
      </w:pPr>
      <w:r>
        <w:rPr/>
      </w:r>
    </w:p>
    <w:p>
      <w:pPr>
        <w:pStyle w:val="Normal"/>
        <w:spacing w:before="60" w:after="80"/>
        <w:rPr/>
      </w:pPr>
      <w:r>
        <w:rPr>
          <w:rFonts w:eastAsia="Arial" w:cs="Arial"/>
          <w:sz w:val="20"/>
          <w:szCs w:val="20"/>
        </w:rPr>
        <w:t>The pattern is clear: each upgrade that improved the user experience (cheaper L2s, more capacity) reduced L1 fee revenue. The Ethereum Foundation is now explicitly trying to reverse this with EIP-7918 and the Glamsterdam upgrade — acknowledging that the rollup-centric roadmap created a value accrual gap that needs to be addressed.</w:t>
      </w:r>
    </w:p>
    <w:p>
      <w:pPr>
        <w:pStyle w:val="Normal"/>
        <w:spacing w:before="40" w:after="40"/>
        <w:rPr/>
      </w:pPr>
      <w:r>
        <w:rPr/>
      </w:r>
    </w:p>
    <w:p>
      <w:pPr>
        <w:pStyle w:val="Heading2"/>
        <w:spacing w:before="280" w:after="80"/>
        <w:rPr/>
      </w:pPr>
      <w:r>
        <w:rPr>
          <w:rFonts w:eastAsia="Arial" w:cs="Arial" w:ascii="Arial" w:hAnsi="Arial"/>
          <w:b/>
          <w:bCs/>
          <w:color w:val="2E75B6"/>
          <w:sz w:val="28"/>
          <w:szCs w:val="28"/>
        </w:rPr>
        <w:t>13.3  The Three Distinct Value Flows</w:t>
      </w:r>
    </w:p>
    <w:p>
      <w:pPr>
        <w:pStyle w:val="Normal"/>
        <w:spacing w:before="60" w:after="80"/>
        <w:rPr/>
      </w:pPr>
      <w:r>
        <w:rPr>
          <w:rFonts w:eastAsia="Arial" w:cs="Arial"/>
          <w:sz w:val="20"/>
          <w:szCs w:val="20"/>
        </w:rPr>
        <w:t>The L1/L2 debate is often framed as binary — either L1 captures value or it doesn't. The reality has three distinct flows, each with different implications for ETH holders and BMNR:</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1199"/>
        <w:gridCol w:w="1400"/>
        <w:gridCol w:w="1800"/>
        <w:gridCol w:w="1800"/>
        <w:gridCol w:w="2161"/>
      </w:tblGrid>
      <w:tr>
        <w:trPr>
          <w:tblHeader w:val="true"/>
        </w:trPr>
        <w:tc>
          <w:tcPr>
            <w:tcW w:w="1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Value flow</w:t>
            </w:r>
          </w:p>
        </w:tc>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Source</w:t>
            </w:r>
          </w:p>
        </w:tc>
        <w:tc>
          <w:tcPr>
            <w:tcW w:w="1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Where it goes today</w:t>
            </w:r>
          </w:p>
        </w:tc>
        <w:tc>
          <w:tcPr>
            <w:tcW w:w="1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Where it should go (aligned rollup model)</w:t>
            </w:r>
          </w:p>
        </w:tc>
        <w:tc>
          <w:tcPr>
            <w:tcW w:w="216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BMNR / MAVAN relevance</w:t>
            </w:r>
          </w:p>
        </w:tc>
      </w:tr>
      <w:tr>
        <w:trPr/>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L1 execution fees</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Users paying gas for transactions directly on Ethereum mainnet</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burn (base fee via EIP-1559) + validator tips</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Same — L1 execution is where ETH burn happens directly</w:t>
            </w:r>
          </w:p>
        </w:tc>
        <w:tc>
          <w:tcPr>
            <w:tcW w:w="21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MAVAN earns the validator tip portion (priority fee); L1 execution activity directly benefits staking yield</w:t>
            </w:r>
          </w:p>
        </w:tc>
      </w:tr>
      <w:tr>
        <w:trPr/>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L2 settlement fees (blobs)</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L2s paying Ethereum to post settlement data</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Burned as blob base fee (currently near-zero after EIP-7918 floor was introduced)</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burn as blob fees scale with L2 volume; EIP-7918 raises the floor toward economic rationality</w:t>
            </w:r>
          </w:p>
        </w:tc>
        <w:tc>
          <w:tcPr>
            <w:tcW w:w="21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Indirect benefit to MAVAN through ETH price support; blob fees don't go to validators directly — they are burned</w:t>
            </w:r>
          </w:p>
        </w:tc>
      </w:tr>
      <w:tr>
        <w:trPr/>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L2 sequencer revenue</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Revenue from ordering transactions on L2 (MEV + priority fees)</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Currently captured by L2 operators: Coinbase (Base), Offchain Labs (Arbitrum), Optimism Foundation — NOT ETH holders</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Based rollups: if L2 sequencing is assigned to L1 validators, ETH validators (including MAVAN) capture this revenue</w:t>
            </w:r>
          </w:p>
        </w:tc>
        <w:tc>
          <w:tcPr>
            <w:tcW w:w="21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Direct MAVAN opportunity if based rollups scale. This is potentially 2–5x MAVAN's current staking yield. Base processes over 40% of Ethereum ecosystem transactions — if MAVAN became a sequencer for based-Base, the revenue implications are transformative</w:t>
            </w:r>
          </w:p>
        </w:tc>
      </w:tr>
    </w:tbl>
    <w:p>
      <w:pPr>
        <w:pStyle w:val="Normal"/>
        <w:spacing w:before="40" w:after="40"/>
        <w:rPr/>
      </w:pPr>
      <w:r>
        <w:rPr/>
      </w:r>
    </w:p>
    <w:p>
      <w:pPr>
        <w:pStyle w:val="Normal"/>
        <w:spacing w:before="60" w:after="80"/>
        <w:rPr/>
      </w:pPr>
      <w:r>
        <w:rPr>
          <w:rFonts w:eastAsia="Arial" w:cs="Arial"/>
          <w:sz w:val="20"/>
          <w:szCs w:val="20"/>
        </w:rPr>
        <w:t>The third row is the most important for BMNR specifically. Centralised L2 sequencers are currently extracting enormous revenue that does not flow to ETH validators at all. Coinbase's Base network processes over 40% of all Ethereum ecosystem transactions. Every transaction on Base generates sequencer revenue for Coinbase — not for MAVAN. If based rollups mature and L1 validators take over sequencing, MAVAN's addressable revenue would expand dramatically without requiring additional ETH acquisition.</w:t>
      </w:r>
    </w:p>
    <w:p>
      <w:pPr>
        <w:pStyle w:val="Normal"/>
        <w:spacing w:before="40" w:after="40"/>
        <w:rPr/>
      </w:pPr>
      <w:r>
        <w:rPr/>
      </w:r>
    </w:p>
    <w:p>
      <w:pPr>
        <w:pStyle w:val="Heading2"/>
        <w:spacing w:before="280" w:after="80"/>
        <w:rPr/>
      </w:pPr>
      <w:r>
        <w:rPr>
          <w:rFonts w:eastAsia="Arial" w:cs="Arial" w:ascii="Arial" w:hAnsi="Arial"/>
          <w:b/>
          <w:bCs/>
          <w:color w:val="2E75B6"/>
          <w:sz w:val="28"/>
          <w:szCs w:val="28"/>
        </w:rPr>
        <w:t>13.4  Is L2 Activity Good or Bad for ETH?</w:t>
      </w:r>
    </w:p>
    <w:p>
      <w:pPr>
        <w:pStyle w:val="Normal"/>
        <w:spacing w:before="60" w:after="80"/>
        <w:rPr/>
      </w:pPr>
      <w:r>
        <w:rPr>
          <w:rFonts w:eastAsia="Arial" w:cs="Arial"/>
          <w:sz w:val="20"/>
          <w:szCs w:val="20"/>
        </w:rPr>
        <w:t>This is the most contested question in Ethereum economics and the answer is genuinely context-dependent. The document holds both the 'ETH benefits from L2 activity' thesis (via blob fees and ecosystem growth) and the 'L2 activity doesn't burn ETH' risk simultaneously. Here is the honest decomposition:</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999"/>
        <w:gridCol w:w="2401"/>
        <w:gridCol w:w="2200"/>
        <w:gridCol w:w="2759"/>
      </w:tblGrid>
      <w:tr>
        <w:trPr>
          <w:tblHeader w:val="true"/>
        </w:trPr>
        <w:tc>
          <w:tcPr>
            <w:tcW w:w="9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Perspective</w:t>
            </w:r>
          </w:p>
        </w:tc>
        <w:tc>
          <w:tcPr>
            <w:tcW w:w="24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The argument</w:t>
            </w:r>
          </w:p>
        </w:tc>
        <w:tc>
          <w:tcPr>
            <w:tcW w:w="22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The data</w:t>
            </w:r>
          </w:p>
        </w:tc>
        <w:tc>
          <w:tcPr>
            <w:tcW w:w="27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Net assessment</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L2 activity is good for ETH</w:t>
            </w:r>
          </w:p>
        </w:tc>
        <w:tc>
          <w:tcPr>
            <w:tcW w:w="2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L2s rely on Ethereum for security and settlement. More L2 users = more demand for ETH as collateral and gas. The ecosystem grows, ETH price benefits from network effects even if individual L1 burns fall.</w:t>
            </w:r>
          </w:p>
        </w:tc>
        <w:tc>
          <w:tcPr>
            <w:tcW w:w="2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DeFi TVL at $55B+ (56% of global DeFi) despite low L1 fees. Stablecoin market on Ethereum at $164B+. Institutional adoption growing. ETH exchange reserves at 16-year low.</w:t>
            </w:r>
          </w:p>
        </w:tc>
        <w:tc>
          <w:tcPr>
            <w:tcW w:w="2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True for NAV thesis: ETH retains its role as collateral/settlement currency regardless of L1 fee burn dynamics. BMNR's NAV is supported by institutional demand even without deflation.</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L2 activity undermines ETH monetary premium</w:t>
            </w:r>
          </w:p>
        </w:tc>
        <w:tc>
          <w:tcPr>
            <w:tcW w:w="24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'ultrasound money' thesis depends on fee burn. If users don't pay L1 fees, the scarcity mechanism doesn't fire. ETH becomes inflationary, which undermines the store-of-value narrative that justifies premium pricing.</w:t>
            </w:r>
          </w:p>
        </w:tc>
        <w:tc>
          <w:tcPr>
            <w:tcW w:w="2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at +0.23% net annual issuance (April 2026). L1 daily active addresses down 47% YoY. Average gas at 0.16 gwei — a Uniswap swap costs $0.03 vs $200 in 2021. Blob utilisation 20–30%.</w:t>
            </w:r>
          </w:p>
        </w:tc>
        <w:tc>
          <w:tcPr>
            <w:tcW w:w="27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True for monetary premium thesis: the deflationary ETH story is currently not supported by data. Bull-case ETH prices that embed a monetary scarcity premium require the deflation to re-activate.</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The resolution: these are two separate theses</w:t>
            </w:r>
          </w:p>
        </w:tc>
        <w:tc>
          <w:tcPr>
            <w:tcW w:w="2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ETH-as-collateral (institutional demand, RWA, staking yield) can be true simultaneously with ETH-as-monetary-asset being weak (if deflation doesn't re-activate). The forecast tables conflate both.</w:t>
            </w:r>
          </w:p>
        </w:tc>
        <w:tc>
          <w:tcPr>
            <w:tcW w:w="2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BMNR's NAV depends on ETH price, which depends on both theses. But the two theses have different sensitivities to L1/L2 dynamics.</w:t>
            </w:r>
          </w:p>
        </w:tc>
        <w:tc>
          <w:tcPr>
            <w:tcW w:w="2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document's ETH price forecasts need to be understood as requiring BOTH the collateral/settlement thesis AND the monetary premium thesis to be true. If only the former holds, ETH prices are 15–25% lower than forecast. The bear ETH prices in the tables may actually reflect 'collateral thesis only' pricing.</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13.5  The Based Rollup Solution — Corrected Revenue Model (v11)</w:t>
      </w:r>
    </w:p>
    <w:p>
      <w:pPr>
        <w:pStyle w:val="Normal"/>
        <w:spacing w:before="60" w:after="80"/>
        <w:rPr/>
      </w:pPr>
      <w:r>
        <w:rPr>
          <w:rFonts w:eastAsia="Arial" w:cs="Arial"/>
          <w:sz w:val="20"/>
          <w:szCs w:val="20"/>
        </w:rPr>
        <w:t>IMPORTANT CORRECTION (v11): The prior version of this section contained two material errors that have been corrected by extended thinking stress-test. First, the document used BMNR's share of total ETH supply (3.98%) where it should have used MAVAN's share of staked ETH (~9.5%). Second, the '100–300% yield uplift' claim was overstated by approximately 15–50x. The corrected analysis follows.</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2200"/>
        <w:gridCol w:w="2199"/>
        <w:gridCol w:w="3961"/>
      </w:tblGrid>
      <w:tr>
        <w:trPr>
          <w:tblHeader w:val="true"/>
        </w:trPr>
        <w:tc>
          <w:tcPr>
            <w:tcW w:w="22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Prior document claim</w:t>
            </w:r>
          </w:p>
        </w:tc>
        <w:tc>
          <w:tcPr>
            <w:tcW w:w="2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Correct figure</w:t>
            </w:r>
          </w:p>
        </w:tc>
        <w:tc>
          <w:tcPr>
            <w:tcW w:w="396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Error source</w:t>
            </w:r>
          </w:p>
        </w:tc>
      </w:tr>
      <w:tr>
        <w:trPr/>
        <w:tc>
          <w:tcPr>
            <w:tcW w:w="2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MAVAN validator weight ~3.98% of staked supply</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~9.5% of staked supply (2026), declining to ~5.7% by 2030</w:t>
            </w:r>
          </w:p>
        </w:tc>
        <w:tc>
          <w:tcPr>
            <w:tcW w:w="39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Conflated total ETH supply denominator (~120M ETH) with staked ETH denominator (~35M ETH). Based sequencing revenue is proportional to share of staked ETH, not total supply.</w:t>
            </w:r>
          </w:p>
        </w:tc>
      </w:tr>
      <w:tr>
        <w:trPr/>
        <w:tc>
          <w:tcPr>
            <w:tcW w:w="2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Based rollup adoption adds 100–300% to MAVAN base yield</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1.5–3.0% uplift in full adoption scenario; ~5–7% at proportional share</w:t>
            </w:r>
          </w:p>
        </w:tc>
        <w:tc>
          <w:tcPr>
            <w:tcW w:w="39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Revenue model inflated ~15–50x. Most likely source: arithmetic error applying 3.98% to an already-inflated sequencer revenue figure.</w:t>
            </w:r>
          </w:p>
        </w:tc>
      </w:tr>
      <w:tr>
        <w:trPr/>
        <w:tc>
          <w:tcPr>
            <w:tcW w:w="2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Based rollup adoption is a free option</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Positioned option requiring $500K–2M/year per chain in infrastructure investment</w:t>
            </w:r>
          </w:p>
        </w:tc>
        <w:tc>
          <w:tcPr>
            <w:tcW w:w="39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Passive block selection is genuinely proportional. MEV optimisation and preconfirmation require active software investment and builder relationships.</w:t>
            </w:r>
          </w:p>
        </w:tc>
      </w:tr>
      <w:tr>
        <w:trPr/>
        <w:tc>
          <w:tcPr>
            <w:tcW w:w="2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Low-medium probability for large L2s (undifferentiated)</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 all three by 2030; ~67% at least one by 2030. Optimism most likely (~50%), Coinbase/Base least likely (~25%).</w:t>
            </w:r>
          </w:p>
        </w:tc>
        <w:tc>
          <w:tcPr>
            <w:tcW w:w="39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 probability decomposition by operator; each has distinct commercial structure and governance incentives.</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13.5a  MAVAN's Actual Stake Share — The Correct Denominator</w:t>
      </w:r>
    </w:p>
    <w:p>
      <w:pPr>
        <w:pStyle w:val="Normal"/>
        <w:spacing w:before="60" w:after="80"/>
        <w:rPr/>
      </w:pPr>
      <w:r>
        <w:rPr>
          <w:rFonts w:eastAsia="Arial" w:cs="Arial"/>
          <w:sz w:val="20"/>
          <w:szCs w:val="20"/>
        </w:rPr>
        <w:t>Based sequencing revenue is allocated proportionally to a validator's share of staked ETH — not total ETH supply. MAVAN's ~9.5% of staked supply (April 2026) is the correct figure. This share declines as institutional staking adoption grows total staked ETH:</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600"/>
        <w:gridCol w:w="1399"/>
        <w:gridCol w:w="1401"/>
        <w:gridCol w:w="1400"/>
        <w:gridCol w:w="3560"/>
      </w:tblGrid>
      <w:tr>
        <w:trPr>
          <w:tblHeader w:val="true"/>
        </w:trPr>
        <w:tc>
          <w:tcPr>
            <w:tcW w:w="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Year</w:t>
            </w:r>
          </w:p>
        </w:tc>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Est. total staked ETH</w:t>
            </w:r>
          </w:p>
        </w:tc>
        <w:tc>
          <w:tcPr>
            <w:tcW w:w="14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MAVAN (3.33M fixed)</w:t>
            </w:r>
          </w:p>
        </w:tc>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MAVAN % of staked</w:t>
            </w:r>
          </w:p>
        </w:tc>
        <w:tc>
          <w:tcPr>
            <w:tcW w:w="35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Revenue impact vs 3.98% error</w:t>
            </w:r>
          </w:p>
        </w:tc>
      </w:tr>
      <w:tr>
        <w:trPr/>
        <w:tc>
          <w:tcPr>
            <w:tcW w:w="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2026</w:t>
            </w:r>
          </w:p>
        </w:tc>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~35M</w:t>
            </w:r>
          </w:p>
        </w:tc>
        <w:tc>
          <w:tcPr>
            <w:tcW w:w="1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3.33M</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9.5%</w:t>
            </w:r>
          </w:p>
        </w:tc>
        <w:tc>
          <w:tcPr>
            <w:tcW w:w="3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+2.4x vs the document's prior 3.98% figure</w:t>
            </w:r>
          </w:p>
        </w:tc>
      </w:tr>
      <w:tr>
        <w:trPr/>
        <w:tc>
          <w:tcPr>
            <w:tcW w:w="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2027</w:t>
            </w:r>
          </w:p>
        </w:tc>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~40M</w:t>
            </w:r>
          </w:p>
        </w:tc>
        <w:tc>
          <w:tcPr>
            <w:tcW w:w="14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3.33M</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8.3%</w:t>
            </w:r>
          </w:p>
        </w:tc>
        <w:tc>
          <w:tcPr>
            <w:tcW w:w="3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+2.1x correction factor</w:t>
            </w:r>
          </w:p>
        </w:tc>
      </w:tr>
      <w:tr>
        <w:trPr/>
        <w:tc>
          <w:tcPr>
            <w:tcW w:w="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2028</w:t>
            </w:r>
          </w:p>
        </w:tc>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~46M</w:t>
            </w:r>
          </w:p>
        </w:tc>
        <w:tc>
          <w:tcPr>
            <w:tcW w:w="1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3.33M</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7.2%</w:t>
            </w:r>
          </w:p>
        </w:tc>
        <w:tc>
          <w:tcPr>
            <w:tcW w:w="3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+1.8x correction factor</w:t>
            </w:r>
          </w:p>
        </w:tc>
      </w:tr>
      <w:tr>
        <w:trPr/>
        <w:tc>
          <w:tcPr>
            <w:tcW w:w="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2029</w:t>
            </w:r>
          </w:p>
        </w:tc>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~52M</w:t>
            </w:r>
          </w:p>
        </w:tc>
        <w:tc>
          <w:tcPr>
            <w:tcW w:w="14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3.33M</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6.4%</w:t>
            </w:r>
          </w:p>
        </w:tc>
        <w:tc>
          <w:tcPr>
            <w:tcW w:w="3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+1.6x correction factor</w:t>
            </w:r>
          </w:p>
        </w:tc>
      </w:tr>
      <w:tr>
        <w:trPr/>
        <w:tc>
          <w:tcPr>
            <w:tcW w:w="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2030</w:t>
            </w:r>
          </w:p>
        </w:tc>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~58M</w:t>
            </w:r>
          </w:p>
        </w:tc>
        <w:tc>
          <w:tcPr>
            <w:tcW w:w="1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3.33M</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5.7%</w:t>
            </w:r>
          </w:p>
        </w:tc>
        <w:tc>
          <w:tcPr>
            <w:tcW w:w="3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+1.4x correction factor</w:t>
            </w:r>
          </w:p>
        </w:tc>
      </w:tr>
    </w:tbl>
    <w:p>
      <w:pPr>
        <w:pStyle w:val="Normal"/>
        <w:spacing w:before="40" w:after="40"/>
        <w:rPr/>
      </w:pPr>
      <w:r>
        <w:rPr/>
      </w:r>
    </w:p>
    <w:p>
      <w:pPr>
        <w:pStyle w:val="Normal"/>
        <w:spacing w:before="60" w:after="80"/>
        <w:rPr/>
      </w:pPr>
      <w:r>
        <w:rPr>
          <w:rFonts w:eastAsia="Arial" w:cs="Arial"/>
          <w:sz w:val="20"/>
          <w:szCs w:val="20"/>
        </w:rPr>
        <w:t>The dilution of MAVAN's % of staked supply is a structural feature the document has not previously modelled anywhere. Even without MAVAN acquiring additional ETH, its validator weight falls ~40% between today and 2030 as institutional staking adoption (ETF inflows, SWF staking mandates, corporate treasury staking) increases total staked ETH. If BMNR reaches its 5% total supply target (~6.03M ETH, all staked), MAVAN's share peaks at ~12.5% before beginning to dilute again.</w:t>
      </w:r>
    </w:p>
    <w:p>
      <w:pPr>
        <w:pStyle w:val="Normal"/>
        <w:spacing w:before="40" w:after="40"/>
        <w:rPr/>
      </w:pPr>
      <w:r>
        <w:rPr/>
      </w:r>
    </w:p>
    <w:p>
      <w:pPr>
        <w:pStyle w:val="Heading2"/>
        <w:spacing w:before="280" w:after="80"/>
        <w:rPr/>
      </w:pPr>
      <w:r>
        <w:rPr>
          <w:rFonts w:eastAsia="Arial" w:cs="Arial" w:ascii="Arial" w:hAnsi="Arial"/>
          <w:b/>
          <w:bCs/>
          <w:color w:val="2E75B6"/>
          <w:sz w:val="28"/>
          <w:szCs w:val="28"/>
        </w:rPr>
        <w:t>13.5b  Bottom-Up Sequencer Revenue: Base, Arbitrum, Optimism</w:t>
      </w:r>
    </w:p>
    <w:p>
      <w:pPr>
        <w:pStyle w:val="Normal"/>
        <w:spacing w:before="60" w:after="80"/>
        <w:rPr/>
      </w:pPr>
      <w:r>
        <w:rPr>
          <w:rFonts w:eastAsia="Arial" w:cs="Arial"/>
          <w:sz w:val="20"/>
          <w:szCs w:val="20"/>
        </w:rPr>
        <w:t>Extended thinking bottom-up estimate of combined 3-L2 sequencer revenue, using post-EIP-4844 blob pricing (L1 data costs reduced ~99% from pre-2024 levels):</w:t>
      </w:r>
    </w:p>
    <w:p>
      <w:pPr>
        <w:pStyle w:val="Normal"/>
        <w:spacing w:before="40" w:after="40"/>
        <w:rPr/>
      </w:pPr>
      <w:r>
        <w:rPr/>
      </w:r>
    </w:p>
    <w:tbl>
      <w:tblPr>
        <w:tblW w:w="7360" w:type="dxa"/>
        <w:jc w:val="left"/>
        <w:tblInd w:w="0" w:type="dxa"/>
        <w:tblLayout w:type="fixed"/>
        <w:tblCellMar>
          <w:top w:w="80" w:type="dxa"/>
          <w:left w:w="100" w:type="dxa"/>
          <w:bottom w:w="80" w:type="dxa"/>
          <w:right w:w="100" w:type="dxa"/>
        </w:tblCellMar>
      </w:tblPr>
      <w:tblGrid>
        <w:gridCol w:w="699"/>
        <w:gridCol w:w="1201"/>
        <w:gridCol w:w="1099"/>
        <w:gridCol w:w="1400"/>
        <w:gridCol w:w="1301"/>
        <w:gridCol w:w="1659"/>
      </w:tblGrid>
      <w:tr>
        <w:trPr>
          <w:tblHeader w:val="true"/>
        </w:trPr>
        <w:tc>
          <w:tcPr>
            <w:tcW w:w="6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L2</w:t>
            </w:r>
          </w:p>
        </w:tc>
        <w:tc>
          <w:tcPr>
            <w:tcW w:w="12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Daily transactions</w:t>
            </w:r>
          </w:p>
        </w:tc>
        <w:tc>
          <w:tcPr>
            <w:tcW w:w="10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Net margin / tx</w:t>
            </w:r>
          </w:p>
        </w:tc>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Annual priority fees</w:t>
            </w:r>
          </w:p>
        </w:tc>
        <w:tc>
          <w:tcPr>
            <w:tcW w:w="13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Annual MEV</w:t>
            </w:r>
          </w:p>
        </w:tc>
        <w:tc>
          <w:tcPr>
            <w:tcW w:w="16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Total annual revenue</w:t>
            </w:r>
          </w:p>
        </w:tc>
      </w:tr>
      <w:tr>
        <w:trPr/>
        <w:tc>
          <w:tcPr>
            <w:tcW w:w="6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Base (Coinbase)</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~3.5M/day</w:t>
            </w:r>
          </w:p>
        </w:tc>
        <w:tc>
          <w:tcPr>
            <w:tcW w:w="10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~$0.010–0.042</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~$22–54M</w:t>
            </w:r>
          </w:p>
        </w:tc>
        <w:tc>
          <w:tcPr>
            <w:tcW w:w="13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~$15–40M</w:t>
            </w:r>
          </w:p>
        </w:tc>
        <w:tc>
          <w:tcPr>
            <w:tcW w:w="16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$47–72M at $2,123 ETH</w:t>
            </w:r>
          </w:p>
        </w:tc>
      </w:tr>
      <w:tr>
        <w:trPr/>
        <w:tc>
          <w:tcPr>
            <w:tcW w:w="6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Arbitrum</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~2.0M/day</w:t>
            </w:r>
          </w:p>
        </w:tc>
        <w:tc>
          <w:tcPr>
            <w:tcW w:w="10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~$0.015–0.050</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~$11–37M</w:t>
            </w:r>
          </w:p>
        </w:tc>
        <w:tc>
          <w:tcPr>
            <w:tcW w:w="13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~$12–30M</w:t>
            </w:r>
          </w:p>
        </w:tc>
        <w:tc>
          <w:tcPr>
            <w:tcW w:w="16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$43–73M at $2,123 ETH</w:t>
            </w:r>
          </w:p>
        </w:tc>
      </w:tr>
      <w:tr>
        <w:trPr/>
        <w:tc>
          <w:tcPr>
            <w:tcW w:w="6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Optimism</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~1.1M/day</w:t>
            </w:r>
          </w:p>
        </w:tc>
        <w:tc>
          <w:tcPr>
            <w:tcW w:w="10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~$0.010–0.035</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~$4–14M</w:t>
            </w:r>
          </w:p>
        </w:tc>
        <w:tc>
          <w:tcPr>
            <w:tcW w:w="13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~$8–20M</w:t>
            </w:r>
          </w:p>
        </w:tc>
        <w:tc>
          <w:tcPr>
            <w:tcW w:w="16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$15–30M at $2,123 ETH</w:t>
            </w:r>
          </w:p>
        </w:tc>
      </w:tr>
      <w:tr>
        <w:trPr/>
        <w:tc>
          <w:tcPr>
            <w:tcW w:w="6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Combined</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~6.6M/day</w:t>
            </w:r>
          </w:p>
        </w:tc>
        <w:tc>
          <w:tcPr>
            <w:tcW w:w="10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13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16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$105–175M at $2,123 ETH</w:t>
            </w:r>
          </w:p>
        </w:tc>
      </w:tr>
    </w:tbl>
    <w:p>
      <w:pPr>
        <w:pStyle w:val="Normal"/>
        <w:spacing w:before="40" w:after="40"/>
        <w:rPr/>
      </w:pPr>
      <w:r>
        <w:rPr/>
      </w:r>
    </w:p>
    <w:p>
      <w:pPr>
        <w:pStyle w:val="Normal"/>
        <w:spacing w:before="60" w:after="80"/>
        <w:rPr/>
      </w:pPr>
      <w:r>
        <w:rPr>
          <w:rFonts w:eastAsia="Arial" w:cs="Arial"/>
          <w:sz w:val="20"/>
          <w:szCs w:val="20"/>
        </w:rPr>
        <w:t>Revenue scaling with ETH price: sequencer revenue scales at approximately 0.8x the ETH price multiple (volume grows with price appreciation but non-linearly). At ETH $50,000 (~23.5x current price), sequencer revenue scales to approximately $1.98–3.3B combined. At ETH $25,000, approximately $0.99–1.6B.</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699"/>
        <w:gridCol w:w="1800"/>
        <w:gridCol w:w="1801"/>
        <w:gridCol w:w="1800"/>
        <w:gridCol w:w="2260"/>
      </w:tblGrid>
      <w:tr>
        <w:trPr>
          <w:tblHeader w:val="true"/>
        </w:trPr>
        <w:tc>
          <w:tcPr>
            <w:tcW w:w="6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 price</w:t>
            </w:r>
          </w:p>
        </w:tc>
        <w:tc>
          <w:tcPr>
            <w:tcW w:w="1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Combined 3-L2 sequencer revenue</w:t>
            </w:r>
          </w:p>
        </w:tc>
        <w:tc>
          <w:tcPr>
            <w:tcW w:w="18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MAVAN 9.5% (2026) proportional</w:t>
            </w:r>
          </w:p>
        </w:tc>
        <w:tc>
          <w:tcPr>
            <w:tcW w:w="1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MAVAN 5.7% (2030) proportional</w:t>
            </w:r>
          </w:p>
        </w:tc>
        <w:tc>
          <w:tcPr>
            <w:tcW w:w="22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MAVAN 2x MEV outperformance (2026)</w:t>
            </w:r>
          </w:p>
        </w:tc>
      </w:tr>
      <w:tr>
        <w:trPr/>
        <w:tc>
          <w:tcPr>
            <w:tcW w:w="6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$2,123 (current)</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$105–175M</w:t>
            </w:r>
          </w:p>
        </w:tc>
        <w:tc>
          <w:tcPr>
            <w:tcW w:w="1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$10.0–16.6M</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$6.0–10.0M</w:t>
            </w:r>
          </w:p>
        </w:tc>
        <w:tc>
          <w:tcPr>
            <w:tcW w:w="22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$20.0–33.2M</w:t>
            </w:r>
          </w:p>
        </w:tc>
      </w:tr>
      <w:tr>
        <w:trPr/>
        <w:tc>
          <w:tcPr>
            <w:tcW w:w="6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$10,000</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$396–660M</w:t>
            </w:r>
          </w:p>
        </w:tc>
        <w:tc>
          <w:tcPr>
            <w:tcW w:w="18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$37.6–62.7M</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$22.6–37.6M</w:t>
            </w:r>
          </w:p>
        </w:tc>
        <w:tc>
          <w:tcPr>
            <w:tcW w:w="22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$75.2–125.4M</w:t>
            </w:r>
          </w:p>
        </w:tc>
      </w:tr>
      <w:tr>
        <w:trPr/>
        <w:tc>
          <w:tcPr>
            <w:tcW w:w="6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$25,000</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$989–1,649M</w:t>
            </w:r>
          </w:p>
        </w:tc>
        <w:tc>
          <w:tcPr>
            <w:tcW w:w="1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$93.9–156.7M</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$56.4–94.0M</w:t>
            </w:r>
          </w:p>
        </w:tc>
        <w:tc>
          <w:tcPr>
            <w:tcW w:w="22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$187.9–313.3M</w:t>
            </w:r>
          </w:p>
        </w:tc>
      </w:tr>
      <w:tr>
        <w:trPr/>
        <w:tc>
          <w:tcPr>
            <w:tcW w:w="6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$50,000</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$1,978–3,297M</w:t>
            </w:r>
          </w:p>
        </w:tc>
        <w:tc>
          <w:tcPr>
            <w:tcW w:w="18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$187.9–313.2M</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$112.7–187.9M</w:t>
            </w:r>
          </w:p>
        </w:tc>
        <w:tc>
          <w:tcPr>
            <w:tcW w:w="22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$375.8–626.4M</w:t>
            </w:r>
          </w:p>
        </w:tc>
      </w:tr>
    </w:tbl>
    <w:p>
      <w:pPr>
        <w:pStyle w:val="Normal"/>
        <w:spacing w:before="40" w:after="40"/>
        <w:rPr/>
      </w:pPr>
      <w:r>
        <w:rPr/>
      </w:r>
    </w:p>
    <w:p>
      <w:pPr>
        <w:pStyle w:val="Normal"/>
        <w:spacing w:before="60" w:after="80"/>
        <w:rPr/>
      </w:pPr>
      <w:r>
        <w:rPr>
          <w:rFonts w:eastAsia="Arial" w:cs="Arial"/>
          <w:sz w:val="20"/>
          <w:szCs w:val="20"/>
        </w:rPr>
        <w:t>Expressed as % uplift to MAVAN's base staking revenue (at 6% restaking yield): the proportional based rollup addition represents approximately 5–7% at current ETH prices, declining to ~4–5% as MAVAN's staked share dilutes by 2030. In the MEV outperformance scenario (2x), the uplift is 10–14%. This compares to the prior document claim of 100–300% — a 15–50x overstatement.</w:t>
      </w:r>
    </w:p>
    <w:p>
      <w:pPr>
        <w:pStyle w:val="Normal"/>
        <w:spacing w:before="40" w:after="40"/>
        <w:rPr/>
      </w:pPr>
      <w:r>
        <w:rPr/>
      </w:r>
    </w:p>
    <w:p>
      <w:pPr>
        <w:pStyle w:val="Heading2"/>
        <w:spacing w:before="280" w:after="80"/>
        <w:rPr/>
      </w:pPr>
      <w:r>
        <w:rPr>
          <w:rFonts w:eastAsia="Arial" w:cs="Arial" w:ascii="Arial" w:hAnsi="Arial"/>
          <w:b/>
          <w:bCs/>
          <w:color w:val="2E75B6"/>
          <w:sz w:val="28"/>
          <w:szCs w:val="28"/>
        </w:rPr>
        <w:t>13.5c  Adoption Probability by L2 Operator</w:t>
      </w:r>
    </w:p>
    <w:p>
      <w:pPr>
        <w:pStyle w:val="Normal"/>
        <w:spacing w:before="60" w:after="80"/>
        <w:rPr/>
      </w:pPr>
      <w:r>
        <w:rPr>
          <w:rFonts w:eastAsia="Arial" w:cs="Arial"/>
          <w:sz w:val="20"/>
          <w:szCs w:val="20"/>
        </w:rPr>
        <w:t>The three major L2 operators have fundamentally different commercial incentives for adopting based sequencing, producing different probability profiles:</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999"/>
        <w:gridCol w:w="1201"/>
        <w:gridCol w:w="1200"/>
        <w:gridCol w:w="3200"/>
        <w:gridCol w:w="1760"/>
      </w:tblGrid>
      <w:tr>
        <w:trPr>
          <w:tblHeader w:val="true"/>
        </w:trPr>
        <w:tc>
          <w:tcPr>
            <w:tcW w:w="9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L2 operator</w:t>
            </w:r>
          </w:p>
        </w:tc>
        <w:tc>
          <w:tcPr>
            <w:tcW w:w="12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Revenue at stake (2026)</w:t>
            </w:r>
          </w:p>
        </w:tc>
        <w:tc>
          <w:tcPr>
            <w:tcW w:w="12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Governance structure</w:t>
            </w:r>
          </w:p>
        </w:tc>
        <w:tc>
          <w:tcPr>
            <w:tcW w:w="32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Key commercial tension</w:t>
            </w:r>
          </w:p>
        </w:tc>
        <w:tc>
          <w:tcPr>
            <w:tcW w:w="17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Probability 2030</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Optimism Foundation</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~$15–30M/yr (modest)</w:t>
            </w:r>
          </w:p>
        </w:tc>
        <w:tc>
          <w:tcPr>
            <w:tcW w:w="1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Non-profit Foundation; RPGF funding alternative; OP Stack decentralisation mandate</w:t>
            </w:r>
          </w:p>
        </w:tc>
        <w:tc>
          <w:tcPr>
            <w:tcW w:w="3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Foundation alignment with decentralisation + alternative revenue sources. Most likely early adopter. OP Stack codebase adoption = multiplier effect across 50+ L2s.</w:t>
            </w:r>
          </w:p>
        </w:tc>
        <w:tc>
          <w:tcPr>
            <w:tcW w:w="1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~50%</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Offchain Labs (Arbitrum)</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~$43–73M/yr (material)</w:t>
            </w:r>
          </w:p>
        </w:tc>
        <w:tc>
          <w:tcPr>
            <w:tcW w:w="1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VC-backed; Arbitrum DAO governance; ARB token holders push for decentralisation</w:t>
            </w:r>
          </w:p>
        </w:tc>
        <w:tc>
          <w:tcPr>
            <w:tcW w:w="3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DAO governance creates internal pressure absent from Coinbase. Espresso Systems integration suggests preference for controlled decentralisation rather than L1 delegation.</w:t>
            </w:r>
          </w:p>
        </w:tc>
        <w:tc>
          <w:tcPr>
            <w:tcW w:w="1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Coinbase (Base)</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~$47–72M/yr (smallest as % of Coinbase total)</w:t>
            </w:r>
          </w:p>
        </w:tc>
        <w:tc>
          <w:tcPr>
            <w:tcW w:w="1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NYSE-listed; fiduciary duty to shareholders; Base revenue growing fast</w:t>
            </w:r>
          </w:p>
        </w:tc>
        <w:tc>
          <w:tcPr>
            <w:tcW w:w="3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Largest absolute revenue loss from sequencer revenue. Strongest fiduciary obligation to shareholders. Most likely to announce commitment to future roadmap while delaying implementation.</w:t>
            </w:r>
          </w:p>
        </w:tc>
        <w:tc>
          <w:tcPr>
            <w:tcW w:w="1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w:t>
            </w:r>
          </w:p>
        </w:tc>
      </w:tr>
    </w:tbl>
    <w:p>
      <w:pPr>
        <w:pStyle w:val="Normal"/>
        <w:spacing w:before="40" w:after="40"/>
        <w:rPr/>
      </w:pPr>
      <w:r>
        <w:rPr/>
      </w:r>
    </w:p>
    <w:tbl>
      <w:tblPr>
        <w:tblW w:w="7860" w:type="dxa"/>
        <w:jc w:val="left"/>
        <w:tblInd w:w="0" w:type="dxa"/>
        <w:tblLayout w:type="fixed"/>
        <w:tblCellMar>
          <w:top w:w="80" w:type="dxa"/>
          <w:left w:w="100" w:type="dxa"/>
          <w:bottom w:w="80" w:type="dxa"/>
          <w:right w:w="100" w:type="dxa"/>
        </w:tblCellMar>
      </w:tblPr>
      <w:tblGrid>
        <w:gridCol w:w="999"/>
        <w:gridCol w:w="2001"/>
        <w:gridCol w:w="900"/>
        <w:gridCol w:w="2100"/>
        <w:gridCol w:w="1860"/>
      </w:tblGrid>
      <w:tr>
        <w:trPr>
          <w:tblHeader w:val="true"/>
        </w:trPr>
        <w:tc>
          <w:tcPr>
            <w:tcW w:w="9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Scenario</w:t>
            </w:r>
          </w:p>
        </w:tc>
        <w:tc>
          <w:tcPr>
            <w:tcW w:w="20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Definition</w:t>
            </w:r>
          </w:p>
        </w:tc>
        <w:tc>
          <w:tcPr>
            <w:tcW w:w="9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Probability by 2030</w:t>
            </w:r>
          </w:p>
        </w:tc>
        <w:tc>
          <w:tcPr>
            <w:tcW w:w="21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Expected MAVAN additional revenue at $50K ETH</w:t>
            </w:r>
          </w:p>
        </w:tc>
        <w:tc>
          <w:tcPr>
            <w:tcW w:w="18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 uplift to MAVAN base yield</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No adoption</w:t>
            </w:r>
          </w:p>
        </w:tc>
        <w:tc>
          <w:tcPr>
            <w:tcW w:w="2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All three maintain centralised sequencers</w:t>
            </w:r>
          </w:p>
        </w:tc>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~32%</w:t>
            </w:r>
          </w:p>
        </w:tc>
        <w:tc>
          <w:tcPr>
            <w:tcW w:w="2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w:t>
            </w:r>
          </w:p>
        </w:tc>
        <w:tc>
          <w:tcPr>
            <w:tcW w:w="18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Partial — Optimism only by 2028</w:t>
            </w:r>
          </w:p>
        </w:tc>
        <w:tc>
          <w:tcPr>
            <w:tcW w:w="2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Most likely scenario</w:t>
            </w:r>
          </w:p>
        </w:tc>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~28%</w:t>
            </w:r>
          </w:p>
        </w:tc>
        <w:tc>
          <w:tcPr>
            <w:tcW w:w="2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$42–84M</w:t>
            </w:r>
          </w:p>
        </w:tc>
        <w:tc>
          <w:tcPr>
            <w:tcW w:w="18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0.4–0.8%</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Two L2s (Optimism + Arbitrum by 2030)</w:t>
            </w:r>
          </w:p>
        </w:tc>
        <w:tc>
          <w:tcPr>
            <w:tcW w:w="2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Intermediate scenario</w:t>
            </w:r>
          </w:p>
        </w:tc>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w:t>
            </w:r>
          </w:p>
        </w:tc>
        <w:tc>
          <w:tcPr>
            <w:tcW w:w="2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$130–260M</w:t>
            </w:r>
          </w:p>
        </w:tc>
        <w:tc>
          <w:tcPr>
            <w:tcW w:w="18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1.3–2.6%</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Full adoption — all three by 2030</w:t>
            </w:r>
          </w:p>
        </w:tc>
        <w:tc>
          <w:tcPr>
            <w:tcW w:w="2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Bull scenario</w:t>
            </w:r>
          </w:p>
        </w:tc>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w:t>
            </w:r>
          </w:p>
        </w:tc>
        <w:tc>
          <w:tcPr>
            <w:tcW w:w="2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$150–630M</w:t>
            </w:r>
          </w:p>
        </w:tc>
        <w:tc>
          <w:tcPr>
            <w:tcW w:w="18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1.5–3.0% (proportional to 6.3% MEV optimised)</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Probability-weighted expected value</w:t>
            </w:r>
          </w:p>
        </w:tc>
        <w:tc>
          <w:tcPr>
            <w:tcW w:w="2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100%</w:t>
            </w:r>
          </w:p>
        </w:tc>
        <w:tc>
          <w:tcPr>
            <w:tcW w:w="2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$17.8M (mid estimate)</w:t>
            </w:r>
          </w:p>
        </w:tc>
        <w:tc>
          <w:tcPr>
            <w:tcW w:w="18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~0.18–0.25%</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13.5d  Infrastructure Requirements: Not a Free Option</w:t>
      </w:r>
    </w:p>
    <w:p>
      <w:pPr>
        <w:pStyle w:val="Normal"/>
        <w:spacing w:before="60" w:after="80"/>
        <w:rPr/>
      </w:pPr>
      <w:r>
        <w:rPr>
          <w:rFonts w:eastAsia="Arial" w:cs="Arial"/>
          <w:sz w:val="20"/>
          <w:szCs w:val="20"/>
        </w:rPr>
        <w:t>Based rollup revenue is not passive. The block proposal selection component is genuinely proportional and automatic — but capturing the MEV outperformance premium that doubles per-block revenue requires active investment:</w:t>
      </w:r>
    </w:p>
    <w:p>
      <w:pPr>
        <w:pStyle w:val="Normal"/>
        <w:spacing w:before="40" w:after="40"/>
        <w:rPr/>
      </w:pPr>
      <w:r>
        <w:rPr/>
      </w:r>
    </w:p>
    <w:p>
      <w:pPr>
        <w:pStyle w:val="ListParagraph"/>
        <w:numPr>
          <w:ilvl w:val="0"/>
          <w:numId w:val="1"/>
        </w:numPr>
        <w:spacing w:before="40" w:after="40"/>
        <w:rPr/>
      </w:pPr>
      <w:r>
        <w:rPr>
          <w:rFonts w:eastAsia="Arial" w:cs="Arial"/>
          <w:sz w:val="20"/>
          <w:szCs w:val="20"/>
        </w:rPr>
        <w:t>Based rollup sequencer client software: Each based rollup chain requires dedicated sequencer software alongside the standard consensus client. Estimated cost: $500K–2M/year per supported chain covering DevOps, software updates, and server capacity. Taiko's preconformer role (which earns 15–30% additional revenue vs basic sequencing) requires this additional infrastructure.</w:t>
      </w:r>
    </w:p>
    <w:p>
      <w:pPr>
        <w:pStyle w:val="ListParagraph"/>
        <w:numPr>
          <w:ilvl w:val="0"/>
          <w:numId w:val="1"/>
        </w:numPr>
        <w:spacing w:before="40" w:after="40"/>
        <w:rPr/>
      </w:pPr>
      <w:r>
        <w:rPr>
          <w:rFonts w:eastAsia="Arial" w:cs="Arial"/>
          <w:sz w:val="20"/>
          <w:szCs w:val="20"/>
        </w:rPr>
        <w:t>MEV builder relationships: The 2x outperformance scenario requires direct relationships with top-tier MEV block builders (Flashbots, BeaverBuild, rsync) specialising in combined L1+L2 MEV extraction — not just accepting the highest public mev-boost bid. This requires business development and potentially co-location of infrastructure.</w:t>
      </w:r>
    </w:p>
    <w:p>
      <w:pPr>
        <w:pStyle w:val="ListParagraph"/>
        <w:numPr>
          <w:ilvl w:val="0"/>
          <w:numId w:val="1"/>
        </w:numPr>
        <w:spacing w:before="40" w:after="40"/>
        <w:rPr/>
      </w:pPr>
      <w:r>
        <w:rPr>
          <w:rFonts w:eastAsia="Arial" w:cs="Arial"/>
          <w:sz w:val="20"/>
          <w:szCs w:val="20"/>
        </w:rPr>
        <w:t>L2 team relationships: Being in the first validator cohort for any production-based rollup requires early engagement with L2 engineering teams, testnet participation, and technical committee involvement. This is pure business development, not passive.</w:t>
      </w:r>
    </w:p>
    <w:p>
      <w:pPr>
        <w:pStyle w:val="ListParagraph"/>
        <w:numPr>
          <w:ilvl w:val="0"/>
          <w:numId w:val="1"/>
        </w:numPr>
        <w:spacing w:before="40" w:after="40"/>
        <w:rPr/>
      </w:pPr>
      <w:r>
        <w:rPr>
          <w:rFonts w:eastAsia="Arial" w:cs="Arial"/>
          <w:sz w:val="20"/>
          <w:szCs w:val="20"/>
        </w:rPr>
        <w:t>Recommendation: MAVAN should begin the infrastructure and relationship investment now — in advance of major L2 adoption — at an estimated cost of $500K–2M/year. This is small relative to MAVAN's $196M annual revenue but establishes the builder relationships and technical capability that determine whether MAVAN captures the proportional or the outperformance scenario if adoption materialises.</w:t>
      </w:r>
    </w:p>
    <w:p>
      <w:pPr>
        <w:pStyle w:val="Normal"/>
        <w:spacing w:before="40" w:after="40"/>
        <w:rPr/>
      </w:pPr>
      <w:r>
        <w:rPr/>
      </w:r>
    </w:p>
    <w:p>
      <w:pPr>
        <w:pStyle w:val="Heading2"/>
        <w:spacing w:before="280" w:after="80"/>
        <w:rPr/>
      </w:pPr>
      <w:r>
        <w:rPr>
          <w:rFonts w:eastAsia="Arial" w:cs="Arial" w:ascii="Arial" w:hAnsi="Arial"/>
          <w:b/>
          <w:bCs/>
          <w:color w:val="2E75B6"/>
          <w:sz w:val="28"/>
          <w:szCs w:val="28"/>
        </w:rPr>
        <w:t>13.5e  New Risks from Sequencer Operation</w:t>
      </w:r>
    </w:p>
    <w:p>
      <w:pPr>
        <w:pStyle w:val="ListParagraph"/>
        <w:numPr>
          <w:ilvl w:val="0"/>
          <w:numId w:val="1"/>
        </w:numPr>
        <w:spacing w:before="40" w:after="40"/>
        <w:rPr/>
      </w:pPr>
      <w:r>
        <w:rPr>
          <w:rFonts w:eastAsia="Arial" w:cs="Arial"/>
          <w:sz w:val="20"/>
          <w:szCs w:val="20"/>
        </w:rPr>
        <w:t>L2 block equivocation: Based sequencing introduces a potential new slashing category beyond standard validator offenses. In Taiko's current implementation, equivocation is penalised by bond forfeiture (not L1 slashing), but future protocol evolution could create L1 slashing for L2 misbehaviour. At MAVAN's scale, a 0.1% slashing event on 3.33M ETH = $7.1M at current prices, scaling to $167M at $50,000 ETH. The restaking slashing risk analysis in Section 8.1 should be extended to cover based rollup equivocation risk.</w:t>
      </w:r>
    </w:p>
    <w:p>
      <w:pPr>
        <w:pStyle w:val="ListParagraph"/>
        <w:numPr>
          <w:ilvl w:val="0"/>
          <w:numId w:val="1"/>
        </w:numPr>
        <w:spacing w:before="40" w:after="40"/>
        <w:rPr/>
      </w:pPr>
      <w:r>
        <w:rPr>
          <w:rFonts w:eastAsia="Arial" w:cs="Arial"/>
          <w:sz w:val="20"/>
          <w:szCs w:val="20"/>
        </w:rPr>
        <w:t>Regulatory classification: Operating a based rollup sequencer may be classified differently from passive staking. A sequencer actively determines transaction ordering and has inclusion/exclusion discretion within its proposal slot. The SEC's history of treating transaction-ordering facilitation as potentially regulated activity creates non-trivial risk for BMNR as a US NYSE-listed company. BMNR should obtain a specific legal opinion before expanding sequencer operations at scale.</w:t>
      </w:r>
    </w:p>
    <w:p>
      <w:pPr>
        <w:pStyle w:val="ListParagraph"/>
        <w:numPr>
          <w:ilvl w:val="0"/>
          <w:numId w:val="1"/>
        </w:numPr>
        <w:spacing w:before="40" w:after="40"/>
        <w:rPr/>
      </w:pPr>
      <w:r>
        <w:rPr>
          <w:rFonts w:eastAsia="Arial" w:cs="Arial"/>
          <w:sz w:val="20"/>
          <w:szCs w:val="20"/>
        </w:rPr>
        <w:t>Conflict of interest policy: If BMNR acquires ARB or OP tokens while MAVAN operates as sequencer for Arbitrum or Optimism, the appearance of a conflict (sequencer could influence ordering to benefit held tokens) creates regulatory and reputational risk. Recommended policy addition: BMNR will not acquire significant positions in the native governance tokens of L2 networks where MAVAN operates as sequencer.</w:t>
      </w:r>
    </w:p>
    <w:p>
      <w:pPr>
        <w:pStyle w:val="Normal"/>
        <w:spacing w:before="40" w:after="40"/>
        <w:rPr/>
      </w:pPr>
      <w:r>
        <w:rPr/>
      </w:r>
    </w:p>
    <w:p>
      <w:pPr>
        <w:pStyle w:val="Normal"/>
        <w:spacing w:before="60" w:after="60"/>
        <w:rPr/>
      </w:pPr>
      <w:r>
        <w:rPr>
          <w:rFonts w:eastAsia="Arial" w:cs="Arial"/>
          <w:i/>
          <w:iCs/>
          <w:color w:val="777777"/>
          <w:sz w:val="18"/>
          <w:szCs w:val="18"/>
        </w:rPr>
        <w:t>v11 correction: The prior 100–300% based rollup uplift figure has been replaced with a corrected 1.5–3.0% (full adoption scenario) or 0.4–0.8% (most likely partial adoption scenario). The 3.98% stake share figure has been corrected to 9.5% (2026) declining to 5.7% (2030). The 'free option' characterisation has been corrected to 'positioned option' requiring $500K–2M/year per chain. These corrections do not diminish the strategic importance of based rollup positioning — MAVAN's absolute revenue upside at high ETH prices ($42–630M depending on adoption scenario and ETH price) remains meaningful — but they establish realistic expectations.</w:t>
      </w:r>
    </w:p>
    <w:p>
      <w:pPr>
        <w:pStyle w:val="Normal"/>
        <w:spacing w:before="40" w:after="40"/>
        <w:rPr/>
      </w:pPr>
      <w:r>
        <w:rPr/>
      </w:r>
    </w:p>
    <w:p>
      <w:pPr>
        <w:pStyle w:val="Heading2"/>
        <w:spacing w:before="280" w:after="80"/>
        <w:rPr/>
      </w:pPr>
      <w:r>
        <w:rPr>
          <w:rFonts w:eastAsia="Arial" w:cs="Arial" w:ascii="Arial" w:hAnsi="Arial"/>
          <w:b/>
          <w:bCs/>
          <w:color w:val="2E75B6"/>
          <w:sz w:val="28"/>
          <w:szCs w:val="28"/>
        </w:rPr>
        <w:t>13.6  What Needs to Be True for the ETH Deflation Thesis to Re-Activate</w:t>
      </w:r>
    </w:p>
    <w:p>
      <w:pPr>
        <w:pStyle w:val="Normal"/>
        <w:spacing w:before="60" w:after="80"/>
        <w:rPr/>
      </w:pPr>
      <w:r>
        <w:rPr>
          <w:rFonts w:eastAsia="Arial" w:cs="Arial"/>
          <w:sz w:val="20"/>
          <w:szCs w:val="20"/>
        </w:rPr>
        <w:t>Given the current mildly inflationary state of ETH, the following specific conditions need to materialise for the deflation thesis to support the forecast tables' bull-case ETH prices:</w:t>
      </w:r>
    </w:p>
    <w:p>
      <w:pPr>
        <w:pStyle w:val="Normal"/>
        <w:spacing w:before="40" w:after="40"/>
        <w:rPr/>
      </w:pPr>
      <w:r>
        <w:rPr/>
      </w:r>
    </w:p>
    <w:tbl>
      <w:tblPr>
        <w:tblW w:w="7360" w:type="dxa"/>
        <w:jc w:val="left"/>
        <w:tblInd w:w="0" w:type="dxa"/>
        <w:tblLayout w:type="fixed"/>
        <w:tblCellMar>
          <w:top w:w="80" w:type="dxa"/>
          <w:left w:w="100" w:type="dxa"/>
          <w:bottom w:w="80" w:type="dxa"/>
          <w:right w:w="100" w:type="dxa"/>
        </w:tblCellMar>
      </w:tblPr>
      <w:tblGrid>
        <w:gridCol w:w="1399"/>
        <w:gridCol w:w="2601"/>
        <w:gridCol w:w="800"/>
        <w:gridCol w:w="2559"/>
      </w:tblGrid>
      <w:tr>
        <w:trPr>
          <w:tblHeader w:val="true"/>
        </w:trPr>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Condition</w:t>
            </w:r>
          </w:p>
        </w:tc>
        <w:tc>
          <w:tcPr>
            <w:tcW w:w="26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What it requires</w:t>
            </w:r>
          </w:p>
        </w:tc>
        <w:tc>
          <w:tcPr>
            <w:tcW w:w="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Timeline</w:t>
            </w:r>
          </w:p>
        </w:tc>
        <w:tc>
          <w:tcPr>
            <w:tcW w:w="25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Probability by 2029</w:t>
            </w:r>
          </w:p>
        </w:tc>
      </w:tr>
      <w:tr>
        <w:trPr/>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Blob space saturation</w:t>
            </w:r>
          </w:p>
        </w:tc>
        <w:tc>
          <w:tcPr>
            <w:tcW w:w="26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L2 transaction volumes must grow to the point where blob space is consistently fully utilised. At full utilisation, blob fees rise exponentially (EIP-4844 target mechanism). With blob utilisation currently at 20–30%, this requires 3–5x growth in L2 transaction volume from current levels.</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2027–2029</w:t>
            </w:r>
          </w:p>
        </w:tc>
        <w:tc>
          <w:tcPr>
            <w:tcW w:w="2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Medium-high: L2 transaction count growing at 40%+ annually; agent economy and RWA settlement could accelerate this significantly</w:t>
            </w:r>
          </w:p>
        </w:tc>
      </w:tr>
      <w:tr>
        <w:trPr/>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EIP-7918 blob floor enforcement</w:t>
            </w:r>
          </w:p>
        </w:tc>
        <w:tc>
          <w:tcPr>
            <w:tcW w:w="26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EIP-7918 (live since Fusaka, December 2025) ensures L2s always pay a minimum blob fee. This alone generates ~$78M in additional annual ETH burn at current volumes — small but meaningful.</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Active now</w:t>
            </w:r>
          </w:p>
        </w:tc>
        <w:tc>
          <w:tcPr>
            <w:tcW w:w="2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High: already implemented; provides a structural floor even without saturation</w:t>
            </w:r>
          </w:p>
        </w:tc>
      </w:tr>
      <w:tr>
        <w:trPr/>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Glamsterdam L1 throughput increase</w:t>
            </w:r>
          </w:p>
        </w:tc>
        <w:tc>
          <w:tcPr>
            <w:tcW w:w="26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78.6% fee reduction + parallel tx processing could make L1 competitive again for some high-value transactions (RWA settlement, institutional DeFi). More L1 activity = more fee burn.</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H1 2026</w:t>
            </w:r>
          </w:p>
        </w:tc>
        <w:tc>
          <w:tcPr>
            <w:tcW w:w="2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Medium: fee reduction expands addressable market but lower per-tx fees mean volume must increase dramatically to offset</w:t>
            </w:r>
          </w:p>
        </w:tc>
      </w:tr>
      <w:tr>
        <w:trPr/>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Agent economy L1 settlement</w:t>
            </w:r>
          </w:p>
        </w:tc>
        <w:tc>
          <w:tcPr>
            <w:tcW w:w="26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AI agents processing $3–5T in commerce by 2030 will generate settlement volume. If even 5% of agent commerce requires L1 settlement (vs L2 execution), the gas burn contribution is material.</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2028–2030</w:t>
            </w:r>
          </w:p>
        </w:tc>
        <w:tc>
          <w:tcPr>
            <w:tcW w:w="2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Medium: depends on agent economy scaling faster than L2 absorption capacity</w:t>
            </w:r>
          </w:p>
        </w:tc>
      </w:tr>
      <w:tr>
        <w:trPr/>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Based rollup MEV redirect</w:t>
            </w:r>
          </w:p>
        </w:tc>
        <w:tc>
          <w:tcPr>
            <w:tcW w:w="26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If major L2s adopt based sequencing, L1 validators capture sequencer MEV — increasing staking yield but not going through EIP-1559 burn. Corrected probability: ~67% at least one major L2 by 2030, ~4% all three. Optimism most likely (~50% by 2030).</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2027–2030 for at least one</w:t>
            </w:r>
          </w:p>
        </w:tc>
        <w:tc>
          <w:tcPr>
            <w:tcW w:w="2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~67% for at least one major L2; ~4% for all three. Optimism Foundation is the most aligned; Coinbase/Base least likely near-term.</w:t>
            </w:r>
          </w:p>
        </w:tc>
      </w:tr>
    </w:tbl>
    <w:p>
      <w:pPr>
        <w:pStyle w:val="Normal"/>
        <w:spacing w:before="40" w:after="40"/>
        <w:rPr/>
      </w:pPr>
      <w:r>
        <w:rPr/>
      </w:r>
    </w:p>
    <w:p>
      <w:pPr>
        <w:pStyle w:val="Normal"/>
        <w:spacing w:before="60" w:after="80"/>
        <w:rPr/>
      </w:pPr>
      <w:r>
        <w:rPr>
          <w:rFonts w:eastAsia="Arial" w:cs="Arial"/>
          <w:sz w:val="20"/>
          <w:szCs w:val="20"/>
        </w:rPr>
        <w:t>The most likely path to ETH deflation re-activating: blob space saturation in 2027–2028 as L2 volumes compound, amplified by the blob fee floor from EIP-7918. This is consistent with the forecast tables' implied assumption that the bull cycle of 2027–2029 coincides with ETH returning to net deflationary dynamics. The risk is that L2 scaling efficiency (more blobs per block, cheaper data availability from competitors like Celestia) keeps outpacing L2 volume growth, preventing saturation.</w:t>
      </w:r>
    </w:p>
    <w:p>
      <w:pPr>
        <w:pStyle w:val="Normal"/>
        <w:spacing w:before="40" w:after="40"/>
        <w:rPr/>
      </w:pPr>
      <w:r>
        <w:rPr/>
      </w:r>
    </w:p>
    <w:p>
      <w:pPr>
        <w:pStyle w:val="Heading2"/>
        <w:spacing w:before="280" w:after="80"/>
        <w:rPr/>
      </w:pPr>
      <w:r>
        <w:rPr>
          <w:rFonts w:eastAsia="Arial" w:cs="Arial" w:ascii="Arial" w:hAnsi="Arial"/>
          <w:b/>
          <w:bCs/>
          <w:color w:val="2E75B6"/>
          <w:sz w:val="28"/>
          <w:szCs w:val="28"/>
        </w:rPr>
        <w:t>13.7  Implications for BMNR Investors</w:t>
      </w:r>
    </w:p>
    <w:p>
      <w:pPr>
        <w:pStyle w:val="Normal"/>
        <w:spacing w:before="60" w:after="80"/>
        <w:rPr/>
      </w:pPr>
      <w:r>
        <w:rPr>
          <w:rFonts w:eastAsia="Arial" w:cs="Arial"/>
          <w:sz w:val="20"/>
          <w:szCs w:val="20"/>
        </w:rPr>
        <w:t>Translating the L1/L2 analysis into specific BMNR investment considerations:</w:t>
      </w:r>
    </w:p>
    <w:p>
      <w:pPr>
        <w:pStyle w:val="Normal"/>
        <w:spacing w:before="40" w:after="40"/>
        <w:rPr/>
      </w:pPr>
      <w:r>
        <w:rPr/>
      </w:r>
    </w:p>
    <w:p>
      <w:pPr>
        <w:pStyle w:val="ListParagraph"/>
        <w:numPr>
          <w:ilvl w:val="0"/>
          <w:numId w:val="1"/>
        </w:numPr>
        <w:spacing w:before="40" w:after="40"/>
        <w:rPr/>
      </w:pPr>
      <w:r>
        <w:rPr>
          <w:rFonts w:eastAsia="Arial" w:cs="Arial"/>
          <w:sz w:val="20"/>
          <w:szCs w:val="20"/>
        </w:rPr>
        <w:t>Monitor blob utilisation monthly. When blob space consistently exceeds 70–80% utilisation, the deflation thesis is re-activating and the bull-case ETH prices in the forecast tables become more defensible. Currently at 20–30% — the thesis requires this number to triple before deflation is structural.</w:t>
      </w:r>
    </w:p>
    <w:p>
      <w:pPr>
        <w:pStyle w:val="ListParagraph"/>
        <w:numPr>
          <w:ilvl w:val="0"/>
          <w:numId w:val="1"/>
        </w:numPr>
        <w:spacing w:before="40" w:after="40"/>
        <w:rPr/>
      </w:pPr>
      <w:r>
        <w:rPr>
          <w:rFonts w:eastAsia="Arial" w:cs="Arial"/>
          <w:sz w:val="20"/>
          <w:szCs w:val="20"/>
        </w:rPr>
        <w:t>MAVAN is partially insulated from L1 fee burn collapse. Staking yield comes from block issuance (stable) + priority fees (variable with L1 activity) + MEV (partly driven by L2 arbitrage activity). Even in a low-burn environment, MAVAN continues to generate yield. BMNR's NAV is more sensitive to ETH price than to L1 burn rates directly.</w:t>
      </w:r>
    </w:p>
    <w:p>
      <w:pPr>
        <w:pStyle w:val="ListParagraph"/>
        <w:numPr>
          <w:ilvl w:val="0"/>
          <w:numId w:val="1"/>
        </w:numPr>
        <w:spacing w:before="40" w:after="40"/>
        <w:rPr/>
      </w:pPr>
      <w:r>
        <w:rPr>
          <w:rFonts w:eastAsia="Arial" w:cs="Arial"/>
          <w:sz w:val="20"/>
          <w:szCs w:val="20"/>
        </w:rPr>
        <w:t>Based rollup adoption is a positioned option — not a free one — requiring ~$500K–2M/year per chain in infrastructure investment to capture the MEV outperformance premium. The passive component (proportional block selection) is automatic; the 2x outperformance scenario requires dedicated sequencer software and builder relationships. The expected value of this option is $3.6–17.8M annually at current ETH prices, rising to $17.8M–175M+ at ETH $25,000–50,000 depending on adoption scenario. Not in any current forecast table (A, B, C, or D).</w:t>
      </w:r>
    </w:p>
    <w:p>
      <w:pPr>
        <w:pStyle w:val="ListParagraph"/>
        <w:numPr>
          <w:ilvl w:val="0"/>
          <w:numId w:val="1"/>
        </w:numPr>
        <w:spacing w:before="40" w:after="40"/>
        <w:rPr/>
      </w:pPr>
      <w:r>
        <w:rPr>
          <w:rFonts w:eastAsia="Arial" w:cs="Arial"/>
          <w:sz w:val="20"/>
          <w:szCs w:val="20"/>
        </w:rPr>
        <w:t>The ETH-as-collateral thesis is the more reliable near-term anchor. Institutions holding ETH for RWA collateral, stablecoin reserves, and DeFi liquidity do not require ETH to be deflationary — they require it to be liquid, trusted, and legally clear. This thesis is supported by current institutional adoption data regardless of L1/L2 fee dynamics.</w:t>
      </w:r>
    </w:p>
    <w:p>
      <w:pPr>
        <w:pStyle w:val="ListParagraph"/>
        <w:numPr>
          <w:ilvl w:val="0"/>
          <w:numId w:val="1"/>
        </w:numPr>
        <w:spacing w:before="40" w:after="40"/>
        <w:rPr/>
      </w:pPr>
      <w:r>
        <w:rPr>
          <w:rFonts w:eastAsia="Arial" w:cs="Arial"/>
          <w:sz w:val="20"/>
          <w:szCs w:val="20"/>
        </w:rPr>
        <w:t>The critical year to watch is 2027–2028. This is when blob utilisation should approach saturation (if the L2 growth thesis is correct), when the Glamsterdam upgrade has had time to show whether lower L1 fees generate higher L1 volume, and when the agent economy starts generating material L1 settlement demand. If blob utilisation is still below 50% by end-2027, the deflation thesis timeline needs to shift right, and the 2029 peak ETH prices in the forecast tables should be reduced accordingly.</w:t>
      </w:r>
    </w:p>
    <w:p>
      <w:pPr>
        <w:pStyle w:val="Normal"/>
        <w:spacing w:before="40" w:after="40"/>
        <w:rPr/>
      </w:pPr>
      <w:r>
        <w:rPr/>
      </w:r>
    </w:p>
    <w:p>
      <w:pPr>
        <w:pStyle w:val="Normal"/>
        <w:spacing w:before="60" w:after="60"/>
        <w:rPr/>
      </w:pPr>
      <w:r>
        <w:rPr>
          <w:rFonts w:eastAsia="Arial" w:cs="Arial"/>
          <w:i/>
          <w:iCs/>
          <w:color w:val="777777"/>
          <w:sz w:val="18"/>
          <w:szCs w:val="18"/>
        </w:rPr>
        <w:t>v11 update — Section 13.5 corrected: (1) MAVAN's validator stake share corrected from 3.98% (total ETH supply) to 9.5% (staked ETH, declining to 5.7% by 2030); (2) based rollup yield uplift corrected from 100–300% to 1.5–3.0% in full adoption scenario; (3) positioned option characterisation replaces free option; (4) adoption probability tables by operator added; (5) three new risks from sequencer operation added. Core message unchanged: ETH is currently mildly inflationary (+0.23% annualised); blob saturation or based rollup adoption needed to re-activate deflation thesis; based rollups represent a real but correctly-sized MAVAN revenue option. Not investment advice.</w:t>
      </w:r>
    </w:p>
    <w:p>
      <w:pPr>
        <w:pStyle w:val="Normal"/>
        <w:rPr/>
      </w:pPr>
      <w:r>
        <w:rPr/>
      </w:r>
      <w:r>
        <w:br w:type="page"/>
      </w:r>
    </w:p>
    <w:p>
      <w:pPr>
        <w:pStyle w:val="Heading1"/>
        <w:spacing w:before="0" w:after="120"/>
        <w:rPr/>
      </w:pPr>
      <w:r>
        <w:rPr>
          <w:rFonts w:eastAsia="Arial" w:cs="Arial" w:ascii="Arial" w:hAnsi="Arial"/>
          <w:b/>
          <w:bCs/>
          <w:color w:val="1F3864"/>
          <w:sz w:val="36"/>
          <w:szCs w:val="36"/>
        </w:rPr>
        <w:t>14.  Table A — Price Derivation Methodology and Assumptions</w:t>
      </w:r>
    </w:p>
    <w:p>
      <w:pPr>
        <w:pStyle w:val="Normal"/>
        <w:spacing w:before="60" w:after="80"/>
        <w:rPr/>
      </w:pPr>
      <w:r>
        <w:rPr>
          <w:rFonts w:eastAsia="Arial" w:cs="Arial"/>
          <w:sz w:val="20"/>
          <w:szCs w:val="20"/>
        </w:rPr>
        <w:t>This section documents the exact formula, inputs, and assumptions behind every share price in Table A (Section 9.1). All other forecast tables (B, C, D, E) use the same formula — they differ only in their mNAV multiples and, in Tables B and C, the Beast/ORBS upside applied to other assets.</w:t>
      </w:r>
    </w:p>
    <w:p>
      <w:pPr>
        <w:pStyle w:val="Normal"/>
        <w:spacing w:before="40" w:after="40"/>
        <w:rPr/>
      </w:pPr>
      <w:r>
        <w:rPr/>
      </w:r>
    </w:p>
    <w:p>
      <w:pPr>
        <w:pStyle w:val="Heading2"/>
        <w:spacing w:before="280" w:after="80"/>
        <w:rPr/>
      </w:pPr>
      <w:r>
        <w:rPr>
          <w:rFonts w:eastAsia="Arial" w:cs="Arial" w:ascii="Arial" w:hAnsi="Arial"/>
          <w:b/>
          <w:bCs/>
          <w:color w:val="2E75B6"/>
          <w:sz w:val="28"/>
          <w:szCs w:val="28"/>
        </w:rPr>
        <w:t>14.1  The Formula</w:t>
      </w:r>
    </w:p>
    <w:p>
      <w:pPr>
        <w:pStyle w:val="Normal"/>
        <w:spacing w:before="60" w:after="80"/>
        <w:rPr/>
      </w:pPr>
      <w:r>
        <w:rPr>
          <w:rFonts w:eastAsia="Arial" w:cs="Arial"/>
          <w:sz w:val="20"/>
          <w:szCs w:val="20"/>
        </w:rPr>
        <w:t>Every share price in Table A is derived from a single three-step calculation:</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600"/>
        <w:gridCol w:w="2199"/>
        <w:gridCol w:w="5561"/>
      </w:tblGrid>
      <w:tr>
        <w:trPr>
          <w:tblHeader w:val="true"/>
        </w:trPr>
        <w:tc>
          <w:tcPr>
            <w:tcW w:w="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Step</w:t>
            </w:r>
          </w:p>
        </w:tc>
        <w:tc>
          <w:tcPr>
            <w:tcW w:w="2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Operation</w:t>
            </w:r>
          </w:p>
        </w:tc>
        <w:tc>
          <w:tcPr>
            <w:tcW w:w="556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Formula</w:t>
            </w:r>
          </w:p>
        </w:tc>
      </w:tr>
      <w:tr>
        <w:trPr/>
        <w:tc>
          <w:tcPr>
            <w:tcW w:w="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Calculate Net Asset Value (NAV)</w:t>
            </w:r>
          </w:p>
        </w:tc>
        <w:tc>
          <w:tcPr>
            <w:tcW w:w="55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NAV = (ETH_holdings × ETH_price) + Other_assets</w:t>
            </w:r>
          </w:p>
        </w:tc>
      </w:tr>
      <w:tr>
        <w:trPr/>
        <w:tc>
          <w:tcPr>
            <w:tcW w:w="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Apply mNAV multiple to get implied market cap</w:t>
            </w:r>
          </w:p>
        </w:tc>
        <w:tc>
          <w:tcPr>
            <w:tcW w:w="55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Market_cap = NAV × mNAV</w:t>
            </w:r>
          </w:p>
        </w:tc>
      </w:tr>
      <w:tr>
        <w:trPr/>
        <w:tc>
          <w:tcPr>
            <w:tcW w:w="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3</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Divide by share count to get price per share</w:t>
            </w:r>
          </w:p>
        </w:tc>
        <w:tc>
          <w:tcPr>
            <w:tcW w:w="55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Price = Market_cap ÷ Shares</w:t>
            </w:r>
          </w:p>
        </w:tc>
      </w:tr>
    </w:tbl>
    <w:p>
      <w:pPr>
        <w:pStyle w:val="Normal"/>
        <w:spacing w:before="40" w:after="40"/>
        <w:rPr/>
      </w:pPr>
      <w:r>
        <w:rPr/>
      </w:r>
    </w:p>
    <w:p>
      <w:pPr>
        <w:pStyle w:val="Normal"/>
        <w:spacing w:before="60" w:after="80"/>
        <w:rPr/>
      </w:pPr>
      <w:r>
        <w:rPr>
          <w:rFonts w:eastAsia="Arial" w:cs="Arial"/>
          <w:sz w:val="20"/>
          <w:szCs w:val="20"/>
        </w:rPr>
        <w:t>Combined into one line: Price = (ETH_holdings × ETH_price + Other_assets) × mNAV ÷ Shares</w:t>
      </w:r>
    </w:p>
    <w:p>
      <w:pPr>
        <w:pStyle w:val="Normal"/>
        <w:spacing w:before="40" w:after="40"/>
        <w:rPr/>
      </w:pPr>
      <w:r>
        <w:rPr/>
      </w:r>
    </w:p>
    <w:p>
      <w:pPr>
        <w:pStyle w:val="Normal"/>
        <w:spacing w:before="60" w:after="80"/>
        <w:rPr/>
      </w:pPr>
      <w:r>
        <w:rPr>
          <w:rFonts w:eastAsia="Arial" w:cs="Arial"/>
          <w:sz w:val="20"/>
          <w:szCs w:val="20"/>
        </w:rPr>
        <w:t>Example — 2030 base case step by step:</w:t>
      </w:r>
    </w:p>
    <w:tbl>
      <w:tblPr>
        <w:tblW w:w="8360" w:type="dxa"/>
        <w:jc w:val="left"/>
        <w:tblInd w:w="0" w:type="dxa"/>
        <w:tblLayout w:type="fixed"/>
        <w:tblCellMar>
          <w:top w:w="80" w:type="dxa"/>
          <w:left w:w="100" w:type="dxa"/>
          <w:bottom w:w="80" w:type="dxa"/>
          <w:right w:w="100" w:type="dxa"/>
        </w:tblCellMar>
      </w:tblPr>
      <w:tblGrid>
        <w:gridCol w:w="600"/>
        <w:gridCol w:w="4200"/>
        <w:gridCol w:w="3560"/>
      </w:tblGrid>
      <w:tr>
        <w:trPr>
          <w:tblHeader w:val="true"/>
        </w:trPr>
        <w:tc>
          <w:tcPr>
            <w:tcW w:w="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Step</w:t>
            </w:r>
          </w:p>
        </w:tc>
        <w:tc>
          <w:tcPr>
            <w:tcW w:w="42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Calculation</w:t>
            </w:r>
          </w:p>
        </w:tc>
        <w:tc>
          <w:tcPr>
            <w:tcW w:w="35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Result</w:t>
            </w:r>
          </w:p>
        </w:tc>
      </w:tr>
      <w:tr>
        <w:trPr/>
        <w:tc>
          <w:tcPr>
            <w:tcW w:w="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 — NAV</w:t>
            </w:r>
          </w:p>
        </w:tc>
        <w:tc>
          <w:tcPr>
            <w:tcW w:w="4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4,800,000 ETH × $50,000 = $240.0B  +  $1.5B other assets</w:t>
            </w:r>
          </w:p>
        </w:tc>
        <w:tc>
          <w:tcPr>
            <w:tcW w:w="3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$241.5B total NAV</w:t>
            </w:r>
          </w:p>
        </w:tc>
      </w:tr>
      <w:tr>
        <w:trPr/>
        <w:tc>
          <w:tcPr>
            <w:tcW w:w="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 — Market cap</w:t>
            </w:r>
          </w:p>
        </w:tc>
        <w:tc>
          <w:tcPr>
            <w:tcW w:w="4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$241.5B × 2.8x mNAV</w:t>
            </w:r>
          </w:p>
        </w:tc>
        <w:tc>
          <w:tcPr>
            <w:tcW w:w="3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$676.2B implied market cap</w:t>
            </w:r>
          </w:p>
        </w:tc>
      </w:tr>
      <w:tr>
        <w:trPr/>
        <w:tc>
          <w:tcPr>
            <w:tcW w:w="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3 — Price</w:t>
            </w:r>
          </w:p>
        </w:tc>
        <w:tc>
          <w:tcPr>
            <w:tcW w:w="4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$676.2B ÷ 468M shares</w:t>
            </w:r>
          </w:p>
        </w:tc>
        <w:tc>
          <w:tcPr>
            <w:tcW w:w="3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$1,445 per share</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14.2  Fixed Input 1 — ETH Holdings (4,800,000 ETH)</w:t>
      </w:r>
    </w:p>
    <w:p>
      <w:pPr>
        <w:pStyle w:val="Normal"/>
        <w:spacing w:before="60" w:after="80"/>
        <w:rPr/>
      </w:pPr>
      <w:r>
        <w:rPr>
          <w:rFonts w:eastAsia="Arial" w:cs="Arial"/>
          <w:sz w:val="20"/>
          <w:szCs w:val="20"/>
        </w:rPr>
        <w:t>Source: BMNR 8-K filed April 9, 2026, states 4.803M ETH as of April 6, 2026. Rounded to 4.8M for calculation simplicity. The model holds ETH holdings constant throughout the 10-year forecast — this is a conservative assumption since BMNR is still accumulating toward its 5% of supply target (6.03M ETH). If BMNR issues shares to acquire more ETH, both ETH holdings and share count rise simultaneously, making the per-share impact approximately neutral at issuance above mNAV.</w:t>
      </w:r>
    </w:p>
    <w:p>
      <w:pPr>
        <w:pStyle w:val="Normal"/>
        <w:spacing w:before="40" w:after="40"/>
        <w:rPr/>
      </w:pPr>
      <w:r>
        <w:rPr/>
      </w:r>
    </w:p>
    <w:p>
      <w:pPr>
        <w:pStyle w:val="Heading2"/>
        <w:spacing w:before="280" w:after="80"/>
        <w:rPr/>
      </w:pPr>
      <w:r>
        <w:rPr>
          <w:rFonts w:eastAsia="Arial" w:cs="Arial" w:ascii="Arial" w:hAnsi="Arial"/>
          <w:b/>
          <w:bCs/>
          <w:color w:val="2E75B6"/>
          <w:sz w:val="28"/>
          <w:szCs w:val="28"/>
        </w:rPr>
        <w:t>14.3  Fixed Input 2 — Other Assets ($1.5B)</w:t>
      </w:r>
    </w:p>
    <w:p>
      <w:pPr>
        <w:pStyle w:val="Normal"/>
        <w:spacing w:before="60" w:after="80"/>
        <w:rPr/>
      </w:pPr>
      <w:r>
        <w:rPr>
          <w:rFonts w:eastAsia="Arial" w:cs="Arial"/>
          <w:sz w:val="20"/>
          <w:szCs w:val="20"/>
        </w:rPr>
        <w:t>Four components:</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1400"/>
        <w:gridCol w:w="899"/>
        <w:gridCol w:w="2600"/>
        <w:gridCol w:w="3460"/>
      </w:tblGrid>
      <w:tr>
        <w:trPr>
          <w:tblHeader w:val="true"/>
        </w:trPr>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Asset</w:t>
            </w:r>
          </w:p>
        </w:tc>
        <w:tc>
          <w:tcPr>
            <w:tcW w:w="8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Value</w:t>
            </w:r>
          </w:p>
        </w:tc>
        <w:tc>
          <w:tcPr>
            <w:tcW w:w="2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Source</w:t>
            </w:r>
          </w:p>
        </w:tc>
        <w:tc>
          <w:tcPr>
            <w:tcW w:w="34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Year-by-year treatment</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Beast Industries equity</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$200M</w:t>
            </w:r>
          </w:p>
        </w:tc>
        <w:tc>
          <w:tcPr>
            <w:tcW w:w="2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Book value per BMNR disclosures</w:t>
            </w:r>
          </w:p>
        </w:tc>
        <w:tc>
          <w:tcPr>
            <w:tcW w:w="34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Held constant at book. Upside (MrBeast Financial launch, IPO) modelled separately in Tables B and C.</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Eightco / ORBS stake</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$107M</w:t>
            </w:r>
          </w:p>
        </w:tc>
        <w:tc>
          <w:tcPr>
            <w:tcW w:w="2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Book value as of Apr 2026 (~$90M OpenAI preferred + ~$25M Beast)</w:t>
            </w:r>
          </w:p>
        </w:tc>
        <w:tc>
          <w:tcPr>
            <w:tcW w:w="34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Held at book. OpenAI IPO upside modelled in Tables B and C.</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BTC holdings</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$14M</w:t>
            </w:r>
          </w:p>
        </w:tc>
        <w:tc>
          <w:tcPr>
            <w:tcW w:w="2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199 BTC × ~$70,000</w:t>
            </w:r>
          </w:p>
        </w:tc>
        <w:tc>
          <w:tcPr>
            <w:tcW w:w="34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Held constant. Small relative to ETH position.</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Cash (residual)</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~$1.2B</w:t>
            </w:r>
          </w:p>
        </w:tc>
        <w:tc>
          <w:tcPr>
            <w:tcW w:w="2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Starts at $864M cash; MAVAN yield ($196M/yr) partially replenishes as buybacks consume it</w:t>
            </w:r>
          </w:p>
        </w:tc>
        <w:tc>
          <w:tcPr>
            <w:tcW w:w="34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Blended estimate — not modelled year-by-year. The $1.5B total is stable through the forecast period as an approximation.</w:t>
            </w:r>
          </w:p>
        </w:tc>
      </w:tr>
    </w:tbl>
    <w:p>
      <w:pPr>
        <w:pStyle w:val="Normal"/>
        <w:spacing w:before="40" w:after="40"/>
        <w:rPr/>
      </w:pPr>
      <w:r>
        <w:rPr/>
      </w:r>
    </w:p>
    <w:p>
      <w:pPr>
        <w:pStyle w:val="Normal"/>
        <w:spacing w:before="60" w:after="80"/>
        <w:rPr/>
      </w:pPr>
      <w:r>
        <w:rPr>
          <w:rFonts w:eastAsia="Arial" w:cs="Arial"/>
          <w:sz w:val="20"/>
          <w:szCs w:val="20"/>
        </w:rPr>
        <w:t>The other assets component is dominant only at very low ETH prices. At ETH $6,200 (2026 base), the ETH component is $29.8B and other assets represent 5% of NAV. At ETH $50,000 (2030 base), the ETH component is $240.0B and other assets represent 0.6% of NAV. Even a 10x realisation on Beast ($200M → $2B) adds only ~$4/share in 2030 — which is why Tables A, B, and C produce similar numbers.</w:t>
      </w:r>
    </w:p>
    <w:p>
      <w:pPr>
        <w:pStyle w:val="Normal"/>
        <w:spacing w:before="40" w:after="40"/>
        <w:rPr/>
      </w:pPr>
      <w:r>
        <w:rPr/>
      </w:r>
    </w:p>
    <w:p>
      <w:pPr>
        <w:pStyle w:val="Heading2"/>
        <w:spacing w:before="280" w:after="80"/>
        <w:rPr/>
      </w:pPr>
      <w:r>
        <w:rPr>
          <w:rFonts w:eastAsia="Arial" w:cs="Arial" w:ascii="Arial" w:hAnsi="Arial"/>
          <w:b/>
          <w:bCs/>
          <w:color w:val="2E75B6"/>
          <w:sz w:val="28"/>
          <w:szCs w:val="28"/>
        </w:rPr>
        <w:t>14.4  Variable Input 1 — ETH Price Scenarios</w:t>
      </w:r>
    </w:p>
    <w:p>
      <w:pPr>
        <w:pStyle w:val="Normal"/>
        <w:spacing w:before="60" w:after="80"/>
        <w:rPr/>
      </w:pPr>
      <w:r>
        <w:rPr>
          <w:rFonts w:eastAsia="Arial" w:cs="Arial"/>
          <w:sz w:val="20"/>
          <w:szCs w:val="20"/>
        </w:rPr>
        <w:t>The bear/base/bull ETH prices for each year are judgement-based forecasts built from three inputs, not back-fitted to produce a target share price:</w:t>
      </w:r>
    </w:p>
    <w:p>
      <w:pPr>
        <w:pStyle w:val="Normal"/>
        <w:spacing w:before="40" w:after="40"/>
        <w:rPr/>
      </w:pPr>
      <w:r>
        <w:rPr/>
      </w:r>
    </w:p>
    <w:p>
      <w:pPr>
        <w:pStyle w:val="ListParagraph"/>
        <w:numPr>
          <w:ilvl w:val="0"/>
          <w:numId w:val="1"/>
        </w:numPr>
        <w:spacing w:before="40" w:after="40"/>
        <w:rPr/>
      </w:pPr>
      <w:r>
        <w:rPr>
          <w:rFonts w:eastAsia="Arial" w:cs="Arial"/>
          <w:sz w:val="20"/>
          <w:szCs w:val="20"/>
        </w:rPr>
        <w:t>BTC halving cycle timing: April 2028 is the next halving. Historical pattern across three cycles (2012→2013, 2016→2017, 2020→2021) shows ETH peaks arriving 12–18 months post-halving. Therefore 2029 is modelled as the peak year, and 2028 is the halving year / early bull acceleration phase — not the peak. This is the v6 correction to prior versions which labelled 2028 as 'Halving Peak.'</w:t>
      </w:r>
    </w:p>
    <w:p>
      <w:pPr>
        <w:pStyle w:val="ListParagraph"/>
        <w:numPr>
          <w:ilvl w:val="0"/>
          <w:numId w:val="1"/>
        </w:numPr>
        <w:spacing w:before="40" w:after="40"/>
        <w:rPr/>
      </w:pPr>
      <w:r>
        <w:rPr>
          <w:rFonts w:eastAsia="Arial" w:cs="Arial"/>
          <w:sz w:val="20"/>
          <w:szCs w:val="20"/>
        </w:rPr>
        <w:t>Structural demand drivers (Section 5.1): Three genuinely independent ETH price drivers are modelled additively — RWA tokenization (BCG $16T by 2030, ETH at 50% market share = $8T), SWF sovereign allocation (~$120B at 1% of $12T total SWF assets), and agentic AI gas demand (McKinsey $3–5T agent commerce by 2030). Four categories of tailwind that look like ETH price drivers but aren't are explicitly excluded from the price model: enabling conditions (CLARITY Act, GENIUS Act, Fed cuts — these unlock other drivers but are not independent demand), sub-components already captured (DePIN, SWIFT migration), and BMNR equity catalysts (buyback, MAVAN yield, index inclusion) which affect mNAV, not ETH price.</w:t>
      </w:r>
    </w:p>
    <w:p>
      <w:pPr>
        <w:pStyle w:val="ListParagraph"/>
        <w:numPr>
          <w:ilvl w:val="0"/>
          <w:numId w:val="1"/>
        </w:numPr>
        <w:spacing w:before="40" w:after="40"/>
        <w:rPr/>
      </w:pPr>
      <w:r>
        <w:rPr>
          <w:rFonts w:eastAsia="Arial" w:cs="Arial"/>
          <w:sz w:val="20"/>
          <w:szCs w:val="20"/>
        </w:rPr>
        <w:t>Gold narrative treated as scenario modifier only: Tom Lee's thesis that ETH could capture 0.1–1% of gold's $18T market cap ($1,500–15,000/ETH additional) is not embedded in the base case ETH prices. It appears as bull-case upside only because one data point (Iran war outperformance) does not confirm a sustained regime change.</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560"/>
        <w:gridCol w:w="899"/>
        <w:gridCol w:w="6901"/>
      </w:tblGrid>
      <w:tr>
        <w:trPr>
          <w:tblHeader w:val="true"/>
        </w:trPr>
        <w:tc>
          <w:tcPr>
            <w:tcW w:w="5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Year</w:t>
            </w:r>
          </w:p>
        </w:tc>
        <w:tc>
          <w:tcPr>
            <w:tcW w:w="8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Bull ETH (20%)</w:t>
            </w:r>
          </w:p>
        </w:tc>
        <w:tc>
          <w:tcPr>
            <w:tcW w:w="69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Rationale for Bull scenario price</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2026</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$6,200</w:t>
            </w:r>
          </w:p>
        </w:tc>
        <w:tc>
          <w:tcPr>
            <w:tcW w:w="6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CLARITY Act passage triggers institutional buying. ETH recovering from $2,123 current level. SWF allocation policy windows opening but not yet deployed. Early agent gas demand beginning.</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2027</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$16,000</w:t>
            </w:r>
          </w:p>
        </w:tc>
        <w:tc>
          <w:tcPr>
            <w:tcW w:w="6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BTC halving 12 months away — historically a strong bull acceleration phase. SWF initial allocations ($20–40B deployed). Agent commerce approaching $1T. RWA on ETH approaching $500B.</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2028</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$27,000</w:t>
            </w:r>
          </w:p>
        </w:tc>
        <w:tc>
          <w:tcPr>
            <w:tcW w:w="6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BTC halving occurs April 2028 — inflection, not peak. RWA $2–4T. L1 scarcity premium emerging. Institutional allocations fully deployed from 2027. High-velocity phase.</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2029</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$36,000</w:t>
            </w:r>
          </w:p>
        </w:tc>
        <w:tc>
          <w:tcPr>
            <w:tcW w:w="6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Post-halving peak (12–18 month lag from April 2028 halving → peak ~mid-to-late 2029). SWF $80–120B deployed. McKinsey $2–4T agent commerce. Stablecoin yield ban clarified; MAVAN premium expanding.</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2030</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$50,000</w:t>
            </w:r>
          </w:p>
        </w:tc>
        <w:tc>
          <w:tcPr>
            <w:tcW w:w="6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Consolidation above peak. BCG $16T RWA (bear=$4T); agent $3–5T; ETH deflationary -0.8–1.2% net if blob saturation occurs. SWF/pension allocated. Institutional base established.</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2031</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$36,000</w:t>
            </w:r>
          </w:p>
        </w:tc>
        <w:tc>
          <w:tcPr>
            <w:tcW w:w="6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Post-peak correction. Historical correction depth: -60–80% from peak. $36,000 implies -28% from 2030 base — a mild correction assuming institutional demand provides a structural floor absent in prior cycles.</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2032</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$46,000</w:t>
            </w:r>
          </w:p>
        </w:tc>
        <w:tc>
          <w:tcPr>
            <w:tcW w:w="6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Second BTC halving base year. RWA maturation, restaking institutionalised, agent economy fully mainstream.</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2033</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$67,000</w:t>
            </w:r>
          </w:p>
        </w:tc>
        <w:tc>
          <w:tcPr>
            <w:tcW w:w="6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Second post-halving peak. BCG $30T+ RWA scenario. Agent economy $5–10T. ETH as permanent financial settlement layer.</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2034</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$82,000</w:t>
            </w:r>
          </w:p>
        </w:tc>
        <w:tc>
          <w:tcPr>
            <w:tcW w:w="6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Post-2033 consolidation. Long-term structural floor from RWA + agent permanent demand.</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2035</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$67,000</w:t>
            </w:r>
          </w:p>
        </w:tc>
        <w:tc>
          <w:tcPr>
            <w:tcW w:w="6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Maturity era. ETH valued as yield-bearing global settlement layer. Price reflects sustained institutional hold, not peak speculation.</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14.5  Variable Input 2 — mNAV Multiples (the Most Subjective Assumption)</w:t>
      </w:r>
    </w:p>
    <w:p>
      <w:pPr>
        <w:pStyle w:val="Normal"/>
        <w:spacing w:before="60" w:after="80"/>
        <w:rPr/>
      </w:pPr>
      <w:r>
        <w:rPr>
          <w:rFonts w:eastAsia="Arial" w:cs="Arial"/>
          <w:sz w:val="20"/>
          <w:szCs w:val="20"/>
        </w:rPr>
        <w:t>mNAV is the ratio of BMNR's market capitalisation to its Net Asset Value — it is what the market pays above the underlying ETH value. This is entirely separate from the ETH price. mNAV can compress even as ETH rises (if investors lose confidence in BMNR's premium) or expand even as ETH falls (if BMNR's institutional recognition grows). It is the most subjective input in the model and the one investors should scrutinise most carefully.</w:t>
      </w:r>
    </w:p>
    <w:p>
      <w:pPr>
        <w:pStyle w:val="Normal"/>
        <w:spacing w:before="40" w:after="40"/>
        <w:rPr/>
      </w:pPr>
      <w:r>
        <w:rPr/>
      </w:r>
    </w:p>
    <w:p>
      <w:pPr>
        <w:pStyle w:val="Normal"/>
        <w:spacing w:before="60" w:after="80"/>
        <w:rPr/>
      </w:pPr>
      <w:r>
        <w:rPr>
          <w:rFonts w:eastAsia="Arial" w:cs="Arial"/>
          <w:sz w:val="20"/>
          <w:szCs w:val="20"/>
        </w:rPr>
        <w:t>mNAV is calibrated from two anchors:</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1600"/>
        <w:gridCol w:w="1199"/>
        <w:gridCol w:w="5561"/>
      </w:tblGrid>
      <w:tr>
        <w:trPr>
          <w:tblHeader w:val="true"/>
        </w:trPr>
        <w:tc>
          <w:tcPr>
            <w:tcW w:w="1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Peer / Reference</w:t>
            </w:r>
          </w:p>
        </w:tc>
        <w:tc>
          <w:tcPr>
            <w:tcW w:w="1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mNAV range</w:t>
            </w:r>
          </w:p>
        </w:tc>
        <w:tc>
          <w:tcPr>
            <w:tcW w:w="556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What it tells us</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MSTR (MicroStrategy)</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Peak 3.3x (2021); current 1.5–2.0x</w:t>
            </w:r>
          </w:p>
        </w:tc>
        <w:tc>
          <w:tcPr>
            <w:tcW w:w="55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Only company to sustain 3x+ mNAV. Had first-mover monopoly on BTC treasury narrative with no yield. Peak was brief; average sustained premium ~1.5–2.5x.</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MARA (Marathon Digital)</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1.2–2.2x across cycles</w:t>
            </w:r>
          </w:p>
        </w:tc>
        <w:tc>
          <w:tcPr>
            <w:tcW w:w="55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Mixed treasury + operational model. Lower premium than pure-narrative play but higher than pure mining company.</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GBTC / ETHE (pre-spot-ETF)</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30% to −50% (discount to NAV)</w:t>
            </w:r>
          </w:p>
        </w:tc>
        <w:tc>
          <w:tcPr>
            <w:tcW w:w="55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Closed-end fund structure with no redemption mechanism. Shows that crypto treasury vehicles CAN trade at deep discounts when institutional access or redemption mechanism is absent.</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BMNR current</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0.78x mNAV</w:t>
            </w:r>
          </w:p>
        </w:tc>
        <w:tc>
          <w:tcPr>
            <w:tcW w:w="55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Consistent with post-uplisting newness, pre-CLARITY uncertainty, pre-index inclusion. Not a distressed discount — a structural lag.</w:t>
            </w:r>
          </w:p>
        </w:tc>
      </w:tr>
    </w:tbl>
    <w:p>
      <w:pPr>
        <w:pStyle w:val="Normal"/>
        <w:spacing w:before="40" w:after="40"/>
        <w:rPr/>
      </w:pPr>
      <w:r>
        <w:rPr/>
      </w:r>
    </w:p>
    <w:p>
      <w:pPr>
        <w:pStyle w:val="Normal"/>
        <w:spacing w:before="60" w:after="80"/>
        <w:rPr/>
      </w:pPr>
      <w:r>
        <w:rPr>
          <w:rFonts w:eastAsia="Arial" w:cs="Arial"/>
          <w:sz w:val="20"/>
          <w:szCs w:val="20"/>
        </w:rPr>
        <w:t>The five-tier mNAV framework (Section 6.5) maps each tier to the specific catalysts that justify it:</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900"/>
        <w:gridCol w:w="1399"/>
        <w:gridCol w:w="3400"/>
        <w:gridCol w:w="2660"/>
      </w:tblGrid>
      <w:tr>
        <w:trPr>
          <w:tblHeader w:val="true"/>
        </w:trPr>
        <w:tc>
          <w:tcPr>
            <w:tcW w:w="9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mNAV range</w:t>
            </w:r>
          </w:p>
        </w:tc>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Tier label</w:t>
            </w:r>
          </w:p>
        </w:tc>
        <w:tc>
          <w:tcPr>
            <w:tcW w:w="3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Conditions required</w:t>
            </w:r>
          </w:p>
        </w:tc>
        <w:tc>
          <w:tcPr>
            <w:tcW w:w="26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Years in Table A</w:t>
            </w:r>
          </w:p>
        </w:tc>
      </w:tr>
      <w:tr>
        <w:trPr/>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Sub-1.0x</w:t>
            </w:r>
          </w:p>
        </w:tc>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Structural discount</w:t>
            </w:r>
          </w:p>
        </w:tc>
        <w:tc>
          <w:tcPr>
            <w:tcW w:w="3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Current reality: NYSE uplisting newness, CLARITY uncertainty, no index inclusion yet</w:t>
            </w:r>
          </w:p>
        </w:tc>
        <w:tc>
          <w:tcPr>
            <w:tcW w:w="2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Today (0.78x); Table E 2026 bear (0.75x)</w:t>
            </w:r>
          </w:p>
        </w:tc>
      </w:tr>
      <w:tr>
        <w:trPr/>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0.95–1.25x</w:t>
            </w:r>
          </w:p>
        </w:tc>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NAV parity</w:t>
            </w:r>
          </w:p>
        </w:tc>
        <w:tc>
          <w:tcPr>
            <w:tcW w:w="3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Discount closed: Russell 3000 inclusion triggered, first dividend paid, CLARITY signed. No institutional premium yet.</w:t>
            </w:r>
          </w:p>
        </w:tc>
        <w:tc>
          <w:tcPr>
            <w:tcW w:w="26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r>
      <w:tr>
        <w:trPr/>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1.25–1.75x</w:t>
            </w:r>
          </w:p>
        </w:tc>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Infrastructure premium</w:t>
            </w:r>
          </w:p>
        </w:tc>
        <w:tc>
          <w:tcPr>
            <w:tcW w:w="3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MAVAN-as-a-Service generating third-party revenue; valued on earnings multiple, not just NAV. ETH $3K–10K.</w:t>
            </w:r>
          </w:p>
        </w:tc>
        <w:tc>
          <w:tcPr>
            <w:tcW w:w="2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2026 bear (1.5x)</w:t>
            </w:r>
          </w:p>
        </w:tc>
      </w:tr>
      <w:tr>
        <w:trPr/>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1.75–2.50x</w:t>
            </w:r>
          </w:p>
        </w:tc>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Growth premium</w:t>
            </w:r>
          </w:p>
        </w:tc>
        <w:tc>
          <w:tcPr>
            <w:tcW w:w="3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RWA thesis materialising; SWF allocations confirmed; MAVAN revenue scaling toward $1B. Institutional recognition established.</w:t>
            </w:r>
          </w:p>
        </w:tc>
        <w:tc>
          <w:tcPr>
            <w:tcW w:w="26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2026 base (1.9x) through 2028 base (2.6x)</w:t>
            </w:r>
          </w:p>
        </w:tc>
      </w:tr>
      <w:tr>
        <w:trPr/>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2.50–3.20x</w:t>
            </w:r>
          </w:p>
        </w:tc>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Macro SoV premium</w:t>
            </w:r>
          </w:p>
        </w:tc>
        <w:tc>
          <w:tcPr>
            <w:tcW w:w="3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as gold alternative narrative captures institutional imagination; SWF mandates fully deployed; ETH deflationary. Hard ceiling: 3.20x.</w:t>
            </w:r>
          </w:p>
        </w:tc>
        <w:tc>
          <w:tcPr>
            <w:tcW w:w="2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2030 bull (3.0x) — only the bull scenario approaches this ceiling</w:t>
            </w:r>
          </w:p>
        </w:tc>
      </w:tr>
    </w:tbl>
    <w:p>
      <w:pPr>
        <w:pStyle w:val="Normal"/>
        <w:spacing w:before="40" w:after="40"/>
        <w:rPr/>
      </w:pPr>
      <w:r>
        <w:rPr/>
      </w:r>
    </w:p>
    <w:p>
      <w:pPr>
        <w:pStyle w:val="Normal"/>
        <w:spacing w:before="60" w:after="80"/>
        <w:rPr/>
      </w:pPr>
      <w:r>
        <w:rPr>
          <w:rFonts w:eastAsia="Arial" w:cs="Arial"/>
          <w:sz w:val="20"/>
          <w:szCs w:val="20"/>
        </w:rPr>
        <w:t>Year-by-year mNAV rationale for Bull scenario (20% probability) — the former document base case. Base scenario (45%) uses lower mNAV throughout:</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560"/>
        <w:gridCol w:w="899"/>
        <w:gridCol w:w="6901"/>
      </w:tblGrid>
      <w:tr>
        <w:trPr>
          <w:tblHeader w:val="true"/>
        </w:trPr>
        <w:tc>
          <w:tcPr>
            <w:tcW w:w="5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Year</w:t>
            </w:r>
          </w:p>
        </w:tc>
        <w:tc>
          <w:tcPr>
            <w:tcW w:w="8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Base mNAV</w:t>
            </w:r>
          </w:p>
        </w:tc>
        <w:tc>
          <w:tcPr>
            <w:tcW w:w="69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Rationale</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2026</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1.9x</w:t>
            </w:r>
          </w:p>
        </w:tc>
        <w:tc>
          <w:tcPr>
            <w:tcW w:w="6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CLARITY passes, Russell 3000 inclusion triggers ~$1B+ passive buying, first dividend paid. Discount closes rapidly. Reaches infrastructure premium tier.</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2027</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2.3x</w:t>
            </w:r>
          </w:p>
        </w:tc>
        <w:tc>
          <w:tcPr>
            <w:tcW w:w="6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Bull market building, MAVAN revenue scaling, SWF initial allocations. Growth premium tier.</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2028</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2.6x</w:t>
            </w:r>
          </w:p>
        </w:tc>
        <w:tc>
          <w:tcPr>
            <w:tcW w:w="6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Halving year enthusiasm, RWA $2–4T on ETH, MAVAN earning ~$539M at base ETH. High end of growth premium. Held below 2.9x because stablecoin yield competition (9–14% peak, Section 11.8) compresses the yield premium simultaneously.</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2029</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2.6x</w:t>
            </w:r>
          </w:p>
        </w:tc>
        <w:tc>
          <w:tcPr>
            <w:tcW w:w="6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Post-halving peak — mNAV held flat vs 2028 despite higher ETH price because stablecoin yield competition is most acute this year (10–16% H1). The expanded mNAV from ETH price momentum is partially offset by yield compression.</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2030</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2.8x</w:t>
            </w:r>
          </w:p>
        </w:tc>
        <w:tc>
          <w:tcPr>
            <w:tcW w:w="6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Consolidation. Institutional base established, BCG $16T RWA thesis visible, stablecoin yields normalising (3–6%). Approaching macro SoV premium tier but not yet there.</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2031</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2.2x</w:t>
            </w:r>
          </w:p>
        </w:tc>
        <w:tc>
          <w:tcPr>
            <w:tcW w:w="6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Post-peak correction. mNAV compresses as cycle turns and leverage unwinds. Historical reference: MSTR fell from 3.3x to &lt;1.0x in 2022. 2.2x assumes a partial compression — structural floor provided by MAVAN yield and institutional holders absent in MSTR's 2022 correction.</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2032</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2.3x</w:t>
            </w:r>
          </w:p>
        </w:tc>
        <w:tc>
          <w:tcPr>
            <w:tcW w:w="6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Second cycle base year. mNAV rebuilds as BTC halving approaches. Similar to 2027.</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2033</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2.6x</w:t>
            </w:r>
          </w:p>
        </w:tc>
        <w:tc>
          <w:tcPr>
            <w:tcW w:w="6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Second post-halving peak. Same ceiling as first cycle — by second cycle the multiple is more established and less volatile.</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2034</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2.6x</w:t>
            </w:r>
          </w:p>
        </w:tc>
        <w:tc>
          <w:tcPr>
            <w:tcW w:w="69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Post-2033 consolidation. Same as 2034 in the original framework — second cycle consolidates at similar levels to first.</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2035</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2.5x</w:t>
            </w:r>
          </w:p>
        </w:tc>
        <w:tc>
          <w:tcPr>
            <w:tcW w:w="69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Maturity era. Infrastructure permanently valued; speculative premium lower than cycle peak. Slight decline from 2034 as the narrative matures.</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14.6  Variable Input 3 — Share Count (460–468M, Stable)</w:t>
      </w:r>
    </w:p>
    <w:p>
      <w:pPr>
        <w:pStyle w:val="Normal"/>
        <w:spacing w:before="60" w:after="80"/>
        <w:rPr/>
      </w:pPr>
      <w:r>
        <w:rPr>
          <w:rFonts w:eastAsia="Arial" w:cs="Arial"/>
          <w:sz w:val="20"/>
          <w:szCs w:val="20"/>
        </w:rPr>
        <w:t>Share count is the v12 correction — the most important modelling fix in the document. Prior versions used a declining trajectory (460M→400M) that implicitly assumed the full $4B buyback authorization would be deployed. The correct model produces a stable share count because buyback capacity is cash-flow constrained, not authorization-constrained.</w:t>
      </w:r>
    </w:p>
    <w:p>
      <w:pPr>
        <w:pStyle w:val="Normal"/>
        <w:spacing w:before="40" w:after="40"/>
        <w:rPr/>
      </w:pPr>
      <w:r>
        <w:rPr/>
      </w:r>
    </w:p>
    <w:tbl>
      <w:tblPr>
        <w:tblW w:w="7360" w:type="dxa"/>
        <w:jc w:val="left"/>
        <w:tblInd w:w="0" w:type="dxa"/>
        <w:tblLayout w:type="fixed"/>
        <w:tblCellMar>
          <w:top w:w="80" w:type="dxa"/>
          <w:left w:w="100" w:type="dxa"/>
          <w:bottom w:w="80" w:type="dxa"/>
          <w:right w:w="100" w:type="dxa"/>
        </w:tblCellMar>
      </w:tblPr>
      <w:tblGrid>
        <w:gridCol w:w="1999"/>
        <w:gridCol w:w="1800"/>
        <w:gridCol w:w="1801"/>
        <w:gridCol w:w="1759"/>
      </w:tblGrid>
      <w:tr>
        <w:trPr>
          <w:tblHeader w:val="true"/>
        </w:trPr>
        <w:tc>
          <w:tcPr>
            <w:tcW w:w="19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Component</w:t>
            </w:r>
          </w:p>
        </w:tc>
        <w:tc>
          <w:tcPr>
            <w:tcW w:w="1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Annual impact</w:t>
            </w:r>
          </w:p>
        </w:tc>
        <w:tc>
          <w:tcPr>
            <w:tcW w:w="18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Cumulative by 2030</w:t>
            </w:r>
          </w:p>
        </w:tc>
        <w:tc>
          <w:tcPr>
            <w:tcW w:w="17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Direction</w:t>
            </w:r>
          </w:p>
        </w:tc>
      </w:tr>
      <w:tr>
        <w:trPr/>
        <w:tc>
          <w:tcPr>
            <w:tcW w:w="1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Near-term cash buyback: $719M ÷ $22.14/share</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~32M shares retired immediately in 2026 (cash reduced to $719M)</w:t>
            </w:r>
          </w:p>
        </w:tc>
        <w:tc>
          <w:tcPr>
            <w:tcW w:w="1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41M</w:t>
            </w:r>
          </w:p>
        </w:tc>
        <w:tc>
          <w:tcPr>
            <w:tcW w:w="1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Retirement</w:t>
            </w:r>
          </w:p>
        </w:tc>
      </w:tr>
      <w:tr>
        <w:trPr/>
        <w:tc>
          <w:tcPr>
            <w:tcW w:w="1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Ongoing buyback from MAVAN FCF (~50% of yield)</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~$98M/yr at current ETH prices = ~4.4M shares/yr at $22.14. Fewer shares per year as BMNR price rises.</w:t>
            </w:r>
          </w:p>
        </w:tc>
        <w:tc>
          <w:tcPr>
            <w:tcW w:w="18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~−19M (2027–2030)</w:t>
            </w:r>
          </w:p>
        </w:tc>
        <w:tc>
          <w:tcPr>
            <w:tcW w:w="17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Retirement</w:t>
            </w:r>
          </w:p>
        </w:tc>
      </w:tr>
      <w:tr>
        <w:trPr/>
        <w:tc>
          <w:tcPr>
            <w:tcW w:w="1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New equity issuance for ETH accumulation (toward 5% target)</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~8–10M new shares/yr in 2026–2027; ~5M in 2028; zero after 5% target</w:t>
            </w:r>
          </w:p>
        </w:tc>
        <w:tc>
          <w:tcPr>
            <w:tcW w:w="1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~+23M</w:t>
            </w:r>
          </w:p>
        </w:tc>
        <w:tc>
          <w:tcPr>
            <w:tcW w:w="1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Dilution</w:t>
            </w:r>
          </w:p>
        </w:tc>
      </w:tr>
      <w:tr>
        <w:trPr/>
        <w:tc>
          <w:tcPr>
            <w:tcW w:w="1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Net change</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Issuance approximately offsets buyback pace in early years; net near-zero from 2028 onward</w:t>
            </w:r>
          </w:p>
        </w:tc>
        <w:tc>
          <w:tcPr>
            <w:tcW w:w="18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~−37M net by 2030 (454M→approximately 468M, slight drift then flat)</w:t>
            </w:r>
          </w:p>
        </w:tc>
        <w:tc>
          <w:tcPr>
            <w:tcW w:w="17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Near-flat</w:t>
            </w:r>
          </w:p>
        </w:tc>
      </w:tr>
    </w:tbl>
    <w:p>
      <w:pPr>
        <w:pStyle w:val="Normal"/>
        <w:spacing w:before="40" w:after="40"/>
        <w:rPr/>
      </w:pPr>
      <w:r>
        <w:rPr/>
      </w:r>
    </w:p>
    <w:p>
      <w:pPr>
        <w:pStyle w:val="Normal"/>
        <w:spacing w:before="60" w:after="80"/>
        <w:rPr/>
      </w:pPr>
      <w:r>
        <w:rPr>
          <w:rFonts w:eastAsia="Arial" w:cs="Arial"/>
          <w:sz w:val="20"/>
          <w:szCs w:val="20"/>
        </w:rPr>
        <w:t>The apparent paradox — share count drifts slightly upward from 460M to 468M before stabilising — is explained by the early-year issuance for ETH accumulation exceeding the buyback pace. Once the 5% ETH target is reached, both stop and the share count becomes genuinely flat. At higher ETH prices, MAVAN earns more dollars but BMNR's share price also rises proportionally, so fewer shares are retired per dollar of buyback — the self-limiting effect that makes the share count trajectory nearly flat regardless of ETH price.</w:t>
      </w:r>
    </w:p>
    <w:p>
      <w:pPr>
        <w:pStyle w:val="Normal"/>
        <w:spacing w:before="40" w:after="40"/>
        <w:rPr/>
      </w:pPr>
      <w:r>
        <w:rPr/>
      </w:r>
    </w:p>
    <w:p>
      <w:pPr>
        <w:pStyle w:val="Heading2"/>
        <w:spacing w:before="280" w:after="80"/>
        <w:rPr/>
      </w:pPr>
      <w:r>
        <w:rPr>
          <w:rFonts w:eastAsia="Arial" w:cs="Arial" w:ascii="Arial" w:hAnsi="Arial"/>
          <w:b/>
          <w:bCs/>
          <w:color w:val="2E75B6"/>
          <w:sz w:val="28"/>
          <w:szCs w:val="28"/>
        </w:rPr>
        <w:t>14.7  What the Formula Deliberately Excludes</w:t>
      </w:r>
    </w:p>
    <w:p>
      <w:pPr>
        <w:pStyle w:val="ListParagraph"/>
        <w:numPr>
          <w:ilvl w:val="0"/>
          <w:numId w:val="1"/>
        </w:numPr>
        <w:spacing w:before="40" w:after="40"/>
        <w:rPr/>
      </w:pPr>
      <w:r>
        <w:rPr>
          <w:rFonts w:eastAsia="Arial" w:cs="Arial"/>
          <w:sz w:val="20"/>
          <w:szCs w:val="20"/>
        </w:rPr>
        <w:t>MAVAN staking yield ($196M/yr) is excluded from NAV. Adding it to NAV and simultaneously using an elevated mNAV (which itself reflects MAVAN's earnings quality) would double-count the same value. Staking yield justifies the higher mNAV multiple and appears in the SOTP floor analysis (Section 6.3). It is not a balance sheet asset to be added to NAV.</w:t>
      </w:r>
    </w:p>
    <w:p>
      <w:pPr>
        <w:pStyle w:val="ListParagraph"/>
        <w:numPr>
          <w:ilvl w:val="0"/>
          <w:numId w:val="1"/>
        </w:numPr>
        <w:spacing w:before="40" w:after="40"/>
        <w:rPr/>
      </w:pPr>
      <w:r>
        <w:rPr>
          <w:rFonts w:eastAsia="Arial" w:cs="Arial"/>
          <w:sz w:val="20"/>
          <w:szCs w:val="20"/>
        </w:rPr>
        <w:t>Future debt. BMNR currently has minimal disclosed debt. Any debt taken on to fund buybacks or ETH accumulation reduces NAV by the liability amount and would require the model to be updated.</w:t>
      </w:r>
    </w:p>
    <w:p>
      <w:pPr>
        <w:pStyle w:val="ListParagraph"/>
        <w:numPr>
          <w:ilvl w:val="0"/>
          <w:numId w:val="1"/>
        </w:numPr>
        <w:spacing w:before="40" w:after="40"/>
        <w:rPr/>
      </w:pPr>
      <w:r>
        <w:rPr>
          <w:rFonts w:eastAsia="Arial" w:cs="Arial"/>
          <w:sz w:val="20"/>
          <w:szCs w:val="20"/>
        </w:rPr>
        <w:t>Restaking slashing risk. The model values all 4.8M ETH at full mark-to-market. ETH pledged as restaking collateral carries correlated slashing risk not reflected in the spot price. In a worst-case EigenLayer cascade event, the effective ETH value would be lower than the model assumes.</w:t>
      </w:r>
    </w:p>
    <w:p>
      <w:pPr>
        <w:pStyle w:val="ListParagraph"/>
        <w:numPr>
          <w:ilvl w:val="0"/>
          <w:numId w:val="1"/>
        </w:numPr>
        <w:spacing w:before="40" w:after="40"/>
        <w:rPr/>
      </w:pPr>
      <w:r>
        <w:rPr>
          <w:rFonts w:eastAsia="Arial" w:cs="Arial"/>
          <w:sz w:val="20"/>
          <w:szCs w:val="20"/>
        </w:rPr>
        <w:t>Beast and ORBS upside. Other assets are held at book value throughout Table A. The OpenAI IPO scenario (ORBS $92M → potentially $500M+) and the MrBeast Financial launch (Beast $200M → potentially $2–8B) are the incremental catalysts modelled in Tables B and C. Even at their most optimistic values, these would add $5–20/share to the 2030 base — a small fraction of the total.</w:t>
      </w:r>
    </w:p>
    <w:p>
      <w:pPr>
        <w:pStyle w:val="ListParagraph"/>
        <w:numPr>
          <w:ilvl w:val="0"/>
          <w:numId w:val="1"/>
        </w:numPr>
        <w:spacing w:before="40" w:after="40"/>
        <w:rPr/>
      </w:pPr>
      <w:r>
        <w:rPr>
          <w:rFonts w:eastAsia="Arial" w:cs="Arial"/>
          <w:sz w:val="20"/>
          <w:szCs w:val="20"/>
        </w:rPr>
        <w:t>Dilution from large future equity raises. The model assumes no equity raises beyond what is needed to reach the 5% ETH target. Any large below-mNAV issuance (for acquisitions, debt refinancing, or other purposes) would reduce per-share NAV.</w:t>
      </w:r>
    </w:p>
    <w:p>
      <w:pPr>
        <w:pStyle w:val="Normal"/>
        <w:spacing w:before="40" w:after="40"/>
        <w:rPr/>
      </w:pPr>
      <w:r>
        <w:rPr/>
      </w:r>
    </w:p>
    <w:p>
      <w:pPr>
        <w:pStyle w:val="Heading2"/>
        <w:spacing w:before="280" w:after="80"/>
        <w:rPr/>
      </w:pPr>
      <w:r>
        <w:rPr>
          <w:rFonts w:eastAsia="Arial" w:cs="Arial" w:ascii="Arial" w:hAnsi="Arial"/>
          <w:b/>
          <w:bCs/>
          <w:color w:val="2E75B6"/>
          <w:sz w:val="28"/>
          <w:szCs w:val="28"/>
        </w:rPr>
        <w:t>14.8  Sensitivity Analysis — 2030 Bull Case ($1,445) and Base Case ($715)</w:t>
      </w:r>
    </w:p>
    <w:p>
      <w:pPr>
        <w:pStyle w:val="Normal"/>
        <w:spacing w:before="60" w:after="80"/>
        <w:rPr/>
      </w:pPr>
      <w:r>
        <w:rPr>
          <w:rFonts w:eastAsia="Arial" w:cs="Arial"/>
          <w:sz w:val="20"/>
          <w:szCs w:val="20"/>
        </w:rPr>
        <w:t>The table below shows how the 2030 Bull scenario share price of $1,445 responds to changes in each individual input, and to combined stress scenarios:</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2200"/>
        <w:gridCol w:w="1000"/>
        <w:gridCol w:w="800"/>
        <w:gridCol w:w="4359"/>
      </w:tblGrid>
      <w:tr>
        <w:trPr>
          <w:tblHeader w:val="true"/>
        </w:trPr>
        <w:tc>
          <w:tcPr>
            <w:tcW w:w="22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Change applied</w:t>
            </w:r>
          </w:p>
        </w:tc>
        <w:tc>
          <w:tcPr>
            <w:tcW w:w="1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Revised price</w:t>
            </w:r>
          </w:p>
        </w:tc>
        <w:tc>
          <w:tcPr>
            <w:tcW w:w="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 change</w:t>
            </w:r>
          </w:p>
        </w:tc>
        <w:tc>
          <w:tcPr>
            <w:tcW w:w="43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Interpretation</w:t>
            </w:r>
          </w:p>
        </w:tc>
      </w:tr>
      <w:tr>
        <w:trPr/>
        <w:tc>
          <w:tcPr>
            <w:tcW w:w="2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price −10% ($45,000)</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$1,301</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10.0%</w:t>
            </w:r>
          </w:p>
        </w:tc>
        <w:tc>
          <w:tcPr>
            <w:tcW w:w="43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price is the dominant variable — near-linear relationship because ETH NAV dominates other assets at high prices</w:t>
            </w:r>
          </w:p>
        </w:tc>
      </w:tr>
      <w:tr>
        <w:trPr/>
        <w:tc>
          <w:tcPr>
            <w:tcW w:w="2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price −20% ($40,000)</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$1,158</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19.9%</w:t>
            </w:r>
          </w:p>
        </w:tc>
        <w:tc>
          <w:tcPr>
            <w:tcW w:w="43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Proportional — confirms linear relationship</w:t>
            </w:r>
          </w:p>
        </w:tc>
      </w:tr>
      <w:tr>
        <w:trPr/>
        <w:tc>
          <w:tcPr>
            <w:tcW w:w="2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price −30% ($35,000)</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$1,014</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29.8%</w:t>
            </w:r>
          </w:p>
        </w:tc>
        <w:tc>
          <w:tcPr>
            <w:tcW w:w="43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Proportional</w:t>
            </w:r>
          </w:p>
        </w:tc>
      </w:tr>
      <w:tr>
        <w:trPr/>
        <w:tc>
          <w:tcPr>
            <w:tcW w:w="2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mNAV −0.5x (2.8x → 2.3x)</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$1,187</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17.9%</w:t>
            </w:r>
          </w:p>
        </w:tc>
        <w:tc>
          <w:tcPr>
            <w:tcW w:w="43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mNAV is the second most important variable; larger moves than ETH % for the same % step</w:t>
            </w:r>
          </w:p>
        </w:tc>
      </w:tr>
      <w:tr>
        <w:trPr/>
        <w:tc>
          <w:tcPr>
            <w:tcW w:w="2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mNAV −1.0x (2.8x → 1.8x)</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$929</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35.7%</w:t>
            </w:r>
          </w:p>
        </w:tc>
        <w:tc>
          <w:tcPr>
            <w:tcW w:w="43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Significant — this is the range of mNAV compression in a post-cycle correction</w:t>
            </w:r>
          </w:p>
        </w:tc>
      </w:tr>
      <w:tr>
        <w:trPr/>
        <w:tc>
          <w:tcPr>
            <w:tcW w:w="2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mNAV −1.5x (2.8x → 1.3x)</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$671</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53.6%</w:t>
            </w:r>
          </w:p>
        </w:tc>
        <w:tc>
          <w:tcPr>
            <w:tcW w:w="43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Severe — approaching Table D territory</w:t>
            </w:r>
          </w:p>
        </w:tc>
      </w:tr>
      <w:tr>
        <w:trPr/>
        <w:tc>
          <w:tcPr>
            <w:tcW w:w="2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Shares +20M (468M → 488M)</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$1,386</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4.1%</w:t>
            </w:r>
          </w:p>
        </w:tc>
        <w:tc>
          <w:tcPr>
            <w:tcW w:w="43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Share count is the least important variable — small effect even for large changes</w:t>
            </w:r>
          </w:p>
        </w:tc>
      </w:tr>
      <w:tr>
        <w:trPr/>
        <w:tc>
          <w:tcPr>
            <w:tcW w:w="2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Shares −20M (468M → 448M)</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$1,509</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+4.4%</w:t>
            </w:r>
          </w:p>
        </w:tc>
        <w:tc>
          <w:tcPr>
            <w:tcW w:w="43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Symmetric and small</w:t>
            </w:r>
          </w:p>
        </w:tc>
      </w:tr>
      <w:tr>
        <w:trPr/>
        <w:tc>
          <w:tcPr>
            <w:tcW w:w="2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−20% AND mNAV −0.5x</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$951</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34.2%</w:t>
            </w:r>
          </w:p>
        </w:tc>
        <w:tc>
          <w:tcPr>
            <w:tcW w:w="43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Combined stress — the typical correction-year scenario</w:t>
            </w:r>
          </w:p>
        </w:tc>
      </w:tr>
      <w:tr>
        <w:trPr/>
        <w:tc>
          <w:tcPr>
            <w:tcW w:w="2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−30% AND mNAV −1.0x</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$652</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54.9%</w:t>
            </w:r>
          </w:p>
        </w:tc>
        <w:tc>
          <w:tcPr>
            <w:tcW w:w="43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Severe combined stress — approaching Table D genuine bear outcome</w:t>
            </w:r>
          </w:p>
        </w:tc>
      </w:tr>
      <w:tr>
        <w:trPr/>
        <w:tc>
          <w:tcPr>
            <w:tcW w:w="2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−30% AND mNAV −1.5x</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$451</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68.8%</w:t>
            </w:r>
          </w:p>
        </w:tc>
        <w:tc>
          <w:tcPr>
            <w:tcW w:w="43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Extreme — equivalent to CLARITY Act failure scenario (Table E)</w:t>
            </w:r>
          </w:p>
        </w:tc>
      </w:tr>
    </w:tbl>
    <w:p>
      <w:pPr>
        <w:pStyle w:val="Normal"/>
        <w:spacing w:before="40" w:after="40"/>
        <w:rPr/>
      </w:pPr>
      <w:r>
        <w:rPr/>
      </w:r>
    </w:p>
    <w:p>
      <w:pPr>
        <w:pStyle w:val="Normal"/>
        <w:spacing w:before="60" w:after="80"/>
        <w:rPr/>
      </w:pPr>
      <w:r>
        <w:rPr>
          <w:rFonts w:eastAsia="Arial" w:cs="Arial"/>
          <w:sz w:val="20"/>
          <w:szCs w:val="20"/>
        </w:rPr>
        <w:t>The sensitivity analysis reveals the structure of BMNR's risk profile. ETH price drives returns almost linearly (BMNR is essentially a leveraged ETH vehicle). mNAV is the second driver and is responsible for the amplification above simple ETH price exposure — the reason an investor buys BMNR rather than spot ETH. Share count has minimal influence. The most dangerous scenario is simultaneous ETH price and mNAV compression (the double-compression identified in the no-CLARITY analysis and in the mNAV simultaneous stress risk) — which is what makes CLARITY Act failure and end-of-cycle mNAV compression the two risks that most materially threaten the investment thesis.</w:t>
      </w:r>
    </w:p>
    <w:p>
      <w:pPr>
        <w:pStyle w:val="Normal"/>
        <w:spacing w:before="40" w:after="40"/>
        <w:rPr/>
      </w:pPr>
      <w:r>
        <w:rPr/>
      </w:r>
    </w:p>
    <w:p>
      <w:pPr>
        <w:pStyle w:val="Normal"/>
        <w:spacing w:before="60" w:after="60"/>
        <w:rPr/>
      </w:pPr>
      <w:r>
        <w:rPr>
          <w:rFonts w:eastAsia="Arial" w:cs="Arial"/>
          <w:i/>
          <w:iCs/>
          <w:color w:val="777777"/>
          <w:sz w:val="18"/>
          <w:szCs w:val="18"/>
        </w:rPr>
        <w:t>This section documents the Table A methodology as of v14 (April 13, 2026). The formula is consistent across all versions; what has changed across versions is the input calibration — particularly the ETH price assumptions (v6: halving phase labels corrected; v8: L1 fee burn current reality acknowledged), the mNAV framework (v5: aNAV and SOTP floor added), and the share count (v12: $4B authorization vs funded capacity correction). Not investment advice.</w:t>
      </w:r>
    </w:p>
    <w:p>
      <w:pPr>
        <w:pStyle w:val="Normal"/>
        <w:rPr/>
      </w:pPr>
      <w:r>
        <w:rPr/>
      </w:r>
      <w:r>
        <w:br w:type="page"/>
      </w:r>
    </w:p>
    <w:p>
      <w:pPr>
        <w:pStyle w:val="Heading1"/>
        <w:spacing w:before="0" w:after="120"/>
        <w:rPr/>
      </w:pPr>
      <w:r>
        <w:rPr>
          <w:rFonts w:eastAsia="Arial" w:cs="Arial" w:ascii="Arial" w:hAnsi="Arial"/>
          <w:b/>
          <w:bCs/>
          <w:color w:val="1F3864"/>
          <w:sz w:val="36"/>
          <w:szCs w:val="36"/>
        </w:rPr>
        <w:t>15.  Ethereum Price Derivation — Table A Methodology</w:t>
      </w:r>
    </w:p>
    <w:p>
      <w:pPr>
        <w:pStyle w:val="Normal"/>
        <w:spacing w:before="60" w:after="80"/>
        <w:rPr/>
      </w:pPr>
      <w:r>
        <w:rPr>
          <w:rFonts w:eastAsia="Arial" w:cs="Arial"/>
          <w:sz w:val="20"/>
          <w:szCs w:val="20"/>
        </w:rPr>
        <w:t>This section documents the full analytical chain behind every ETH price in Table A — bear, base, and bull for each of the ten forecast years. Where Section 14 explains the share price formula, this section explains the inputs to that formula that represent the most consequential assumptions: the ETH price forecasts themselves.</w:t>
      </w:r>
    </w:p>
    <w:p>
      <w:pPr>
        <w:pStyle w:val="Normal"/>
        <w:spacing w:before="40" w:after="40"/>
        <w:rPr/>
      </w:pPr>
      <w:r>
        <w:rPr/>
      </w:r>
    </w:p>
    <w:p>
      <w:pPr>
        <w:pStyle w:val="Heading2"/>
        <w:spacing w:before="280" w:after="80"/>
        <w:rPr/>
      </w:pPr>
      <w:r>
        <w:rPr>
          <w:rFonts w:eastAsia="Arial" w:cs="Arial" w:ascii="Arial" w:hAnsi="Arial"/>
          <w:b/>
          <w:bCs/>
          <w:color w:val="2E75B6"/>
          <w:sz w:val="28"/>
          <w:szCs w:val="28"/>
        </w:rPr>
        <w:t>15.1  Starting Point and Current State</w:t>
      </w:r>
    </w:p>
    <w:p>
      <w:pPr>
        <w:pStyle w:val="Normal"/>
        <w:spacing w:before="60" w:after="80"/>
        <w:rPr/>
      </w:pPr>
      <w:r>
        <w:rPr>
          <w:rFonts w:eastAsia="Arial" w:cs="Arial"/>
          <w:sz w:val="20"/>
          <w:szCs w:val="20"/>
        </w:rPr>
        <w:t>All forecasts anchor to ETH at $2,123 on April 13, 2026. Four facts about the current state of Ethereum are material to interpreting the forecasts:</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1400"/>
        <w:gridCol w:w="1300"/>
        <w:gridCol w:w="5660"/>
      </w:tblGrid>
      <w:tr>
        <w:trPr>
          <w:tblHeader w:val="true"/>
        </w:trPr>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Metric</w:t>
            </w:r>
          </w:p>
        </w:tc>
        <w:tc>
          <w:tcPr>
            <w:tcW w:w="13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Current value</w:t>
            </w:r>
          </w:p>
        </w:tc>
        <w:tc>
          <w:tcPr>
            <w:tcW w:w="56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Significance for forecasts</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price</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$2,123</w:t>
            </w:r>
          </w:p>
        </w:tc>
        <w:tc>
          <w:tcPr>
            <w:tcW w:w="5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Starting anchor. All multiples in the year-by-year rationale are expressed relative to this.</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market cap</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~$255B</w:t>
            </w:r>
          </w:p>
        </w:tc>
        <w:tc>
          <w:tcPr>
            <w:tcW w:w="56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At $50,000 ETH (2030 base), market cap = $6.0T — roughly 1/3 of gold. Requires institutional monetary premium to partially materialise.</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Net annual issuance</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+0.23% (mildly inflationary)</w:t>
            </w:r>
          </w:p>
        </w:tc>
        <w:tc>
          <w:tcPr>
            <w:tcW w:w="5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'ultrasound money' deflationary thesis is currently not operating. L2 scaling reduced L1 fee burn. The deflation narrative embedded in bull cases requires blob fee saturation to re-activate. This is the v8 correction.</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Blob space utilisation</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20–30% of capacity</w:t>
            </w:r>
          </w:p>
        </w:tc>
        <w:tc>
          <w:tcPr>
            <w:tcW w:w="56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mechanism that would restore deflation (L2 settlement fees saturating blob space) has not fired yet. The model assumes saturation occurs during the 2027–2030 bull cycle.</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15.2  The Three Genuine Independent ETH Price Drivers</w:t>
      </w:r>
    </w:p>
    <w:p>
      <w:pPr>
        <w:pStyle w:val="Normal"/>
        <w:spacing w:before="60" w:after="80"/>
        <w:rPr/>
      </w:pPr>
      <w:r>
        <w:rPr>
          <w:rFonts w:eastAsia="Arial" w:cs="Arial"/>
          <w:sz w:val="20"/>
          <w:szCs w:val="20"/>
        </w:rPr>
        <w:t>The v6 extended thinking stress-test established that the document's 18 tailwinds do not all represent independent additive ETH price drivers. Reduced to their genuine independent components, three drivers do the analytical work:</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999"/>
        <w:gridCol w:w="2201"/>
        <w:gridCol w:w="1899"/>
        <w:gridCol w:w="3260"/>
      </w:tblGrid>
      <w:tr>
        <w:trPr>
          <w:tblHeader w:val="true"/>
        </w:trPr>
        <w:tc>
          <w:tcPr>
            <w:tcW w:w="9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Driver</w:t>
            </w:r>
          </w:p>
        </w:tc>
        <w:tc>
          <w:tcPr>
            <w:tcW w:w="22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Mechanism</w:t>
            </w:r>
          </w:p>
        </w:tc>
        <w:tc>
          <w:tcPr>
            <w:tcW w:w="18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Bottom-up 2030 contribution</w:t>
            </w:r>
          </w:p>
        </w:tc>
        <w:tc>
          <w:tcPr>
            <w:tcW w:w="32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Key caveat</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 — RWA tokenization</w:t>
            </w:r>
          </w:p>
        </w:tc>
        <w:tc>
          <w:tcPr>
            <w:tcW w:w="2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$8T of assets on ETH rails by 2030 (BCG $16T × 50% ETH share). Two sub-mechanisms: (1) direct ETH working capital demand (~1.5% of $8T AUM = $120B = 2.4M ETH permanently held); (2) monetary premium from ETH becoming institutional settlement currency — qualitatively large but unquantifiable.</w:t>
            </w:r>
          </w:p>
        </w:tc>
        <w:tc>
          <w:tcPr>
            <w:tcW w:w="1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Direct supply reduction: +2%. Reflexive monetary premium: +5–12%. Combined: +5–12% to 2030 ETH price.</w:t>
            </w:r>
          </w:p>
        </w:tc>
        <w:tc>
          <w:tcPr>
            <w:tcW w:w="32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monetary premium is the critical assumption. Direct gas/working-capital math produces modest price impact; the large uplift requires believing ETH earns a USD-like reserve currency premium.</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 — SWF sovereign allocation</w:t>
            </w:r>
          </w:p>
        </w:tc>
        <w:tc>
          <w:tcPr>
            <w:tcW w:w="2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$12T in global SWF assets × 1% allocation = $120B in ETH buying pressure. SWFs are long-term holders — permanently removes ETH from float. $120B at $50,000 ETH = 2.4M ETH = 2% permanent supply reduction.</w:t>
            </w:r>
          </w:p>
        </w:tc>
        <w:tc>
          <w:tcPr>
            <w:tcW w:w="1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Supply squeeze: +4–6% to 2030 ETH price. Best-calibrated of the three drivers — arithmetic is straightforward.</w:t>
            </w:r>
          </w:p>
        </w:tc>
        <w:tc>
          <w:tcPr>
            <w:tcW w:w="32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Conditional on CLARITY Act passage. Without CLARITY, SWF allocation disappears entirely. This is why Table E (no-CLARITY) shows 30–45% lower peak ETH.</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C — Agentic AI gas demand</w:t>
            </w:r>
          </w:p>
        </w:tc>
        <w:tc>
          <w:tcPr>
            <w:tcW w:w="2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$3–5T agent commerce by 2030 (McKinsey). Most agent transactions run on L2s, not L1. L1 gas burn from agents = only settlement batches. Estimate: 5% of agent commerce requires L1 gas = $150B L1-relevant activity. Additional ETH burned: 200,000–400,000/year.</w:t>
            </w:r>
          </w:p>
        </w:tc>
        <w:tc>
          <w:tcPr>
            <w:tcW w:w="1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Supply reduction: +1–2% cumulative 2026–2030. Direct contribution: +2–5% to 2030 price. Larger if L1 scarcity premium emerges from sustained deflation.</w:t>
            </w:r>
          </w:p>
        </w:tc>
        <w:tc>
          <w:tcPr>
            <w:tcW w:w="32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Requires blob saturation to re-activate fee burn. Currently 20–30% blob utilisation — agent demand is being absorbed by excess capacity without generating the supply squeeze.</w:t>
            </w:r>
          </w:p>
        </w:tc>
      </w:tr>
    </w:tbl>
    <w:p>
      <w:pPr>
        <w:pStyle w:val="Normal"/>
        <w:spacing w:before="40" w:after="40"/>
        <w:rPr/>
      </w:pPr>
      <w:r>
        <w:rPr/>
      </w:r>
    </w:p>
    <w:p>
      <w:pPr>
        <w:pStyle w:val="Normal"/>
        <w:spacing w:before="60" w:after="80"/>
        <w:rPr/>
      </w:pPr>
      <w:r>
        <w:rPr>
          <w:rFonts w:eastAsia="Arial" w:cs="Arial"/>
          <w:sz w:val="20"/>
          <w:szCs w:val="20"/>
        </w:rPr>
        <w:t>Four categories of apparent driver are excluded from the ETH price model:</w:t>
      </w:r>
    </w:p>
    <w:p>
      <w:pPr>
        <w:pStyle w:val="Normal"/>
        <w:spacing w:before="40" w:after="40"/>
        <w:rPr/>
      </w:pPr>
      <w:r>
        <w:rPr/>
      </w:r>
    </w:p>
    <w:p>
      <w:pPr>
        <w:pStyle w:val="ListParagraph"/>
        <w:numPr>
          <w:ilvl w:val="0"/>
          <w:numId w:val="1"/>
        </w:numPr>
        <w:spacing w:before="40" w:after="40"/>
        <w:rPr/>
      </w:pPr>
      <w:r>
        <w:rPr>
          <w:rFonts w:eastAsia="Arial" w:cs="Arial"/>
          <w:sz w:val="20"/>
          <w:szCs w:val="20"/>
        </w:rPr>
        <w:t>Enabling conditions (not additive): CLARITY Act, GENIUS Act, Fed rate cuts, Glamstrdam upgrade. These unlock drivers A, B, and C but do not themselves represent independent ETH demand. Counting them separately double-counts the downstream demand they enable.</w:t>
      </w:r>
    </w:p>
    <w:p>
      <w:pPr>
        <w:pStyle w:val="ListParagraph"/>
        <w:numPr>
          <w:ilvl w:val="0"/>
          <w:numId w:val="1"/>
        </w:numPr>
        <w:spacing w:before="40" w:after="40"/>
        <w:rPr/>
      </w:pPr>
      <w:r>
        <w:rPr>
          <w:rFonts w:eastAsia="Arial" w:cs="Arial"/>
          <w:sz w:val="20"/>
          <w:szCs w:val="20"/>
        </w:rPr>
        <w:t>Sub-components already captured: DePIN gas demand (subset of driver C), SWIFT migration (subset of driver A), Schwab direct ETH (subset of driver B). Each is real but represents the same capital pool or transaction type already counted.</w:t>
      </w:r>
    </w:p>
    <w:p>
      <w:pPr>
        <w:pStyle w:val="ListParagraph"/>
        <w:numPr>
          <w:ilvl w:val="0"/>
          <w:numId w:val="1"/>
        </w:numPr>
        <w:spacing w:before="40" w:after="40"/>
        <w:rPr/>
      </w:pPr>
      <w:r>
        <w:rPr>
          <w:rFonts w:eastAsia="Arial" w:cs="Arial"/>
          <w:sz w:val="20"/>
          <w:szCs w:val="20"/>
        </w:rPr>
        <w:t>BMNR equity catalysts: The $4B buyback, MAVAN staking revenue, index inclusion, and dividend all affect BMNR's mNAV premium — not ETH's spot price. They appear in the mNAV framework (Section 6), not in the ETH price model.</w:t>
      </w:r>
    </w:p>
    <w:p>
      <w:pPr>
        <w:pStyle w:val="ListParagraph"/>
        <w:numPr>
          <w:ilvl w:val="0"/>
          <w:numId w:val="1"/>
        </w:numPr>
        <w:spacing w:before="40" w:after="40"/>
        <w:rPr/>
      </w:pPr>
      <w:r>
        <w:rPr>
          <w:rFonts w:eastAsia="Arial" w:cs="Arial"/>
          <w:sz w:val="20"/>
          <w:szCs w:val="20"/>
        </w:rPr>
        <w:t>Gold narrative: Excluded from base case. If ETH captures 0.1% of gold's $18T market cap, that adds approximately $1,500/ETH. Plausible but not quantifiable from one data point (Iran war outperformance over gold). Appears as bull-case modifier only.</w:t>
      </w:r>
    </w:p>
    <w:p>
      <w:pPr>
        <w:pStyle w:val="Normal"/>
        <w:spacing w:before="40" w:after="40"/>
        <w:rPr/>
      </w:pPr>
      <w:r>
        <w:rPr/>
      </w:r>
    </w:p>
    <w:p>
      <w:pPr>
        <w:pStyle w:val="Heading2"/>
        <w:spacing w:before="280" w:after="80"/>
        <w:rPr/>
      </w:pPr>
      <w:r>
        <w:rPr>
          <w:rFonts w:eastAsia="Arial" w:cs="Arial" w:ascii="Arial" w:hAnsi="Arial"/>
          <w:b/>
          <w:bCs/>
          <w:color w:val="2E75B6"/>
          <w:sz w:val="28"/>
          <w:szCs w:val="28"/>
        </w:rPr>
        <w:t>15.3  The BTC Halving Cycle Framework — Timing Calibration</w:t>
      </w:r>
    </w:p>
    <w:p>
      <w:pPr>
        <w:pStyle w:val="Normal"/>
        <w:spacing w:before="60" w:after="80"/>
        <w:rPr/>
      </w:pPr>
      <w:r>
        <w:rPr>
          <w:rFonts w:eastAsia="Arial" w:cs="Arial"/>
          <w:sz w:val="20"/>
          <w:szCs w:val="20"/>
        </w:rPr>
        <w:t>ETH does not have halvings — it moved to Proof-of-Stake in September 2022. However, ETH has historically correlated with BTC's four-year halving cycle through liquidity spillover (BTC appreciation brings capital into the sector), narrative cycles (halving generates media attention), and shared risk appetite cycles. The halving framework provides timing for the forecast, not magnitude.</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1199"/>
        <w:gridCol w:w="1000"/>
        <w:gridCol w:w="1800"/>
        <w:gridCol w:w="4360"/>
      </w:tblGrid>
      <w:tr>
        <w:trPr>
          <w:tblHeader w:val="true"/>
        </w:trPr>
        <w:tc>
          <w:tcPr>
            <w:tcW w:w="1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BTC halving</w:t>
            </w:r>
          </w:p>
        </w:tc>
        <w:tc>
          <w:tcPr>
            <w:tcW w:w="1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Date</w:t>
            </w:r>
          </w:p>
        </w:tc>
        <w:tc>
          <w:tcPr>
            <w:tcW w:w="1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Peak (months later)</w:t>
            </w:r>
          </w:p>
        </w:tc>
        <w:tc>
          <w:tcPr>
            <w:tcW w:w="43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Lag</w:t>
            </w:r>
          </w:p>
        </w:tc>
      </w:tr>
      <w:tr>
        <w:trPr/>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1st post-Bitcoin launch</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November 2012</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December 2013</w:t>
            </w:r>
          </w:p>
        </w:tc>
        <w:tc>
          <w:tcPr>
            <w:tcW w:w="43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 months</w:t>
            </w:r>
          </w:p>
        </w:tc>
      </w:tr>
      <w:tr>
        <w:trPr/>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2nd halving</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July 2016</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December 2017</w:t>
            </w:r>
          </w:p>
        </w:tc>
        <w:tc>
          <w:tcPr>
            <w:tcW w:w="43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 months</w:t>
            </w:r>
          </w:p>
        </w:tc>
      </w:tr>
      <w:tr>
        <w:trPr/>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3rd halving</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May 2020</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November 2021</w:t>
            </w:r>
          </w:p>
        </w:tc>
        <w:tc>
          <w:tcPr>
            <w:tcW w:w="43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 months</w:t>
            </w:r>
          </w:p>
        </w:tc>
      </w:tr>
      <w:tr>
        <w:trPr/>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Average lag</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43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~16 months</w:t>
            </w:r>
          </w:p>
        </w:tc>
      </w:tr>
      <w:tr>
        <w:trPr/>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Next halving (modelled)</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April 2028</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August 2029 (expected)</w:t>
            </w:r>
          </w:p>
        </w:tc>
        <w:tc>
          <w:tcPr>
            <w:tcW w:w="43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16-month average applied → 2029 is peak year</w:t>
            </w:r>
          </w:p>
        </w:tc>
      </w:tr>
    </w:tbl>
    <w:p>
      <w:pPr>
        <w:pStyle w:val="Normal"/>
        <w:spacing w:before="40" w:after="40"/>
        <w:rPr/>
      </w:pPr>
      <w:r>
        <w:rPr/>
      </w:r>
    </w:p>
    <w:p>
      <w:pPr>
        <w:pStyle w:val="Normal"/>
        <w:spacing w:before="60" w:after="80"/>
        <w:rPr/>
      </w:pPr>
      <w:r>
        <w:rPr>
          <w:rFonts w:eastAsia="Arial" w:cs="Arial"/>
          <w:sz w:val="20"/>
          <w:szCs w:val="20"/>
        </w:rPr>
        <w:t>Critical correction from v6: prior versions of the document labelled 2028 as 'Halving Peak' — inconsistent with the historical 16-month lag. The corrected model designates 2028 as 'Halving year / early bull' and 2029 as 'Post-halving peak.' This shifts peak ETH prices approximately 10–15% lower in 2028 and 10% higher in 2029 compared to the prior model.</w:t>
      </w:r>
    </w:p>
    <w:p>
      <w:pPr>
        <w:pStyle w:val="Normal"/>
        <w:spacing w:before="40" w:after="40"/>
        <w:rPr/>
      </w:pPr>
      <w:r>
        <w:rPr/>
      </w:r>
    </w:p>
    <w:p>
      <w:pPr>
        <w:pStyle w:val="Normal"/>
        <w:spacing w:before="60" w:after="80"/>
        <w:rPr/>
      </w:pPr>
      <w:r>
        <w:rPr>
          <w:rFonts w:eastAsia="Arial" w:cs="Arial"/>
          <w:sz w:val="20"/>
          <w:szCs w:val="20"/>
        </w:rPr>
        <w:t>Cycle magnitude calibration: historical ETH gains from cycle trough to peak are 24x (2020→2021) and 40x+ (earlier cycles). These are not repeatable at current market cap — diminishing returns apply as the asset scales. The 2026→2029 cycle model uses 12–18x from the 2026 early-bull base of approximately $3,000, producing a peak range of $36,000–54,000. This is conservative relative to historical cycles but accounts for the larger starting market cap.</w:t>
      </w:r>
    </w:p>
    <w:p>
      <w:pPr>
        <w:pStyle w:val="Normal"/>
        <w:spacing w:before="40" w:after="40"/>
        <w:rPr/>
      </w:pPr>
      <w:r>
        <w:rPr/>
      </w:r>
    </w:p>
    <w:p>
      <w:pPr>
        <w:pStyle w:val="Heading2"/>
        <w:spacing w:before="280" w:after="80"/>
        <w:rPr/>
      </w:pPr>
      <w:r>
        <w:rPr>
          <w:rFonts w:eastAsia="Arial" w:cs="Arial" w:ascii="Arial" w:hAnsi="Arial"/>
          <w:b/>
          <w:bCs/>
          <w:color w:val="2E75B6"/>
          <w:sz w:val="28"/>
          <w:szCs w:val="28"/>
        </w:rPr>
        <w:t>15.4  Year-by-Year ETH Price Rationale — Four Scenarios</w:t>
      </w:r>
    </w:p>
    <w:p>
      <w:pPr>
        <w:pStyle w:val="Normal"/>
        <w:spacing w:before="60" w:after="80"/>
        <w:rPr/>
      </w:pPr>
      <w:r>
        <w:rPr>
          <w:rFonts w:eastAsia="Arial" w:cs="Arial"/>
          <w:sz w:val="20"/>
          <w:szCs w:val="20"/>
        </w:rPr>
        <w:t>The table below shows ETH prices and the specific scenario logic for all four scenarios at each year. All values are consistent with Table F (Section 9.3) and Table G (Section 9.1b). Multiples shown vs current ETH $2,333. The four scenarios reflect increasing levels of institutional adoption above the BTC halving cycle baseline.</w:t>
      </w:r>
    </w:p>
    <w:p>
      <w:pPr>
        <w:pStyle w:val="Normal"/>
        <w:spacing w:before="40" w:after="40"/>
        <w:rPr/>
      </w:pPr>
      <w:r>
        <w:rPr/>
      </w:r>
    </w:p>
    <w:tbl>
      <w:tblPr>
        <w:tblW w:w="9940" w:type="dxa"/>
        <w:jc w:val="left"/>
        <w:tblInd w:w="0" w:type="dxa"/>
        <w:tblLayout w:type="fixed"/>
        <w:tblCellMar>
          <w:top w:w="80" w:type="dxa"/>
          <w:left w:w="100" w:type="dxa"/>
          <w:bottom w:w="80" w:type="dxa"/>
          <w:right w:w="100" w:type="dxa"/>
        </w:tblCellMar>
      </w:tblPr>
      <w:tblGrid>
        <w:gridCol w:w="519"/>
        <w:gridCol w:w="781"/>
        <w:gridCol w:w="780"/>
        <w:gridCol w:w="779"/>
        <w:gridCol w:w="840"/>
        <w:gridCol w:w="1561"/>
        <w:gridCol w:w="1559"/>
        <w:gridCol w:w="1561"/>
        <w:gridCol w:w="1559"/>
      </w:tblGrid>
      <w:tr>
        <w:trPr>
          <w:tblHeader w:val="true"/>
        </w:trPr>
        <w:tc>
          <w:tcPr>
            <w:tcW w:w="51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Year</w:t>
            </w:r>
          </w:p>
        </w:tc>
        <w:tc>
          <w:tcPr>
            <w:tcW w:w="78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Bear (25%)</w:t>
            </w:r>
          </w:p>
        </w:tc>
        <w:tc>
          <w:tcPr>
            <w:tcW w:w="78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Base (45%)</w:t>
            </w:r>
          </w:p>
        </w:tc>
        <w:tc>
          <w:tcPr>
            <w:tcW w:w="77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Bull (20%)</w:t>
            </w:r>
          </w:p>
        </w:tc>
        <w:tc>
          <w:tcPr>
            <w:tcW w:w="84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Super Bull (7%)</w:t>
            </w:r>
          </w:p>
        </w:tc>
        <w:tc>
          <w:tcPr>
            <w:tcW w:w="156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Bear logic</w:t>
            </w:r>
          </w:p>
        </w:tc>
        <w:tc>
          <w:tcPr>
            <w:tcW w:w="15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Base logic</w:t>
            </w:r>
          </w:p>
        </w:tc>
        <w:tc>
          <w:tcPr>
            <w:tcW w:w="156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Bull logic</w:t>
            </w:r>
          </w:p>
        </w:tc>
        <w:tc>
          <w:tcPr>
            <w:tcW w:w="15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SB logic</w:t>
            </w:r>
          </w:p>
        </w:tc>
      </w:tr>
      <w:tr>
        <w:trPr/>
        <w:tc>
          <w:tcPr>
            <w:tcW w:w="5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2026</w:t>
            </w:r>
          </w:p>
        </w:tc>
        <w:tc>
          <w:tcPr>
            <w:tcW w:w="78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$2,600 (1.1x)</w:t>
            </w:r>
          </w:p>
        </w:tc>
        <w:tc>
          <w:tcPr>
            <w:tcW w:w="7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$4,500 (1.9x)</w:t>
            </w:r>
          </w:p>
        </w:tc>
        <w:tc>
          <w:tcPr>
            <w:tcW w:w="77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$6,200 (2.7x)</w:t>
            </w:r>
          </w:p>
        </w:tc>
        <w:tc>
          <w:tcPr>
            <w:tcW w:w="8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$8,500 (3.6x)</w:t>
            </w:r>
          </w:p>
        </w:tc>
        <w:tc>
          <w:tcPr>
            <w:tcW w:w="15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CLARITY stalls past May 2026. No institutional catalyst. ETH trades on BTC beta only. ETH/BTC stays near 0.028.</w:t>
            </w:r>
          </w:p>
        </w:tc>
        <w:tc>
          <w:tcPr>
            <w:tcW w:w="1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CLARITY passes Q2/Q3 2026. Modest re-rating. ETH/BTC recovers to 0.040–0.060. Early MAVAN re-rating begins.</w:t>
            </w:r>
          </w:p>
        </w:tc>
        <w:tc>
          <w:tcPr>
            <w:tcW w:w="15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CLARITY passes rapidly + early SWF signals + RWA $200B trajectory established. ETH/BTC 0.070+.</w:t>
            </w:r>
          </w:p>
        </w:tc>
        <w:tc>
          <w:tcPr>
            <w:tcW w:w="1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All Bull drivers + gold narrative begins. ETH/BTC &gt; 0.085. Multiple SWF announcements simultaneously.</w:t>
            </w:r>
          </w:p>
        </w:tc>
      </w:tr>
      <w:tr>
        <w:trPr/>
        <w:tc>
          <w:tcPr>
            <w:tcW w:w="5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2027</w:t>
            </w:r>
          </w:p>
        </w:tc>
        <w:tc>
          <w:tcPr>
            <w:tcW w:w="78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$6,500 (2.8x)</w:t>
            </w:r>
          </w:p>
        </w:tc>
        <w:tc>
          <w:tcPr>
            <w:tcW w:w="7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$10,000 (4.3x)</w:t>
            </w:r>
          </w:p>
        </w:tc>
        <w:tc>
          <w:tcPr>
            <w:tcW w:w="77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$16,000 (6.9x)</w:t>
            </w:r>
          </w:p>
        </w:tc>
        <w:tc>
          <w:tcPr>
            <w:tcW w:w="8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$21,000 (9.0x)</w:t>
            </w:r>
          </w:p>
        </w:tc>
        <w:tc>
          <w:tcPr>
            <w:tcW w:w="15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BTC halving 12 months away. Crypto sector rising but ETH-specific premium absent. No SWF deployments confirmed.</w:t>
            </w:r>
          </w:p>
        </w:tc>
        <w:tc>
          <w:tcPr>
            <w:tcW w:w="1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SWF initial allocations $20–40B. RWA $50–100B on ETH. Agent commerce surpassing human DeFi. OpenAI IPO re-rates ORBS.</w:t>
            </w:r>
          </w:p>
        </w:tc>
        <w:tc>
          <w:tcPr>
            <w:tcW w:w="15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All Base drivers + front-running of SWF deployments + ETH L1 scarcity signals + RWA $200–300B on ETH.</w:t>
            </w:r>
          </w:p>
        </w:tc>
        <w:tc>
          <w:tcPr>
            <w:tcW w:w="1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All Bull drivers + ETH/gold ratio rising above 2%. Multiple SWFs deploy simultaneously. RWA $300–500B.</w:t>
            </w:r>
          </w:p>
        </w:tc>
      </w:tr>
      <w:tr>
        <w:trPr/>
        <w:tc>
          <w:tcPr>
            <w:tcW w:w="5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2028</w:t>
            </w:r>
          </w:p>
        </w:tc>
        <w:tc>
          <w:tcPr>
            <w:tcW w:w="78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$12,000 (5.1x)</w:t>
            </w:r>
          </w:p>
        </w:tc>
        <w:tc>
          <w:tcPr>
            <w:tcW w:w="7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$18,000 (7.7x)</w:t>
            </w:r>
          </w:p>
        </w:tc>
        <w:tc>
          <w:tcPr>
            <w:tcW w:w="77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$27,000 (11.6x)</w:t>
            </w:r>
          </w:p>
        </w:tc>
        <w:tc>
          <w:tcPr>
            <w:tcW w:w="8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$38,000 (16.3x)</w:t>
            </w:r>
          </w:p>
        </w:tc>
        <w:tc>
          <w:tcPr>
            <w:tcW w:w="15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BTC halving lifts crypto broadly. No ETH-specific institutional premium. RWA below forecast. SWF delayed.</w:t>
            </w:r>
          </w:p>
        </w:tc>
        <w:tc>
          <w:tcPr>
            <w:tcW w:w="1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BTC halving April 2028 — inflection, NOT peak. RWA $100–200B on ETH. SWF $40–60B deployed. MAVAN ~$430M revenue.</w:t>
            </w:r>
          </w:p>
        </w:tc>
        <w:tc>
          <w:tcPr>
            <w:tcW w:w="15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Halving + ETH institutional demand compounding. RWA $200–400B. SWF $80B deployed. L1 fee burn re-activating.</w:t>
            </w:r>
          </w:p>
        </w:tc>
        <w:tc>
          <w:tcPr>
            <w:tcW w:w="1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Halving + gold narrative 5%+ gold capture. SWF $100B+. RWA $400B+. ETH/BTC &gt; 0.10.</w:t>
            </w:r>
          </w:p>
        </w:tc>
      </w:tr>
      <w:tr>
        <w:trPr/>
        <w:tc>
          <w:tcPr>
            <w:tcW w:w="5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2029</w:t>
            </w:r>
          </w:p>
        </w:tc>
        <w:tc>
          <w:tcPr>
            <w:tcW w:w="78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$18,000 (7.7x)</w:t>
            </w:r>
          </w:p>
        </w:tc>
        <w:tc>
          <w:tcPr>
            <w:tcW w:w="7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$24,000 (10.3x)</w:t>
            </w:r>
          </w:p>
        </w:tc>
        <w:tc>
          <w:tcPr>
            <w:tcW w:w="77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$36,000 (15.4x)</w:t>
            </w:r>
          </w:p>
        </w:tc>
        <w:tc>
          <w:tcPr>
            <w:tcW w:w="8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$55,000 (23.6x)</w:t>
            </w:r>
          </w:p>
        </w:tc>
        <w:tc>
          <w:tcPr>
            <w:tcW w:w="15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Post-halving peak at reduced magnitude — no ETH-specific premium. Institutional shortfall limits cycle. ETH/BTC 0.025–0.035.</w:t>
            </w:r>
          </w:p>
        </w:tc>
        <w:tc>
          <w:tcPr>
            <w:tcW w:w="1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Post-halving peak (12–18 month lag). SWF $60B deployed. Agent commerce $1–2T. Monetary premium ~13% of gold. ETH/BTC 0.040–0.060.</w:t>
            </w:r>
          </w:p>
        </w:tc>
        <w:tc>
          <w:tcPr>
            <w:tcW w:w="15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Super-cycle peak. SWF $100–120B deployed. Agent $2–4T. Monetary premium ~21% of gold. ETH/BTC 0.060–0.090.</w:t>
            </w:r>
          </w:p>
        </w:tc>
        <w:tc>
          <w:tcPr>
            <w:tcW w:w="1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Peak with gold narrative. 5–10% gold capture. SWF $150B+. Agent $3–5T. ETH/BTC &gt; 0.10.</w:t>
            </w:r>
          </w:p>
        </w:tc>
      </w:tr>
      <w:tr>
        <w:trPr/>
        <w:tc>
          <w:tcPr>
            <w:tcW w:w="5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2030</w:t>
            </w:r>
          </w:p>
        </w:tc>
        <w:tc>
          <w:tcPr>
            <w:tcW w:w="78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$22,000 (9.4x)</w:t>
            </w:r>
          </w:p>
        </w:tc>
        <w:tc>
          <w:tcPr>
            <w:tcW w:w="7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$30,000 (12.9x)</w:t>
            </w:r>
          </w:p>
        </w:tc>
        <w:tc>
          <w:tcPr>
            <w:tcW w:w="77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$50,000 (21.4x)</w:t>
            </w:r>
          </w:p>
        </w:tc>
        <w:tc>
          <w:tcPr>
            <w:tcW w:w="8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$80,000 (34.3x)</w:t>
            </w:r>
          </w:p>
        </w:tc>
        <w:tc>
          <w:tcPr>
            <w:tcW w:w="15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Post-peak floor. Institutional holders limit downside vs 2022. Bear 2030 is 22% above 2029 Bear — structural floor effect.</w:t>
            </w:r>
          </w:p>
        </w:tc>
        <w:tc>
          <w:tcPr>
            <w:tcW w:w="1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Consolidation above peak. BCG $4–8T RWA. Agent $1–2T. ~17% gold monetary premium. ETH approaching deflation.</w:t>
            </w:r>
          </w:p>
        </w:tc>
        <w:tc>
          <w:tcPr>
            <w:tcW w:w="15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Consolidation at high level. BCG $16T RWA scenario. Agent $3–5T. ~30% gold monetary premium. ETH deflationary.</w:t>
            </w:r>
          </w:p>
        </w:tc>
        <w:tc>
          <w:tcPr>
            <w:tcW w:w="1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Full reserve asset status. 30–40% gold monetary premium. SWF mandates expanded. ETH displacing gold allocation.</w:t>
            </w:r>
          </w:p>
        </w:tc>
      </w:tr>
      <w:tr>
        <w:trPr/>
        <w:tc>
          <w:tcPr>
            <w:tcW w:w="5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2031</w:t>
            </w:r>
          </w:p>
        </w:tc>
        <w:tc>
          <w:tcPr>
            <w:tcW w:w="78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$10,000 (4.3x)</w:t>
            </w:r>
          </w:p>
        </w:tc>
        <w:tc>
          <w:tcPr>
            <w:tcW w:w="7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$15,000 (6.4x)</w:t>
            </w:r>
          </w:p>
        </w:tc>
        <w:tc>
          <w:tcPr>
            <w:tcW w:w="77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$36,000 (15.4x)</w:t>
            </w:r>
          </w:p>
        </w:tc>
        <w:tc>
          <w:tcPr>
            <w:tcW w:w="8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$55,000 (23.6x)</w:t>
            </w:r>
          </w:p>
        </w:tc>
        <w:tc>
          <w:tcPr>
            <w:tcW w:w="15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Full historical correction from Bear 2030 peak: -55%. Structural floor $8K–12K vs 2022's $880.</w:t>
            </w:r>
          </w:p>
        </w:tc>
        <w:tc>
          <w:tcPr>
            <w:tcW w:w="1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-50% correction from $30K Base peak (realistic; 45-50% prob per Section 15.11). RWA operators provide counter-cyclical floor.</w:t>
            </w:r>
          </w:p>
        </w:tc>
        <w:tc>
          <w:tcPr>
            <w:tcW w:w="15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-28% from $50K Bull peak (optimistic; 5–10% prob). Strong institutional floor. Most SWF holders non-sellers.</w:t>
            </w:r>
          </w:p>
        </w:tc>
        <w:tc>
          <w:tcPr>
            <w:tcW w:w="1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-31% from $80K SB peak. Deepest institutional floor yet — SWF mandates sustain price. Near-zero discretionary selling.</w:t>
            </w:r>
          </w:p>
        </w:tc>
      </w:tr>
      <w:tr>
        <w:trPr/>
        <w:tc>
          <w:tcPr>
            <w:tcW w:w="5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2032</w:t>
            </w:r>
          </w:p>
        </w:tc>
        <w:tc>
          <w:tcPr>
            <w:tcW w:w="78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$14,000 (6.0x)</w:t>
            </w:r>
          </w:p>
        </w:tc>
        <w:tc>
          <w:tcPr>
            <w:tcW w:w="7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$22,000 (9.4x)</w:t>
            </w:r>
          </w:p>
        </w:tc>
        <w:tc>
          <w:tcPr>
            <w:tcW w:w="77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$46,000 (19.7x)</w:t>
            </w:r>
          </w:p>
        </w:tc>
        <w:tc>
          <w:tcPr>
            <w:tcW w:w="8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$72,000 (30.9x)</w:t>
            </w:r>
          </w:p>
        </w:tc>
        <w:tc>
          <w:tcPr>
            <w:tcW w:w="15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Second halving base. 1.4x recovery from 2031 Bear. BTC halving cycle re-activates even without institutional premium.</w:t>
            </w:r>
          </w:p>
        </w:tc>
        <w:tc>
          <w:tcPr>
            <w:tcW w:w="1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Second BTC halving. RWA maturation. Restaking institutionalised. Agent economy fully mainstream. 1.47x from 2031 Base.</w:t>
            </w:r>
          </w:p>
        </w:tc>
        <w:tc>
          <w:tcPr>
            <w:tcW w:w="15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Second pre-halving positioning. 1.28x from 2031 Bull. Stronger second cycle base due to institutional accumulation.</w:t>
            </w:r>
          </w:p>
        </w:tc>
        <w:tc>
          <w:tcPr>
            <w:tcW w:w="1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Second cycle with enlarged institutional base. 1.31x from 2031 SB.</w:t>
            </w:r>
          </w:p>
        </w:tc>
      </w:tr>
      <w:tr>
        <w:trPr/>
        <w:tc>
          <w:tcPr>
            <w:tcW w:w="5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2033</w:t>
            </w:r>
          </w:p>
        </w:tc>
        <w:tc>
          <w:tcPr>
            <w:tcW w:w="78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$20,000 (8.6x)</w:t>
            </w:r>
          </w:p>
        </w:tc>
        <w:tc>
          <w:tcPr>
            <w:tcW w:w="7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$36,000 (15.4x)</w:t>
            </w:r>
          </w:p>
        </w:tc>
        <w:tc>
          <w:tcPr>
            <w:tcW w:w="77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$67,000 (28.7x)</w:t>
            </w:r>
          </w:p>
        </w:tc>
        <w:tc>
          <w:tcPr>
            <w:tcW w:w="8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$110,000 (47.2x)</w:t>
            </w:r>
          </w:p>
        </w:tc>
        <w:tc>
          <w:tcPr>
            <w:tcW w:w="15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Second cycle peak. 1.43x from 2032 Bear. Pure BTC cycle beta, no ETH-specific premium.</w:t>
            </w:r>
          </w:p>
        </w:tc>
        <w:tc>
          <w:tcPr>
            <w:tcW w:w="1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Second post-halving peak. BCG $15–20T RWA. Agent $3–5T. ETH as permanent settlement layer.</w:t>
            </w:r>
          </w:p>
        </w:tc>
        <w:tc>
          <w:tcPr>
            <w:tcW w:w="15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Second super-cycle. Multiple structural demand streams compounding. 1.46x from 2032 Bull.</w:t>
            </w:r>
          </w:p>
        </w:tc>
        <w:tc>
          <w:tcPr>
            <w:tcW w:w="1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Second peak with mature gold narrative. 15–20% gold capture by now. 1.53x from 2032 SB.</w:t>
            </w:r>
          </w:p>
        </w:tc>
      </w:tr>
      <w:tr>
        <w:trPr/>
        <w:tc>
          <w:tcPr>
            <w:tcW w:w="51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2034</w:t>
            </w:r>
          </w:p>
        </w:tc>
        <w:tc>
          <w:tcPr>
            <w:tcW w:w="78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$26,000 (11.1x)</w:t>
            </w:r>
          </w:p>
        </w:tc>
        <w:tc>
          <w:tcPr>
            <w:tcW w:w="78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$46,000 (19.7x)</w:t>
            </w:r>
          </w:p>
        </w:tc>
        <w:tc>
          <w:tcPr>
            <w:tcW w:w="77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$82,000 (35.1x)</w:t>
            </w:r>
          </w:p>
        </w:tc>
        <w:tc>
          <w:tcPr>
            <w:tcW w:w="84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$140,000 (60.0x)</w:t>
            </w:r>
          </w:p>
        </w:tc>
        <w:tc>
          <w:tcPr>
            <w:tcW w:w="15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Post-2033 floor. 1.3x from 2033 Bear. Structural RWA demand prevents full historical retracement.</w:t>
            </w:r>
          </w:p>
        </w:tc>
        <w:tc>
          <w:tcPr>
            <w:tcW w:w="1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Structural floor from permanent institutional holders. 1.28x from 2033 Base.</w:t>
            </w:r>
          </w:p>
        </w:tc>
        <w:tc>
          <w:tcPr>
            <w:tcW w:w="15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Post-peak consolidation. Institutional buy-the-dip. 1.22x from 2033 Bull.</w:t>
            </w:r>
          </w:p>
        </w:tc>
        <w:tc>
          <w:tcPr>
            <w:tcW w:w="1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Mature reserve asset status. Minimal speculative selling. 1.27x from 2033 SB.</w:t>
            </w:r>
          </w:p>
        </w:tc>
      </w:tr>
      <w:tr>
        <w:trPr/>
        <w:tc>
          <w:tcPr>
            <w:tcW w:w="51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2035</w:t>
            </w:r>
          </w:p>
        </w:tc>
        <w:tc>
          <w:tcPr>
            <w:tcW w:w="78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$20,000 (8.6x)</w:t>
            </w:r>
          </w:p>
        </w:tc>
        <w:tc>
          <w:tcPr>
            <w:tcW w:w="78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$38,000 (16.3x)</w:t>
            </w:r>
          </w:p>
        </w:tc>
        <w:tc>
          <w:tcPr>
            <w:tcW w:w="77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$67,000 (28.7x)</w:t>
            </w:r>
          </w:p>
        </w:tc>
        <w:tc>
          <w:tcPr>
            <w:tcW w:w="84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$115,000 (49.3x)</w:t>
            </w:r>
          </w:p>
        </w:tc>
        <w:tc>
          <w:tcPr>
            <w:tcW w:w="15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Maturity: some speculative exits, structural holders remain. 0.77x from 2034 Bear.</w:t>
            </w:r>
          </w:p>
        </w:tc>
        <w:tc>
          <w:tcPr>
            <w:tcW w:w="1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Maturity era. Yield-bearing global settlement layer. Some speculative premium exits. 0.83x from 2034 Base.</w:t>
            </w:r>
          </w:p>
        </w:tc>
        <w:tc>
          <w:tcPr>
            <w:tcW w:w="15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Maturity with sustained institutional momentum. 0.82x from 2034 Bull.</w:t>
            </w:r>
          </w:p>
        </w:tc>
        <w:tc>
          <w:tcPr>
            <w:tcW w:w="1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Maturity as reserve asset. Stable long-term institutional hold. 0.82x from 2034 SB.</w:t>
            </w:r>
          </w:p>
        </w:tc>
      </w:tr>
    </w:tbl>
    <w:p>
      <w:pPr>
        <w:pStyle w:val="Normal"/>
        <w:spacing w:before="40" w:after="40"/>
        <w:rPr/>
      </w:pPr>
      <w:r>
        <w:rPr/>
      </w:r>
    </w:p>
    <w:p>
      <w:pPr>
        <w:pStyle w:val="Normal"/>
        <w:spacing w:before="60" w:after="60"/>
        <w:rPr/>
      </w:pPr>
      <w:r>
        <w:rPr>
          <w:rFonts w:eastAsia="Arial" w:cs="Arial"/>
          <w:i/>
          <w:iCs/>
          <w:color w:val="777777"/>
          <w:sz w:val="18"/>
          <w:szCs w:val="18"/>
        </w:rPr>
        <w:t>All ETH prices in this table are identical to Table F (Section 9.3) and Table G (Section 9.1b). The 2031 Base correction of -50% (from $30,000 to $15,000) replaces the prior document assumption of -28% which was the Bull scenario. See Section 15.11 for the full 2031 correction probability distribution. The Super Bull scenario does not appear in other Section 15 decomposition tables (which analyse the Bull scenario only) — see Section 15.7 for the note on scope.</w:t>
      </w:r>
    </w:p>
    <w:p>
      <w:pPr>
        <w:pStyle w:val="Normal"/>
        <w:spacing w:before="40" w:after="40"/>
        <w:rPr/>
      </w:pPr>
      <w:r>
        <w:rPr/>
      </w:r>
    </w:p>
    <w:p>
      <w:pPr>
        <w:pStyle w:val="Heading2"/>
        <w:spacing w:before="280" w:after="80"/>
        <w:rPr/>
      </w:pPr>
      <w:r>
        <w:rPr>
          <w:rFonts w:eastAsia="Arial" w:cs="Arial" w:ascii="Arial" w:hAnsi="Arial"/>
          <w:b/>
          <w:bCs/>
          <w:color w:val="2E75B6"/>
          <w:sz w:val="28"/>
          <w:szCs w:val="28"/>
        </w:rPr>
        <w:t>15.5  Cross-Checks and Sanity Tests</w:t>
      </w:r>
    </w:p>
    <w:p>
      <w:pPr>
        <w:pStyle w:val="Normal"/>
        <w:spacing w:before="60" w:after="80"/>
        <w:rPr/>
      </w:pPr>
      <w:r>
        <w:rPr>
          <w:rFonts w:eastAsia="Arial" w:cs="Arial"/>
          <w:sz w:val="20"/>
          <w:szCs w:val="20"/>
        </w:rPr>
        <w:t>Four checks on whether the ETH price scenarios are internally consistent and historically calibrated:</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1400"/>
        <w:gridCol w:w="2199"/>
        <w:gridCol w:w="2201"/>
        <w:gridCol w:w="2559"/>
      </w:tblGrid>
      <w:tr>
        <w:trPr>
          <w:tblHeader w:val="true"/>
        </w:trPr>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Check</w:t>
            </w:r>
          </w:p>
        </w:tc>
        <w:tc>
          <w:tcPr>
            <w:tcW w:w="2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Test</w:t>
            </w:r>
          </w:p>
        </w:tc>
        <w:tc>
          <w:tcPr>
            <w:tcW w:w="22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Result</w:t>
            </w:r>
          </w:p>
        </w:tc>
        <w:tc>
          <w:tcPr>
            <w:tcW w:w="25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Assessment</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Historical cycle magnitude</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$2,123 (prior anchor) to 2029 Bull peak $36,000 = 17x; to 2029 Base peak $24,000 = 11x. Compare: 2020 bottom (~$100) → 2021 peak (~$4,800) = 48x; 2018 bottom → 2021 peak = 60x.</w:t>
            </w:r>
          </w:p>
        </w:tc>
        <w:tc>
          <w:tcPr>
            <w:tcW w:w="2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17x from a mid-cycle position (not a bear bottom) is conservative relative to prior cycles. The bear case of 10x ($22,000) would have been considered a bull case in any prior cycle.</w:t>
            </w:r>
          </w:p>
        </w:tc>
        <w:tc>
          <w:tcPr>
            <w:tcW w:w="2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PASS — forecasts are not aggressive relative to historical precedent.</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2030 Bull market cap</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$50,000 × 120M ETH = $6.0T market cap (Bull).</w:t>
            </w:r>
          </w:p>
        </w:tc>
        <w:tc>
          <w:tcPr>
            <w:tcW w:w="2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$6T = roughly 1/3 of gold ($18T market cap). Requires the institutional monetary premium thesis to partially materialise — not implausible if CLARITY passes and SWFs allocate.</w:t>
            </w:r>
          </w:p>
        </w:tc>
        <w:tc>
          <w:tcPr>
            <w:tcW w:w="2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CONDITIONAL PASS — plausible under base case assumptions; implausible if institutional thesis fails.</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2031 correction depth</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2031 Bull $36,000 = -28% from 2030 Bull $50,000.</w:t>
            </w:r>
          </w:p>
        </w:tc>
        <w:tc>
          <w:tcPr>
            <w:tcW w:w="2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Historical ETH corrections: -80% (2022), -93% (2018), -94% (2014). The base case 2031 correction of -28% is the most optimistic assumption in the entire model. It relies on institutional holders not selling in corrections as retail has historically done.</w:t>
            </w:r>
          </w:p>
        </w:tc>
        <w:tc>
          <w:tcPr>
            <w:tcW w:w="2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CAUTION — this is the weakest assumption. If institutions are as cyclical as retail, 2031 base should be $20,000–25,000, not $36,000. The bear 2031 ($10,000 = -80%) is historically accurate; the base may be too mild.</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Four-year cycle consistency</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Second cycle (2032–2035) ETH prices are 1.3–1.8x the first cycle (2028–2031) peak prices.</w:t>
            </w:r>
          </w:p>
        </w:tc>
        <w:tc>
          <w:tcPr>
            <w:tcW w:w="2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Second cycle peaks are lower in magnitude than first cycle peaks on a percentage basis — consistent with diminishing returns as the asset scales. Second cycle absolute prices are higher due to larger base.</w:t>
            </w:r>
          </w:p>
        </w:tc>
        <w:tc>
          <w:tcPr>
            <w:tcW w:w="2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PASS — second cycle is calibrated for diminishing percentage returns while still producing absolute appreciation.</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15.6  What the ETH Price Model Does Not Include</w:t>
      </w:r>
    </w:p>
    <w:p>
      <w:pPr>
        <w:pStyle w:val="ListParagraph"/>
        <w:numPr>
          <w:ilvl w:val="0"/>
          <w:numId w:val="1"/>
        </w:numPr>
        <w:spacing w:before="40" w:after="40"/>
        <w:rPr/>
      </w:pPr>
      <w:r>
        <w:rPr>
          <w:rFonts w:eastAsia="Arial" w:cs="Arial"/>
          <w:sz w:val="20"/>
          <w:szCs w:val="20"/>
        </w:rPr>
        <w:t>Competitive displacement: Solana, purpose-built agent chains (Tempo), and private institutional blockchains could capture ETH's market share in RWA settlement or agent gas demand. A 20% market share loss from Ethereum to competitors would reduce the 2030 base ETH price by approximately 8–10% through reduced working capital demand and monetary premium.</w:t>
      </w:r>
    </w:p>
    <w:p>
      <w:pPr>
        <w:pStyle w:val="ListParagraph"/>
        <w:numPr>
          <w:ilvl w:val="0"/>
          <w:numId w:val="1"/>
        </w:numPr>
        <w:spacing w:before="40" w:after="40"/>
        <w:rPr/>
      </w:pPr>
      <w:r>
        <w:rPr>
          <w:rFonts w:eastAsia="Arial" w:cs="Arial"/>
          <w:sz w:val="20"/>
          <w:szCs w:val="20"/>
        </w:rPr>
        <w:t>L1 fee burn remaining suppressed: The model assumes blob fee saturation occurs during 2027–2030, re-activating the deflation thesis. If blob utilisation stays at 20–30% through 2030 (because L2 scaling efficiency keeps pace with L2 volume growth), the monetary premium embedded in the 2030 base case does not materialise. This would reduce the 2030 base ETH price by approximately 10–20%.</w:t>
      </w:r>
    </w:p>
    <w:p>
      <w:pPr>
        <w:pStyle w:val="ListParagraph"/>
        <w:numPr>
          <w:ilvl w:val="0"/>
          <w:numId w:val="1"/>
        </w:numPr>
        <w:spacing w:before="40" w:after="40"/>
        <w:rPr/>
      </w:pPr>
      <w:r>
        <w:rPr>
          <w:rFonts w:eastAsia="Arial" w:cs="Arial"/>
          <w:sz w:val="20"/>
          <w:szCs w:val="20"/>
        </w:rPr>
        <w:t>ETH supply changes: The model uses 120M total supply as a constant. If staking participation grows from 29% to 50% by 2030, circulating (non-staked, non-locked) supply actually falls more than the model assumes — making the ETH price impact of demand drivers MORE pronounced. This is a conservative assumption that understates the upside.</w:t>
      </w:r>
    </w:p>
    <w:p>
      <w:pPr>
        <w:pStyle w:val="ListParagraph"/>
        <w:numPr>
          <w:ilvl w:val="0"/>
          <w:numId w:val="1"/>
        </w:numPr>
        <w:spacing w:before="40" w:after="40"/>
        <w:rPr/>
      </w:pPr>
      <w:r>
        <w:rPr>
          <w:rFonts w:eastAsia="Arial" w:cs="Arial"/>
          <w:sz w:val="20"/>
          <w:szCs w:val="20"/>
        </w:rPr>
        <w:t>Macro tail risks: Global recession, banking crisis, or sovereign debt crisis could drive risk-off regardless of ETH fundamentals. The 2022 macro environment produced an 82% ETH drawdown independently of ETH fundamentals. The model does not embed a macro stress scenario — captured in the mNAV simultaneous stress scenario (Risk 2 in Section 10).</w:t>
      </w:r>
    </w:p>
    <w:p>
      <w:pPr>
        <w:pStyle w:val="ListParagraph"/>
        <w:numPr>
          <w:ilvl w:val="0"/>
          <w:numId w:val="1"/>
        </w:numPr>
        <w:spacing w:before="40" w:after="40"/>
        <w:rPr/>
      </w:pPr>
      <w:r>
        <w:rPr>
          <w:rFonts w:eastAsia="Arial" w:cs="Arial"/>
          <w:sz w:val="20"/>
          <w:szCs w:val="20"/>
        </w:rPr>
        <w:t>Monetary premium materialisation: The $50,000 2030 Bull case requires ETH to capture ~30% of gold's $18T monetary premium. The $30,000 2030 Base case requires ~17% gold capture — ambitious but more defensible. Section 15.7–15.13 provide the full stress-test of both scenarios.</w:t>
      </w:r>
    </w:p>
    <w:p>
      <w:pPr>
        <w:pStyle w:val="Normal"/>
        <w:spacing w:before="40" w:after="40"/>
        <w:rPr/>
      </w:pPr>
      <w:r>
        <w:rPr/>
      </w:r>
    </w:p>
    <w:p>
      <w:pPr>
        <w:pStyle w:val="Heading2"/>
        <w:spacing w:before="280" w:after="80"/>
        <w:rPr/>
      </w:pPr>
      <w:r>
        <w:rPr>
          <w:rFonts w:eastAsia="Arial" w:cs="Arial" w:ascii="Arial" w:hAnsi="Arial"/>
          <w:b/>
          <w:bCs/>
          <w:color w:val="2E75B6"/>
          <w:sz w:val="28"/>
          <w:szCs w:val="28"/>
        </w:rPr>
        <w:t>15.7  The Three-Layer Architecture of ETH Price Forecasts — Bull Scenario Analysis</w:t>
      </w:r>
    </w:p>
    <w:p>
      <w:pPr>
        <w:pStyle w:val="Normal"/>
        <w:spacing w:before="60" w:after="80"/>
        <w:rPr/>
      </w:pPr>
      <w:r>
        <w:rPr>
          <w:rFonts w:eastAsia="Arial" w:cs="Arial"/>
          <w:sz w:val="20"/>
          <w:szCs w:val="20"/>
        </w:rPr>
        <w:t>Note: Sections 15.7–15.13 analyse the structure of the Bull scenario ETH prices ($6,200 in 2026, $36,000 in 2029, $50,000 in 2030). These were the prior document base case values and are now correctly labelled as the 20%-probability Bull scenario. The analysis remains fully valid for understanding what the Bull scenario requires and what drives it — it simply applies to the 'if this goes well' outcome rather than the most probable outcome. The Base scenario (45% probability) uses $4,500 in 2026, $24,000 in 2029, and $30,000 in 2030.</w:t>
      </w:r>
    </w:p>
    <w:p>
      <w:pPr>
        <w:pStyle w:val="Normal"/>
        <w:spacing w:before="40" w:after="40"/>
        <w:rPr/>
      </w:pPr>
      <w:r>
        <w:rPr/>
      </w:r>
    </w:p>
    <w:p>
      <w:pPr>
        <w:pStyle w:val="Normal"/>
        <w:spacing w:before="60" w:after="80"/>
        <w:rPr/>
      </w:pPr>
      <w:r>
        <w:rPr>
          <w:rFonts w:eastAsia="Arial" w:cs="Arial"/>
          <w:sz w:val="20"/>
          <w:szCs w:val="20"/>
        </w:rPr>
        <w:t>Extended thinking stress-test reveals that the ETH price forecasts have a three-layer structure that the document previously left implicit. Understanding each layer is essential to knowing which assumptions to monitor and which failure modes to take seriously.</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600"/>
        <w:gridCol w:w="2100"/>
        <w:gridCol w:w="1000"/>
        <w:gridCol w:w="999"/>
        <w:gridCol w:w="1000"/>
        <w:gridCol w:w="2660"/>
      </w:tblGrid>
      <w:tr>
        <w:trPr>
          <w:tblHeader w:val="true"/>
        </w:trPr>
        <w:tc>
          <w:tcPr>
            <w:tcW w:w="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Layer</w:t>
            </w:r>
          </w:p>
        </w:tc>
        <w:tc>
          <w:tcPr>
            <w:tcW w:w="21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Description</w:t>
            </w:r>
          </w:p>
        </w:tc>
        <w:tc>
          <w:tcPr>
            <w:tcW w:w="1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 of 2026 forecast</w:t>
            </w:r>
          </w:p>
        </w:tc>
        <w:tc>
          <w:tcPr>
            <w:tcW w:w="9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 of 2029 forecast</w:t>
            </w:r>
          </w:p>
        </w:tc>
        <w:tc>
          <w:tcPr>
            <w:tcW w:w="1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 of 2030 forecast</w:t>
            </w:r>
          </w:p>
        </w:tc>
        <w:tc>
          <w:tcPr>
            <w:tcW w:w="26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Key risk</w:t>
            </w:r>
          </w:p>
        </w:tc>
      </w:tr>
      <w:tr>
        <w:trPr/>
        <w:tc>
          <w:tcPr>
            <w:tcW w:w="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 — BTC cycle beta</w:t>
            </w:r>
          </w:p>
        </w:tc>
        <w:tc>
          <w:tcPr>
            <w:tcW w:w="2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ETH's price if it simply maintains its historical correlation with BTC through the halving cycle. Derived from BTC post-halving peak forecast × ETH/BTC ratio.</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56% ($3,500)</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57% ($20,520)</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 ($17,500)</w:t>
            </w:r>
          </w:p>
        </w:tc>
        <w:tc>
          <w:tcPr>
            <w:tcW w:w="2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BTC cycle disappoints or ETH/BTC ratio stays at current lows (0.028) rather than recovering toward historical 0.076+</w:t>
            </w:r>
          </w:p>
        </w:tc>
      </w:tr>
      <w:tr>
        <w:trPr/>
        <w:tc>
          <w:tcPr>
            <w:tcW w:w="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 — Structural demand arithmetic</w:t>
            </w:r>
          </w:p>
        </w:tc>
        <w:tc>
          <w:tcPr>
            <w:tcW w:w="2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Direct supply-demand math from RWA working capital, SWF allocation, and agent gas burn. Produces a bottom-up ETH floor without reference to halving cycles or monetary premium.</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 ($215)</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 ($960)</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 ($1,800)</w:t>
            </w:r>
          </w:p>
        </w:tc>
        <w:tc>
          <w:tcPr>
            <w:tcW w:w="26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Drivers fail to materialise at scale (addressed in Section 15.12)</w:t>
            </w:r>
          </w:p>
        </w:tc>
      </w:tr>
      <w:tr>
        <w:trPr/>
        <w:tc>
          <w:tcPr>
            <w:tcW w:w="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3 — Monetary premium</w:t>
            </w:r>
          </w:p>
        </w:tc>
        <w:tc>
          <w:tcPr>
            <w:tcW w:w="2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increment above pure arithmetic reflecting ETH's role as institutional settlement currency / reserve asset. Analogous to gold's monetary premium above industrial value.</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40% ($2,485)</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40% ($14,520)</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61% ($30,700)</w:t>
            </w:r>
          </w:p>
        </w:tc>
        <w:tc>
          <w:tcPr>
            <w:tcW w:w="2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Monetary premium fails to develop — ETH remains a utility token rather than a reserve asset</w:t>
            </w:r>
          </w:p>
        </w:tc>
      </w:tr>
    </w:tbl>
    <w:p>
      <w:pPr>
        <w:pStyle w:val="Normal"/>
        <w:spacing w:before="40" w:after="40"/>
        <w:rPr/>
      </w:pPr>
      <w:r>
        <w:rPr/>
      </w:r>
    </w:p>
    <w:p>
      <w:pPr>
        <w:pStyle w:val="Normal"/>
        <w:spacing w:before="60" w:after="80"/>
        <w:rPr/>
      </w:pPr>
      <w:r>
        <w:rPr>
          <w:rFonts w:eastAsia="Arial" w:cs="Arial"/>
          <w:sz w:val="20"/>
          <w:szCs w:val="20"/>
        </w:rPr>
        <w:t>The most important finding from this analysis: the structural demand arithmetic (Layer 2) contributes only 3–4% of the forecast price. The dominant drivers are BTC cycle beta (57% in 2026–2029) and the monetary premium (40–61%). This does not invalidate the forecast — but it changes which questions investors should be asking. The question is not 'will RWA reach $8T?' but rather 'will ETH capture 30% of gold's monetary premium by 2030?'</w:t>
      </w:r>
    </w:p>
    <w:p>
      <w:pPr>
        <w:pStyle w:val="Normal"/>
        <w:spacing w:before="40" w:after="40"/>
        <w:rPr/>
      </w:pPr>
      <w:r>
        <w:rPr/>
      </w:r>
    </w:p>
    <w:p>
      <w:pPr>
        <w:pStyle w:val="Heading2"/>
        <w:spacing w:before="280" w:after="80"/>
        <w:rPr/>
      </w:pPr>
      <w:r>
        <w:rPr>
          <w:rFonts w:eastAsia="Arial" w:cs="Arial" w:ascii="Arial" w:hAnsi="Arial"/>
          <w:b/>
          <w:bCs/>
          <w:color w:val="2E75B6"/>
          <w:sz w:val="28"/>
          <w:szCs w:val="28"/>
        </w:rPr>
        <w:t>15.8  Bottom-Up Structural Floor (No BTC Beta, No Monetary Premium)</w:t>
      </w:r>
    </w:p>
    <w:p>
      <w:pPr>
        <w:pStyle w:val="Normal"/>
        <w:spacing w:before="60" w:after="80"/>
        <w:rPr/>
      </w:pPr>
      <w:r>
        <w:rPr>
          <w:rFonts w:eastAsia="Arial" w:cs="Arial"/>
          <w:sz w:val="20"/>
          <w:szCs w:val="20"/>
        </w:rPr>
        <w:t>The structural floor is what ETH would be worth if the BTC halving cycle never happened and if ETH earned zero monetary reserve premium — valued purely on organic platform growth plus the three demand drivers. This is the worst case if the monetary premium never develops, and it is the number that anchors the genuine bear floor.</w:t>
      </w:r>
    </w:p>
    <w:p>
      <w:pPr>
        <w:pStyle w:val="Normal"/>
        <w:spacing w:before="40" w:after="40"/>
        <w:rPr/>
      </w:pPr>
      <w:r>
        <w:rPr/>
      </w:r>
    </w:p>
    <w:tbl>
      <w:tblPr>
        <w:tblW w:w="9360" w:type="dxa"/>
        <w:jc w:val="left"/>
        <w:tblInd w:w="0" w:type="dxa"/>
        <w:tblLayout w:type="fixed"/>
        <w:tblCellMar>
          <w:top w:w="80" w:type="dxa"/>
          <w:left w:w="100" w:type="dxa"/>
          <w:bottom w:w="80" w:type="dxa"/>
          <w:right w:w="100" w:type="dxa"/>
        </w:tblCellMar>
      </w:tblPr>
      <w:tblGrid>
        <w:gridCol w:w="559"/>
        <w:gridCol w:w="1300"/>
        <w:gridCol w:w="1601"/>
        <w:gridCol w:w="1899"/>
        <w:gridCol w:w="1300"/>
        <w:gridCol w:w="2700"/>
      </w:tblGrid>
      <w:tr>
        <w:trPr>
          <w:tblHeader w:val="true"/>
        </w:trPr>
        <w:tc>
          <w:tcPr>
            <w:tcW w:w="5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Year</w:t>
            </w:r>
          </w:p>
        </w:tc>
        <w:tc>
          <w:tcPr>
            <w:tcW w:w="13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Organic market cap</w:t>
            </w:r>
          </w:p>
        </w:tc>
        <w:tc>
          <w:tcPr>
            <w:tcW w:w="16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Structural demand stock</w:t>
            </w:r>
          </w:p>
        </w:tc>
        <w:tc>
          <w:tcPr>
            <w:tcW w:w="18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Total implied market cap</w:t>
            </w:r>
          </w:p>
        </w:tc>
        <w:tc>
          <w:tcPr>
            <w:tcW w:w="13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Structural floor price</w:t>
            </w:r>
          </w:p>
        </w:tc>
        <w:tc>
          <w:tcPr>
            <w:tcW w:w="27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Notes</w:t>
            </w:r>
          </w:p>
        </w:tc>
      </w:tr>
      <w:tr>
        <w:trPr/>
        <w:tc>
          <w:tcPr>
            <w:tcW w:w="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2026 (yr-end)</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$336B (20% growth)</w:t>
            </w:r>
          </w:p>
        </w:tc>
        <w:tc>
          <w:tcPr>
            <w:tcW w:w="16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$5.6B (early SWF + RWA)</w:t>
            </w:r>
          </w:p>
        </w:tc>
        <w:tc>
          <w:tcPr>
            <w:tcW w:w="1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$341.6B</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~$2,840</w:t>
            </w:r>
          </w:p>
        </w:tc>
        <w:tc>
          <w:tcPr>
            <w:tcW w:w="27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BTC cycle beta and monetary premium account for virtually all of the $6,200 Bull case above this floor (Base case at $4,500 requires only BTC beta + modest ~1.1% gold monetary premium)</w:t>
            </w:r>
          </w:p>
        </w:tc>
      </w:tr>
      <w:tr>
        <w:trPr/>
        <w:tc>
          <w:tcPr>
            <w:tcW w:w="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2028</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$403B (20% growth)</w:t>
            </w:r>
          </w:p>
        </w:tc>
        <w:tc>
          <w:tcPr>
            <w:tcW w:w="16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$44.6B (SWF $40B + RWA)</w:t>
            </w:r>
          </w:p>
        </w:tc>
        <w:tc>
          <w:tcPr>
            <w:tcW w:w="1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$447.8B</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~$3,700–$4,300</w:t>
            </w:r>
          </w:p>
        </w:tc>
        <w:tc>
          <w:tcPr>
            <w:tcW w:w="27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Range reflects 20-30% organic growth assumption</w:t>
            </w:r>
          </w:p>
        </w:tc>
      </w:tr>
      <w:tr>
        <w:trPr/>
        <w:tc>
          <w:tcPr>
            <w:tcW w:w="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2029</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$484B (20% growth)</w:t>
            </w:r>
          </w:p>
        </w:tc>
        <w:tc>
          <w:tcPr>
            <w:tcW w:w="16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$67.2B (SWF $55B + RWA)</w:t>
            </w:r>
          </w:p>
        </w:tc>
        <w:tc>
          <w:tcPr>
            <w:tcW w:w="1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$551B</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~$4,500–$5,500</w:t>
            </w:r>
          </w:p>
        </w:tc>
        <w:tc>
          <w:tcPr>
            <w:tcW w:w="27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Structural demand alone cannot justify the $36,000 base case</w:t>
            </w:r>
          </w:p>
        </w:tc>
      </w:tr>
      <w:tr>
        <w:trPr/>
        <w:tc>
          <w:tcPr>
            <w:tcW w:w="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2030</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$581B (20% growth)</w:t>
            </w:r>
          </w:p>
        </w:tc>
        <w:tc>
          <w:tcPr>
            <w:tcW w:w="16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$85B (SWF $60B + RWA full)</w:t>
            </w:r>
          </w:p>
        </w:tc>
        <w:tc>
          <w:tcPr>
            <w:tcW w:w="1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$666B</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~$5,500–$7,000</w:t>
            </w:r>
          </w:p>
        </w:tc>
        <w:tc>
          <w:tcPr>
            <w:tcW w:w="27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The entire gap between $7,000 and $50,000 requires monetary premium</w:t>
            </w:r>
          </w:p>
        </w:tc>
      </w:tr>
    </w:tbl>
    <w:p>
      <w:pPr>
        <w:pStyle w:val="Normal"/>
        <w:spacing w:before="40" w:after="40"/>
        <w:rPr/>
      </w:pPr>
      <w:r>
        <w:rPr/>
      </w:r>
    </w:p>
    <w:p>
      <w:pPr>
        <w:pStyle w:val="Normal"/>
        <w:spacing w:before="60" w:after="80"/>
        <w:rPr/>
      </w:pPr>
      <w:r>
        <w:rPr>
          <w:rFonts w:eastAsia="Arial" w:cs="Arial"/>
          <w:sz w:val="20"/>
          <w:szCs w:val="20"/>
        </w:rPr>
        <w:t>The structural floor growing from $2,840 (2026) to $5,500–$7,000 (2030) represents a genuine improvement over prior cycles, where the structural floor was approximately $500–$1,000 (pure speculative value). The existence of a $5,500–$7,000 structural floor in 2030 is the reason ETH in a severe bear should not revisit 2022 lows ($880) — institutional holders with non-discretionary demand provide a permanently higher floor. But this floor is far below the $50,000 base case.</w:t>
      </w:r>
    </w:p>
    <w:p>
      <w:pPr>
        <w:pStyle w:val="Normal"/>
        <w:spacing w:before="40" w:after="40"/>
        <w:rPr/>
      </w:pPr>
      <w:r>
        <w:rPr/>
      </w:r>
    </w:p>
    <w:p>
      <w:pPr>
        <w:pStyle w:val="Heading2"/>
        <w:spacing w:before="280" w:after="80"/>
        <w:rPr/>
      </w:pPr>
      <w:r>
        <w:rPr>
          <w:rFonts w:eastAsia="Arial" w:cs="Arial" w:ascii="Arial" w:hAnsi="Arial"/>
          <w:b/>
          <w:bCs/>
          <w:color w:val="2E75B6"/>
          <w:sz w:val="28"/>
          <w:szCs w:val="28"/>
        </w:rPr>
        <w:t>15.9  The Monetary Premium Requirement</w:t>
      </w:r>
    </w:p>
    <w:p>
      <w:pPr>
        <w:pStyle w:val="Normal"/>
        <w:spacing w:before="60" w:after="80"/>
        <w:rPr/>
      </w:pPr>
      <w:r>
        <w:rPr>
          <w:rFonts w:eastAsia="Arial" w:cs="Arial"/>
          <w:sz w:val="20"/>
          <w:szCs w:val="20"/>
        </w:rPr>
        <w:t>The gap between the structural floor and the forecast price must be filled by the monetary premium — ETH being valued as a reserve asset in the same way gold is, beyond its direct utility value. The table below shows exactly how much of gold's $18T monetary premium ETH must capture at each forecast price:</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1100"/>
        <w:gridCol w:w="899"/>
        <w:gridCol w:w="1100"/>
        <w:gridCol w:w="1401"/>
        <w:gridCol w:w="1199"/>
        <w:gridCol w:w="2660"/>
      </w:tblGrid>
      <w:tr>
        <w:trPr>
          <w:tblHeader w:val="true"/>
        </w:trPr>
        <w:tc>
          <w:tcPr>
            <w:tcW w:w="11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Year / Scenario</w:t>
            </w:r>
          </w:p>
        </w:tc>
        <w:tc>
          <w:tcPr>
            <w:tcW w:w="8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Forecast price</w:t>
            </w:r>
          </w:p>
        </w:tc>
        <w:tc>
          <w:tcPr>
            <w:tcW w:w="11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Structural floor</w:t>
            </w:r>
          </w:p>
        </w:tc>
        <w:tc>
          <w:tcPr>
            <w:tcW w:w="14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Required monetary premium</w:t>
            </w:r>
          </w:p>
        </w:tc>
        <w:tc>
          <w:tcPr>
            <w:tcW w:w="1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Required % of gold's $18T</w:t>
            </w:r>
          </w:p>
        </w:tc>
        <w:tc>
          <w:tcPr>
            <w:tcW w:w="26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Assessment</w:t>
            </w:r>
          </w:p>
        </w:tc>
      </w:tr>
      <w:tr>
        <w:trPr/>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2026 BASE (45%)</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$4,500</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$2,840</w:t>
            </w:r>
          </w:p>
        </w:tc>
        <w:tc>
          <w:tcPr>
            <w:tcW w:w="1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~$200B</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w:t>
            </w:r>
          </w:p>
        </w:tc>
        <w:tc>
          <w:tcPr>
            <w:tcW w:w="2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Achievable — equivalent to current staking yield re-rating</w:t>
            </w:r>
          </w:p>
        </w:tc>
      </w:tr>
      <w:tr>
        <w:trPr/>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2026 BULL (20%)</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$6,200</w:t>
            </w:r>
          </w:p>
        </w:tc>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$2,840</w:t>
            </w:r>
          </w:p>
        </w:tc>
        <w:tc>
          <w:tcPr>
            <w:tcW w:w="14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~$299B</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w:t>
            </w:r>
          </w:p>
        </w:tc>
        <w:tc>
          <w:tcPr>
            <w:tcW w:w="26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Achievable — modest institutional narrative premium</w:t>
            </w:r>
          </w:p>
        </w:tc>
      </w:tr>
      <w:tr>
        <w:trPr/>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2028 BASE (45%)</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$18,000</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$4,000</w:t>
            </w:r>
          </w:p>
        </w:tc>
        <w:tc>
          <w:tcPr>
            <w:tcW w:w="1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~$1,690B</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~9.4%</w:t>
            </w:r>
          </w:p>
        </w:tc>
        <w:tc>
          <w:tcPr>
            <w:tcW w:w="2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Plausible if RWA $100B+ and CLARITY passed</w:t>
            </w:r>
          </w:p>
        </w:tc>
      </w:tr>
      <w:tr>
        <w:trPr/>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2028 BULL (20%)</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$27,000</w:t>
            </w:r>
          </w:p>
        </w:tc>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$4,000</w:t>
            </w:r>
          </w:p>
        </w:tc>
        <w:tc>
          <w:tcPr>
            <w:tcW w:w="14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~$2,816B</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~15.6%</w:t>
            </w:r>
          </w:p>
        </w:tc>
        <w:tc>
          <w:tcPr>
            <w:tcW w:w="26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Significant — requires confirmed institutional deployment</w:t>
            </w:r>
          </w:p>
        </w:tc>
      </w:tr>
      <w:tr>
        <w:trPr/>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2029 BASE (45%)</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$24,000</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$4,700</w:t>
            </w:r>
          </w:p>
        </w:tc>
        <w:tc>
          <w:tcPr>
            <w:tcW w:w="1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~$2,338B</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~13.0%</w:t>
            </w:r>
          </w:p>
        </w:tc>
        <w:tc>
          <w:tcPr>
            <w:tcW w:w="2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Plausible with SWF signalling and RWA $200B+</w:t>
            </w:r>
          </w:p>
        </w:tc>
      </w:tr>
      <w:tr>
        <w:trPr/>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2029 BULL (20%)</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$36,000</w:t>
            </w:r>
          </w:p>
        </w:tc>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$4,700</w:t>
            </w:r>
          </w:p>
        </w:tc>
        <w:tc>
          <w:tcPr>
            <w:tcW w:w="14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~$3,812B</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~21.2%</w:t>
            </w:r>
          </w:p>
        </w:tc>
        <w:tc>
          <w:tcPr>
            <w:tcW w:w="26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Ambitious — requires confirmed SWF deployment</w:t>
            </w:r>
          </w:p>
        </w:tc>
      </w:tr>
      <w:tr>
        <w:trPr/>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2030 BASE (45%)</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$30,000</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$5,500</w:t>
            </w:r>
          </w:p>
        </w:tc>
        <w:tc>
          <w:tcPr>
            <w:tcW w:w="1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~$2,966B</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~16.5%</w:t>
            </w:r>
          </w:p>
        </w:tc>
        <w:tc>
          <w:tcPr>
            <w:tcW w:w="26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Achievable if institutional adoption progresses</w:t>
            </w:r>
          </w:p>
        </w:tc>
      </w:tr>
      <w:tr>
        <w:trPr/>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2030 BULL (20%)</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$50,000</w:t>
            </w:r>
          </w:p>
        </w:tc>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$5,500</w:t>
            </w:r>
          </w:p>
        </w:tc>
        <w:tc>
          <w:tcPr>
            <w:tcW w:w="14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~$5,415B</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w:t>
            </w:r>
          </w:p>
        </w:tc>
        <w:tc>
          <w:tcPr>
            <w:tcW w:w="26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Extraordinary — no historical precedent in 4 years</w:t>
            </w:r>
          </w:p>
        </w:tc>
      </w:tr>
    </w:tbl>
    <w:p>
      <w:pPr>
        <w:pStyle w:val="Normal"/>
        <w:spacing w:before="40" w:after="40"/>
        <w:rPr/>
      </w:pPr>
      <w:r>
        <w:rPr/>
      </w:r>
    </w:p>
    <w:p>
      <w:pPr>
        <w:pStyle w:val="Normal"/>
        <w:spacing w:before="60" w:after="80"/>
        <w:rPr/>
      </w:pPr>
      <w:r>
        <w:rPr>
          <w:rFonts w:eastAsia="Arial" w:cs="Arial"/>
          <w:sz w:val="20"/>
          <w:szCs w:val="20"/>
        </w:rPr>
        <w:t>The 2026 requirement (1.7% of gold's premium) is modest and already partially achieved through the ETH staking yield narrative. The 2029 requirement (21%) is ambitious but plausible if SWF deployments and RWA tokenization are confirmed and visible. The 2030 requirement (30%) is extraordinary — no precedent exists for any asset capturing this fraction of gold's reserve premium in so short a timeframe. This does not make it impossible: gold itself only reached its current premium over a multi-decade period as the gold standard collapsed. But investors should understand that the $50,000 base case is contingent on an assumption with no historical precedent.</w:t>
      </w:r>
    </w:p>
    <w:p>
      <w:pPr>
        <w:pStyle w:val="Normal"/>
        <w:spacing w:before="40" w:after="40"/>
        <w:rPr/>
      </w:pPr>
      <w:r>
        <w:rPr/>
      </w:r>
    </w:p>
    <w:tbl>
      <w:tblPr>
        <w:tblW w:w="7360" w:type="dxa"/>
        <w:jc w:val="left"/>
        <w:tblInd w:w="0" w:type="dxa"/>
        <w:tblLayout w:type="fixed"/>
        <w:tblCellMar>
          <w:top w:w="80" w:type="dxa"/>
          <w:left w:w="100" w:type="dxa"/>
          <w:bottom w:w="80" w:type="dxa"/>
          <w:right w:w="100" w:type="dxa"/>
        </w:tblCellMar>
      </w:tblPr>
      <w:tblGrid>
        <w:gridCol w:w="1000"/>
        <w:gridCol w:w="1300"/>
        <w:gridCol w:w="5060"/>
      </w:tblGrid>
      <w:tr>
        <w:trPr>
          <w:tblHeader w:val="true"/>
        </w:trPr>
        <w:tc>
          <w:tcPr>
            <w:tcW w:w="1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Gold capture %</w:t>
            </w:r>
          </w:p>
        </w:tc>
        <w:tc>
          <w:tcPr>
            <w:tcW w:w="13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2030 ETH price implication</w:t>
            </w:r>
          </w:p>
        </w:tc>
        <w:tc>
          <w:tcPr>
            <w:tcW w:w="50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Description</w:t>
            </w:r>
          </w:p>
        </w:tc>
      </w:tr>
      <w:tr>
        <w:trPr/>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0% (no monetary premium)</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$5,500–$7,000</w:t>
            </w:r>
          </w:p>
        </w:tc>
        <w:tc>
          <w:tcPr>
            <w:tcW w:w="50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Pure structural demand floor — organic growth + RWA + SWF only</w:t>
            </w:r>
          </w:p>
        </w:tc>
      </w:tr>
      <w:tr>
        <w:trPr/>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5%</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~$12,900</w:t>
            </w:r>
          </w:p>
        </w:tc>
        <w:tc>
          <w:tcPr>
            <w:tcW w:w="50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treated as a minor reserve asset — comparable to silver's monetary status</w:t>
            </w:r>
          </w:p>
        </w:tc>
      </w:tr>
      <w:tr>
        <w:trPr/>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10%</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~$20,302</w:t>
            </w:r>
          </w:p>
        </w:tc>
        <w:tc>
          <w:tcPr>
            <w:tcW w:w="50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Moderate institutional reserve allocation — ETH alongside gold in conservative portfolios</w:t>
            </w:r>
          </w:p>
        </w:tc>
      </w:tr>
      <w:tr>
        <w:trPr/>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15%</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~$27,703</w:t>
            </w:r>
          </w:p>
        </w:tc>
        <w:tc>
          <w:tcPr>
            <w:tcW w:w="50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Meaningful reserve status — SWFs treating ETH as a primary digital reserve</w:t>
            </w:r>
          </w:p>
        </w:tc>
      </w:tr>
      <w:tr>
        <w:trPr/>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~$35,105</w:t>
            </w:r>
          </w:p>
        </w:tc>
        <w:tc>
          <w:tcPr>
            <w:tcW w:w="50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Strong reserve status — ETH as the dominant digital reserve asset</w:t>
            </w:r>
          </w:p>
        </w:tc>
      </w:tr>
      <w:tr>
        <w:trPr/>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30% (document base case)</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~$49,908</w:t>
            </w:r>
          </w:p>
        </w:tc>
        <w:tc>
          <w:tcPr>
            <w:tcW w:w="50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Full institutional adoption as reserve asset — comparable in role to gold for digital finance</w:t>
            </w:r>
          </w:p>
        </w:tc>
      </w:tr>
      <w:tr>
        <w:trPr/>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40%</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~$64,710</w:t>
            </w:r>
          </w:p>
        </w:tc>
        <w:tc>
          <w:tcPr>
            <w:tcW w:w="50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Bull case if gold narrative fully materialises — ETH displacing significant gold allocation</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15.10  Price Decomposition by Year (Full Three-Layer)</w:t>
      </w:r>
    </w:p>
    <w:p>
      <w:pPr>
        <w:pStyle w:val="Normal"/>
        <w:spacing w:before="60" w:after="80"/>
        <w:rPr/>
      </w:pPr>
      <w:r>
        <w:rPr>
          <w:rFonts w:eastAsia="Arial" w:cs="Arial"/>
          <w:sz w:val="20"/>
          <w:szCs w:val="20"/>
        </w:rPr>
        <w:t>This table shows the complete decomposition of the base case ETH price at each key forecast year into its three constituent layers:</w:t>
      </w:r>
    </w:p>
    <w:p>
      <w:pPr>
        <w:pStyle w:val="Normal"/>
        <w:spacing w:before="40" w:after="40"/>
        <w:rPr/>
      </w:pPr>
      <w:r>
        <w:rPr/>
      </w:r>
    </w:p>
    <w:tbl>
      <w:tblPr>
        <w:tblW w:w="7360" w:type="dxa"/>
        <w:jc w:val="left"/>
        <w:tblInd w:w="0" w:type="dxa"/>
        <w:tblLayout w:type="fixed"/>
        <w:tblCellMar>
          <w:top w:w="80" w:type="dxa"/>
          <w:left w:w="100" w:type="dxa"/>
          <w:bottom w:w="80" w:type="dxa"/>
          <w:right w:w="100" w:type="dxa"/>
        </w:tblCellMar>
      </w:tblPr>
      <w:tblGrid>
        <w:gridCol w:w="560"/>
        <w:gridCol w:w="1000"/>
        <w:gridCol w:w="1200"/>
        <w:gridCol w:w="1000"/>
        <w:gridCol w:w="1799"/>
        <w:gridCol w:w="1800"/>
      </w:tblGrid>
      <w:tr>
        <w:trPr>
          <w:tblHeader w:val="true"/>
        </w:trPr>
        <w:tc>
          <w:tcPr>
            <w:tcW w:w="5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Year</w:t>
            </w:r>
          </w:p>
        </w:tc>
        <w:tc>
          <w:tcPr>
            <w:tcW w:w="1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Forecast price</w:t>
            </w:r>
          </w:p>
        </w:tc>
        <w:tc>
          <w:tcPr>
            <w:tcW w:w="12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Layer 1: BTC beta</w:t>
            </w:r>
          </w:p>
        </w:tc>
        <w:tc>
          <w:tcPr>
            <w:tcW w:w="1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Layer 2: Structural</w:t>
            </w:r>
          </w:p>
        </w:tc>
        <w:tc>
          <w:tcPr>
            <w:tcW w:w="17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Layer 3: Monetary premium</w:t>
            </w:r>
          </w:p>
        </w:tc>
        <w:tc>
          <w:tcPr>
            <w:tcW w:w="1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Gold capture required</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2026 BASE (45%)</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$4,500</w:t>
            </w:r>
          </w:p>
        </w:tc>
        <w:tc>
          <w:tcPr>
            <w:tcW w:w="1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$2,700 (60%)</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$150 (3%)</w:t>
            </w:r>
          </w:p>
        </w:tc>
        <w:tc>
          <w:tcPr>
            <w:tcW w:w="17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$1,650 (37%)</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~0.9% of gold — already partially achieved</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2026 BULL (20%)</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$6,200</w:t>
            </w:r>
          </w:p>
        </w:tc>
        <w:tc>
          <w:tcPr>
            <w:tcW w:w="1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$3,500 (56%)</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$215 (3%)</w:t>
            </w:r>
          </w:p>
        </w:tc>
        <w:tc>
          <w:tcPr>
            <w:tcW w:w="17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$2,485 (40%)</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 of gold — achievable post-CLARITY</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2029 BASE (45%)</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$24,000</w:t>
            </w:r>
          </w:p>
        </w:tc>
        <w:tc>
          <w:tcPr>
            <w:tcW w:w="1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$13,680 (57%)</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$640 (3%)</w:t>
            </w:r>
          </w:p>
        </w:tc>
        <w:tc>
          <w:tcPr>
            <w:tcW w:w="17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$9,680 (40%)</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~6.5% of gold — plausible if RWA $100B+ on ETH</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2029 BULL (20%)</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$36,000</w:t>
            </w:r>
          </w:p>
        </w:tc>
        <w:tc>
          <w:tcPr>
            <w:tcW w:w="1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$20,520 (57%)</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$960 (3%)</w:t>
            </w:r>
          </w:p>
        </w:tc>
        <w:tc>
          <w:tcPr>
            <w:tcW w:w="17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$14,520 (40%)</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~9.8% of gold — requires confirmed SWF deployment</w:t>
            </w:r>
          </w:p>
        </w:tc>
      </w:tr>
      <w:tr>
        <w:trPr/>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2030 BASE (45%)</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$30,000</w:t>
            </w:r>
          </w:p>
        </w:tc>
        <w:tc>
          <w:tcPr>
            <w:tcW w:w="1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$10,500 (35%)</w:t>
            </w:r>
          </w:p>
        </w:tc>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$1,080 (4%)</w:t>
            </w:r>
          </w:p>
        </w:tc>
        <w:tc>
          <w:tcPr>
            <w:tcW w:w="17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$18,420 (61%)</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~17.3% of gold — ambitious but achievable with SWFs</w:t>
            </w:r>
          </w:p>
        </w:tc>
      </w:tr>
      <w:tr>
        <w:trPr/>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2030 BULL (20%)</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$50,000</w:t>
            </w:r>
          </w:p>
        </w:tc>
        <w:tc>
          <w:tcPr>
            <w:tcW w:w="1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$17,500 (35%)</w:t>
            </w:r>
          </w:p>
        </w:tc>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$1,800 (4%)</w:t>
            </w:r>
          </w:p>
        </w:tc>
        <w:tc>
          <w:tcPr>
            <w:tcW w:w="17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$30,700 (61%)</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 of gold — extraordinary, no historical precedent</w:t>
            </w:r>
          </w:p>
        </w:tc>
      </w:tr>
    </w:tbl>
    <w:p>
      <w:pPr>
        <w:pStyle w:val="Normal"/>
        <w:spacing w:before="40" w:after="40"/>
        <w:rPr/>
      </w:pPr>
      <w:r>
        <w:rPr/>
      </w:r>
    </w:p>
    <w:p>
      <w:pPr>
        <w:pStyle w:val="Normal"/>
        <w:spacing w:before="60" w:after="80"/>
        <w:rPr/>
      </w:pPr>
      <w:r>
        <w:rPr>
          <w:rFonts w:eastAsia="Arial" w:cs="Arial"/>
          <w:sz w:val="20"/>
          <w:szCs w:val="20"/>
        </w:rPr>
        <w:t>The shift in layer composition between 2029 and 2030 is analytically significant. In 2029, BTC cycle beta still dominates (57%). By 2030, the monetary premium dominates (61%) — reflecting the document's assertion that 2030 is a 'consolidation' year where the cycle has peaked but ETH holds value due to structural institutional adoption. This is internally consistent but requires the monetary premium to develop durably, not just speculatively.</w:t>
      </w:r>
    </w:p>
    <w:p>
      <w:pPr>
        <w:pStyle w:val="Normal"/>
        <w:spacing w:before="40" w:after="40"/>
        <w:rPr/>
      </w:pPr>
      <w:r>
        <w:rPr/>
      </w:r>
    </w:p>
    <w:p>
      <w:pPr>
        <w:pStyle w:val="Heading2"/>
        <w:spacing w:before="280" w:after="80"/>
        <w:rPr/>
      </w:pPr>
      <w:r>
        <w:rPr>
          <w:rFonts w:eastAsia="Arial" w:cs="Arial" w:ascii="Arial" w:hAnsi="Arial"/>
          <w:b/>
          <w:bCs/>
          <w:color w:val="2E75B6"/>
          <w:sz w:val="28"/>
          <w:szCs w:val="28"/>
        </w:rPr>
        <w:t>15.11  Revised 2031 Correction Analysis</w:t>
      </w:r>
    </w:p>
    <w:p>
      <w:pPr>
        <w:pStyle w:val="Normal"/>
        <w:spacing w:before="60" w:after="80"/>
        <w:rPr/>
      </w:pPr>
      <w:r>
        <w:rPr>
          <w:rFonts w:eastAsia="Arial" w:cs="Arial"/>
          <w:sz w:val="20"/>
          <w:szCs w:val="20"/>
        </w:rPr>
        <w:t>The 2031 Bull scenario ($36,000 = −28% from the $50,000 2030 Bull peak) was previously identified as the single weakest assumption in the ETH price model. In the new Base scenario, the 2031 correction is from $30,000 to $15,000 (−50%), which is a more realistic assumption. The extended thinking analysis now quantifies why it is weak and what a more defensible 2031 floor looks like.</w:t>
      </w:r>
    </w:p>
    <w:p>
      <w:pPr>
        <w:pStyle w:val="Normal"/>
        <w:spacing w:before="40" w:after="40"/>
        <w:rPr/>
      </w:pPr>
      <w:r>
        <w:rPr/>
      </w:r>
    </w:p>
    <w:p>
      <w:pPr>
        <w:pStyle w:val="Normal"/>
        <w:spacing w:before="60" w:after="80"/>
        <w:rPr/>
      </w:pPr>
      <w:r>
        <w:rPr>
          <w:rFonts w:eastAsia="Arial" w:cs="Arial"/>
          <w:sz w:val="20"/>
          <w:szCs w:val="20"/>
        </w:rPr>
        <w:t>The structural demand creates a genuine bear market floor that did not exist in prior cycles. In 2022, ETH fell from $4,800 to $880 (−82%) with zero SWF holders, zero RWA working capital demand, and no staking yield creating a holding incentive. The 2031 correction will be shallower than 2022 for specific, quantifiable reasons — but not as shallow as −28%.</w:t>
      </w:r>
    </w:p>
    <w:p>
      <w:pPr>
        <w:pStyle w:val="Normal"/>
        <w:spacing w:before="40" w:after="40"/>
        <w:rPr/>
      </w:pPr>
      <w:r>
        <w:rPr/>
      </w:r>
    </w:p>
    <w:tbl>
      <w:tblPr>
        <w:tblW w:w="7360" w:type="dxa"/>
        <w:jc w:val="left"/>
        <w:tblInd w:w="0" w:type="dxa"/>
        <w:tblLayout w:type="fixed"/>
        <w:tblCellMar>
          <w:top w:w="80" w:type="dxa"/>
          <w:left w:w="100" w:type="dxa"/>
          <w:bottom w:w="80" w:type="dxa"/>
          <w:right w:w="100" w:type="dxa"/>
        </w:tblCellMar>
      </w:tblPr>
      <w:tblGrid>
        <w:gridCol w:w="1600"/>
        <w:gridCol w:w="900"/>
        <w:gridCol w:w="999"/>
        <w:gridCol w:w="3001"/>
        <w:gridCol w:w="860"/>
      </w:tblGrid>
      <w:tr>
        <w:trPr>
          <w:tblHeader w:val="true"/>
        </w:trPr>
        <w:tc>
          <w:tcPr>
            <w:tcW w:w="1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2031 scenario</w:t>
            </w:r>
          </w:p>
        </w:tc>
        <w:tc>
          <w:tcPr>
            <w:tcW w:w="9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 price</w:t>
            </w:r>
          </w:p>
        </w:tc>
        <w:tc>
          <w:tcPr>
            <w:tcW w:w="9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 decline from $50K</w:t>
            </w:r>
          </w:p>
        </w:tc>
        <w:tc>
          <w:tcPr>
            <w:tcW w:w="30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Structural justification</w:t>
            </w:r>
          </w:p>
        </w:tc>
        <w:tc>
          <w:tcPr>
            <w:tcW w:w="8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Probability</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Technical absolute floor</w:t>
            </w:r>
          </w:p>
        </w:tc>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$2,868</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94.3%</w:t>
            </w:r>
          </w:p>
        </w:tc>
        <w:tc>
          <w:tcPr>
            <w:tcW w:w="3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Pure utility value only. Catastrophic: monetary premium collapses AND structural thesis fails AND organic growth reverses.</w:t>
            </w:r>
          </w:p>
        </w:tc>
        <w:tc>
          <w:tcPr>
            <w:tcW w:w="8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2–3%</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Severe bear — structural intact, premium collapses</w:t>
            </w:r>
          </w:p>
        </w:tc>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$10,000–$15,000</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70% to −80%</w:t>
            </w:r>
          </w:p>
        </w:tc>
        <w:tc>
          <w:tcPr>
            <w:tcW w:w="3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Monetary premium returns to ~5% gold capture. Structural floor ($7K) + minimal monetary premium. Historical 2022-type correction.</w:t>
            </w:r>
          </w:p>
        </w:tc>
        <w:tc>
          <w:tcPr>
            <w:tcW w:w="8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15–20%</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Realistic base correction</w:t>
            </w:r>
          </w:p>
        </w:tc>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$15,000–$25,000</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50% to −70%</w:t>
            </w:r>
          </w:p>
        </w:tc>
        <w:tc>
          <w:tcPr>
            <w:tcW w:w="3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Monetary premium contracts to 10–15% gold capture. Structural demand absorbs some selling. RWA operators providing counter-cyclical bids.</w:t>
            </w:r>
          </w:p>
        </w:tc>
        <w:tc>
          <w:tcPr>
            <w:tcW w:w="8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45–50%</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Mild correction — structural thesis strongly validated</w:t>
            </w:r>
          </w:p>
        </w:tc>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$25,000–$35,000</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30% to −50%</w:t>
            </w:r>
          </w:p>
        </w:tc>
        <w:tc>
          <w:tcPr>
            <w:tcW w:w="3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Monetary premium holds at 20%+ gold capture. Institutional holders don't sell. 2031 correction shallower than cycles without institutional base.</w:t>
            </w:r>
          </w:p>
        </w:tc>
        <w:tc>
          <w:tcPr>
            <w:tcW w:w="8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25–30%</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Document's case — minor correction</w:t>
            </w:r>
          </w:p>
        </w:tc>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$36,000+</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28%</w:t>
            </w:r>
          </w:p>
        </w:tc>
        <w:tc>
          <w:tcPr>
            <w:tcW w:w="3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Monetary premium fully durable; institutional holders completely non-cyclical. Optimistic historical precedent.</w:t>
            </w:r>
          </w:p>
        </w:tc>
        <w:tc>
          <w:tcPr>
            <w:tcW w:w="8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5–10%</w:t>
            </w:r>
          </w:p>
        </w:tc>
      </w:tr>
    </w:tbl>
    <w:p>
      <w:pPr>
        <w:pStyle w:val="Normal"/>
        <w:spacing w:before="40" w:after="40"/>
        <w:rPr/>
      </w:pPr>
      <w:r>
        <w:rPr/>
      </w:r>
    </w:p>
    <w:p>
      <w:pPr>
        <w:pStyle w:val="Normal"/>
        <w:spacing w:before="60" w:after="80"/>
        <w:rPr/>
      </w:pPr>
      <w:r>
        <w:rPr>
          <w:rFonts w:eastAsia="Arial" w:cs="Arial"/>
          <w:sz w:val="20"/>
          <w:szCs w:val="20"/>
        </w:rPr>
        <w:t>Revised conclusion: the structural demand thesis genuinely raises the 2031 floor from ~$3,000–5,000 (equivalent to 2022 lows in dollar terms) to approximately $15,000–$25,000. This is a significant improvement — investors with a long time horizon and tolerance for a 50–70% drawdown can be confident the structural thesis provides a durable floor. But the document's −28% mild correction assumption should be understood as an optimistic scenario (5–10% probability), not a base case.</w:t>
      </w:r>
    </w:p>
    <w:p>
      <w:pPr>
        <w:pStyle w:val="Normal"/>
        <w:spacing w:before="40" w:after="40"/>
        <w:rPr/>
      </w:pPr>
      <w:r>
        <w:rPr/>
      </w:r>
    </w:p>
    <w:p>
      <w:pPr>
        <w:pStyle w:val="Heading2"/>
        <w:spacing w:before="280" w:after="80"/>
        <w:rPr/>
      </w:pPr>
      <w:r>
        <w:rPr>
          <w:rFonts w:eastAsia="Arial" w:cs="Arial" w:ascii="Arial" w:hAnsi="Arial"/>
          <w:b/>
          <w:bCs/>
          <w:color w:val="2E75B6"/>
          <w:sz w:val="28"/>
          <w:szCs w:val="28"/>
        </w:rPr>
        <w:t>15.12  Single-Driver Failure Sensitivity</w:t>
      </w:r>
    </w:p>
    <w:p>
      <w:pPr>
        <w:pStyle w:val="Normal"/>
        <w:spacing w:before="60" w:after="80"/>
        <w:rPr/>
      </w:pPr>
      <w:r>
        <w:rPr>
          <w:rFonts w:eastAsia="Arial" w:cs="Arial"/>
          <w:sz w:val="20"/>
          <w:szCs w:val="20"/>
        </w:rPr>
        <w:t>If any one of the three structural demand drivers fails to materialise — producing zero incremental ETH demand from that driver — what is the 2030 ETH price? Two effects are modelled: the direct supply/demand arithmetic change (small) and the monetary premium contraction (large, because each driver supports the institutional settlement layer narrative).</w:t>
      </w:r>
    </w:p>
    <w:p>
      <w:pPr>
        <w:pStyle w:val="Normal"/>
        <w:spacing w:before="40" w:after="40"/>
        <w:rPr/>
      </w:pPr>
      <w:r>
        <w:rPr/>
      </w:r>
    </w:p>
    <w:tbl>
      <w:tblPr>
        <w:tblW w:w="8460" w:type="dxa"/>
        <w:jc w:val="left"/>
        <w:tblInd w:w="0" w:type="dxa"/>
        <w:tblLayout w:type="fixed"/>
        <w:tblCellMar>
          <w:top w:w="80" w:type="dxa"/>
          <w:left w:w="100" w:type="dxa"/>
          <w:bottom w:w="80" w:type="dxa"/>
          <w:right w:w="100" w:type="dxa"/>
        </w:tblCellMar>
      </w:tblPr>
      <w:tblGrid>
        <w:gridCol w:w="1599"/>
        <w:gridCol w:w="1500"/>
        <w:gridCol w:w="1500"/>
        <w:gridCol w:w="900"/>
        <w:gridCol w:w="900"/>
        <w:gridCol w:w="2060"/>
      </w:tblGrid>
      <w:tr>
        <w:trPr>
          <w:tblHeader w:val="true"/>
        </w:trPr>
        <w:tc>
          <w:tcPr>
            <w:tcW w:w="15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Failure scenario</w:t>
            </w:r>
          </w:p>
        </w:tc>
        <w:tc>
          <w:tcPr>
            <w:tcW w:w="15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Direct effect on structural floor</w:t>
            </w:r>
          </w:p>
        </w:tc>
        <w:tc>
          <w:tcPr>
            <w:tcW w:w="15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Revised monetary premium</w:t>
            </w:r>
          </w:p>
        </w:tc>
        <w:tc>
          <w:tcPr>
            <w:tcW w:w="9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Implied 2030 ETH</w:t>
            </w:r>
          </w:p>
        </w:tc>
        <w:tc>
          <w:tcPr>
            <w:tcW w:w="9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vs base $50,000</w:t>
            </w:r>
          </w:p>
        </w:tc>
        <w:tc>
          <w:tcPr>
            <w:tcW w:w="20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Primary mechanism</w:t>
            </w:r>
          </w:p>
        </w:tc>
      </w:tr>
      <w:tr>
        <w:trPr/>
        <w:tc>
          <w:tcPr>
            <w:tcW w:w="15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Driver A: RWA = zero (ETH loses all institutional tokenization to private chains)</w:t>
            </w:r>
          </w:p>
        </w:tc>
        <w:tc>
          <w:tcPr>
            <w:tcW w:w="15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$22.5B structural demand; floor falls from $5,500 to $5,268</w:t>
            </w:r>
          </w:p>
        </w:tc>
        <w:tc>
          <w:tcPr>
            <w:tcW w:w="15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Collapses from 30% gold capture to 8% gold capture ($1,440B) — ETH loses its institutional settlement layer narrative entirely</w:t>
            </w:r>
          </w:p>
        </w:tc>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$15,000–$20,000</w:t>
            </w:r>
          </w:p>
        </w:tc>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60% to −70%</w:t>
            </w:r>
          </w:p>
        </w:tc>
        <w:tc>
          <w:tcPr>
            <w:tcW w:w="20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RWA is the load-bearing pillar: it drives the monetary premium narrative more than any other single factor. Its failure makes ETH a speculative utility token, not a reserve asset.</w:t>
            </w:r>
          </w:p>
        </w:tc>
      </w:tr>
      <w:tr>
        <w:trPr/>
        <w:tc>
          <w:tcPr>
            <w:tcW w:w="15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Driver B: SWF = zero (all SWFs choose BTC over ETH)</w:t>
            </w:r>
          </w:p>
        </w:tc>
        <w:tc>
          <w:tcPr>
            <w:tcW w:w="15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$60B structural demand; floor falls from $5,500 to $4,980</w:t>
            </w:r>
          </w:p>
        </w:tc>
        <w:tc>
          <w:tcPr>
            <w:tcW w:w="15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Contracts from 30% to 18% gold capture ($3,240B) — sovereign interest signals weakened but RWA/agent theses remain</w:t>
            </w:r>
          </w:p>
        </w:tc>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$28,000–$35,000</w:t>
            </w:r>
          </w:p>
        </w:tc>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30% to −44%</w:t>
            </w:r>
          </w:p>
        </w:tc>
        <w:tc>
          <w:tcPr>
            <w:tcW w:w="20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SWF failure is primarily a narrative loss; the direct supply arithmetic is less important than the signal that sovereigns prefer BTC as the reserve asset.</w:t>
            </w:r>
          </w:p>
        </w:tc>
      </w:tr>
      <w:tr>
        <w:trPr/>
        <w:tc>
          <w:tcPr>
            <w:tcW w:w="15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Driver C: Agents = zero (agent economy runs entirely on non-ETH chains)</w:t>
            </w:r>
          </w:p>
        </w:tc>
        <w:tc>
          <w:tcPr>
            <w:tcW w:w="15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$2.5B structural demand; virtually no effect on floor</w:t>
            </w:r>
          </w:p>
        </w:tc>
        <w:tc>
          <w:tcPr>
            <w:tcW w:w="15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Contracts from 30% to 26% gold capture ($4,680B) — modest narrative reduction</w:t>
            </w:r>
          </w:p>
        </w:tc>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$40,000–$46,000</w:t>
            </w:r>
          </w:p>
        </w:tc>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8% to −20%</w:t>
            </w:r>
          </w:p>
        </w:tc>
        <w:tc>
          <w:tcPr>
            <w:tcW w:w="20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Agent AI gas demand contributes negligibly to the structural arithmetic. Its primary value is in the monetary premium narrative ('ETH IS the machine economy reserve'). Its failure is the least damaging single-driver scenario.</w:t>
            </w:r>
          </w:p>
        </w:tc>
      </w:tr>
      <w:tr>
        <w:trPr/>
        <w:tc>
          <w:tcPr>
            <w:tcW w:w="15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All three fail simultaneously</w:t>
            </w:r>
          </w:p>
        </w:tc>
        <w:tc>
          <w:tcPr>
            <w:tcW w:w="15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Pure organic: ~$5,474 structural floor</w:t>
            </w:r>
          </w:p>
        </w:tc>
        <w:tc>
          <w:tcPr>
            <w:tcW w:w="15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Contracts to 5% gold capture ($900B)</w:t>
            </w:r>
          </w:p>
        </w:tc>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$10,000–$14,000</w:t>
            </w:r>
          </w:p>
        </w:tc>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72% to −80%</w:t>
            </w:r>
          </w:p>
        </w:tc>
        <w:tc>
          <w:tcPr>
            <w:tcW w:w="20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Combined failure is the Table E no-CLARITY scenario extended globally. ETH returns to a pure BTC-cycle-beta asset with no ETH-specific institutional premium.</w:t>
            </w:r>
          </w:p>
        </w:tc>
      </w:tr>
    </w:tbl>
    <w:p>
      <w:pPr>
        <w:pStyle w:val="Normal"/>
        <w:spacing w:before="40" w:after="40"/>
        <w:rPr/>
      </w:pPr>
      <w:r>
        <w:rPr/>
      </w:r>
    </w:p>
    <w:p>
      <w:pPr>
        <w:pStyle w:val="Normal"/>
        <w:spacing w:before="60" w:after="80"/>
        <w:rPr/>
      </w:pPr>
      <w:r>
        <w:rPr>
          <w:rFonts w:eastAsia="Arial" w:cs="Arial"/>
          <w:sz w:val="20"/>
          <w:szCs w:val="20"/>
        </w:rPr>
        <w:t>The critical implication: RWA tokenization on Ethereum is the single most important driver to monitor — more important than SWF announcements or agent adoption. Its failure has the largest price impact because it undermines both the direct structural demand AND the monetary premium narrative simultaneously. This makes the RWA on-chain data available at rwa.xyz the most actionable real-time tracking metric in the entire document.</w:t>
      </w:r>
    </w:p>
    <w:p>
      <w:pPr>
        <w:pStyle w:val="Normal"/>
        <w:spacing w:before="40" w:after="40"/>
        <w:rPr/>
      </w:pPr>
      <w:r>
        <w:rPr/>
      </w:r>
    </w:p>
    <w:p>
      <w:pPr>
        <w:pStyle w:val="Heading2"/>
        <w:spacing w:before="280" w:after="80"/>
        <w:rPr/>
      </w:pPr>
      <w:r>
        <w:rPr>
          <w:rFonts w:eastAsia="Arial" w:cs="Arial" w:ascii="Arial" w:hAnsi="Arial"/>
          <w:b/>
          <w:bCs/>
          <w:color w:val="2E75B6"/>
          <w:sz w:val="28"/>
          <w:szCs w:val="28"/>
        </w:rPr>
        <w:t>15.13  The Single Most Trackable Validation Metric</w:t>
      </w:r>
    </w:p>
    <w:p>
      <w:pPr>
        <w:pStyle w:val="Normal"/>
        <w:spacing w:before="60" w:after="80"/>
        <w:rPr/>
      </w:pPr>
      <w:r>
        <w:rPr>
          <w:rFonts w:eastAsia="Arial" w:cs="Arial"/>
          <w:sz w:val="20"/>
          <w:szCs w:val="20"/>
        </w:rPr>
        <w:t>Based on the extended thinking analysis, one metric gates the entire structural thesis: tokenized RWA value on Ethereum. It is directly measurable at rwa.xyz in real time, it drives both the structural demand arithmetic and the monetary premium narrative, and it has specific thresholds that validate or refute the forecast.</w:t>
      </w:r>
    </w:p>
    <w:p>
      <w:pPr>
        <w:pStyle w:val="Normal"/>
        <w:spacing w:before="40" w:after="40"/>
        <w:rPr/>
      </w:pPr>
      <w:r>
        <w:rPr/>
      </w:r>
    </w:p>
    <w:tbl>
      <w:tblPr>
        <w:tblW w:w="7360" w:type="dxa"/>
        <w:jc w:val="left"/>
        <w:tblInd w:w="0" w:type="dxa"/>
        <w:tblLayout w:type="fixed"/>
        <w:tblCellMar>
          <w:top w:w="80" w:type="dxa"/>
          <w:left w:w="100" w:type="dxa"/>
          <w:bottom w:w="80" w:type="dxa"/>
          <w:right w:w="100" w:type="dxa"/>
        </w:tblCellMar>
      </w:tblPr>
      <w:tblGrid>
        <w:gridCol w:w="1800"/>
        <w:gridCol w:w="1600"/>
        <w:gridCol w:w="1400"/>
        <w:gridCol w:w="2559"/>
      </w:tblGrid>
      <w:tr>
        <w:trPr>
          <w:tblHeader w:val="true"/>
        </w:trPr>
        <w:tc>
          <w:tcPr>
            <w:tcW w:w="1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RWA on ETH by end-2027</w:t>
            </w:r>
          </w:p>
        </w:tc>
        <w:tc>
          <w:tcPr>
            <w:tcW w:w="1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Structural thesis status</w:t>
            </w:r>
          </w:p>
        </w:tc>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Implied 2029 scenario</w:t>
            </w:r>
          </w:p>
        </w:tc>
        <w:tc>
          <w:tcPr>
            <w:tcW w:w="25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Scenario implication</w:t>
            </w:r>
          </w:p>
        </w:tc>
      </w:tr>
      <w:tr>
        <w:trPr/>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&gt;$300B</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Tracking for Bull or Super Bull</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$36,000–$55,000 (Bull/Super Bull range)</w:t>
            </w:r>
          </w:p>
        </w:tc>
        <w:tc>
          <w:tcPr>
            <w:tcW w:w="2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Bull scenario (20% prob) validated; consider upgrading to Super Bull if SWF announcements follow</w:t>
            </w:r>
          </w:p>
        </w:tc>
      </w:tr>
      <w:tr>
        <w:trPr/>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$100B–$300B</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Tracking for Base case</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$24,000–$30,000 (Base scenario range)</w:t>
            </w:r>
          </w:p>
        </w:tc>
        <w:tc>
          <w:tcPr>
            <w:tcW w:w="2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Base scenario (45% prob) confirmed — the most likely path. No revision needed to primary forecasts.</w:t>
            </w:r>
          </w:p>
        </w:tc>
      </w:tr>
      <w:tr>
        <w:trPr/>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$50B–$100B</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Lagging Base case</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$15,000–$24,000 — between Bear and Base</w:t>
            </w:r>
          </w:p>
        </w:tc>
        <w:tc>
          <w:tcPr>
            <w:tcW w:w="25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Base case probability drops; Bear scenario probability rises toward 40%. Revise 2030 base ETH down toward $20,000–$25,000.</w:t>
            </w:r>
          </w:p>
        </w:tc>
      </w:tr>
      <w:tr>
        <w:trPr/>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&lt;$50B</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Structural thesis weak — Bear scenario</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$8,000–$18,000 (Bear or worse)</w:t>
            </w:r>
          </w:p>
        </w:tc>
        <w:tc>
          <w:tcPr>
            <w:tcW w:w="25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Bear scenario (25% prob) becomes most likely. Structural demand floor thesis limited to direct arithmetic only (no monetary premium).</w:t>
            </w:r>
          </w:p>
        </w:tc>
      </w:tr>
    </w:tbl>
    <w:p>
      <w:pPr>
        <w:pStyle w:val="Normal"/>
        <w:spacing w:before="40" w:after="40"/>
        <w:rPr/>
      </w:pPr>
      <w:r>
        <w:rPr/>
      </w:r>
    </w:p>
    <w:p>
      <w:pPr>
        <w:pStyle w:val="Normal"/>
        <w:spacing w:before="60" w:after="80"/>
        <w:rPr/>
      </w:pPr>
      <w:r>
        <w:rPr>
          <w:rFonts w:eastAsia="Arial" w:cs="Arial"/>
          <w:sz w:val="20"/>
          <w:szCs w:val="20"/>
        </w:rPr>
        <w:t>Current state (April 26, 2026): approximately $17–19B on Ethereum mainnet, or $29B including all Ethereum ecosystem chains (mainnet + L2s). To reach $300B by end-2027 requires approximately 15–18x growth from today. This is aggressive but consistent with the current 300% year-over-year growth trajectory if CLARITY Act passage accelerates institutional product launches. The $100B threshold — requiring 5–6x growth — is more conservatively achievable and would still support a meaningfully revised but viable structural thesis.</w:t>
      </w:r>
    </w:p>
    <w:p>
      <w:pPr>
        <w:pStyle w:val="Normal"/>
        <w:spacing w:before="40" w:after="40"/>
        <w:rPr/>
      </w:pPr>
      <w:r>
        <w:rPr/>
      </w:r>
    </w:p>
    <w:p>
      <w:pPr>
        <w:pStyle w:val="Normal"/>
        <w:spacing w:before="60" w:after="80"/>
        <w:rPr/>
      </w:pPr>
      <w:r>
        <w:rPr>
          <w:rFonts w:eastAsia="Arial" w:cs="Arial"/>
          <w:sz w:val="20"/>
          <w:szCs w:val="20"/>
        </w:rPr>
        <w:t>Secondary metric: ETH/BTC ratio at the start of the 2028 post-halving rally (Q3 2028). If ETH/BTC &gt; 0.10 as the rally begins, the monetary premium thesis is materialising. If ETH/BTC &lt; 0.07 (historical average), the structural thesis has not yet driven ETH-specific premium above BTC, and the $36,000 2029 target likely requires a stronger BTC rally than currently forecast to compensate.</w:t>
      </w:r>
    </w:p>
    <w:p>
      <w:pPr>
        <w:pStyle w:val="Normal"/>
        <w:spacing w:before="40" w:after="40"/>
        <w:rPr/>
      </w:pPr>
      <w:r>
        <w:rPr/>
      </w:r>
    </w:p>
    <w:p>
      <w:pPr>
        <w:pStyle w:val="Normal"/>
        <w:spacing w:before="60" w:after="60"/>
        <w:rPr/>
      </w:pPr>
      <w:r>
        <w:rPr>
          <w:rFonts w:eastAsia="Arial" w:cs="Arial"/>
          <w:i/>
          <w:iCs/>
          <w:color w:val="777777"/>
          <w:sz w:val="18"/>
          <w:szCs w:val="18"/>
        </w:rPr>
        <w:t>v17 addition (Sections 15.7–15.13): Extended thinking stress-test reveals the three-layer architecture of ETH forecast prices. The structural demand arithmetic alone supports only $5,500–$7,000 in 2030; the $50,000 base case requires ETH to capture ~30% of gold's $18T monetary premium — an extraordinary assumption with no historical precedent. The 2031 correction floor is revised: −28% (document's assumption) is the 5–10% probability optimistic case; the realistic base correction is −50–70%, producing a $15,000–$25,000 structural floor. RWA on Ethereum is the single most important tracking metric. Not investment advice.</w:t>
      </w:r>
    </w:p>
    <w:p>
      <w:pPr>
        <w:pStyle w:val="Normal"/>
        <w:rPr/>
      </w:pPr>
      <w:r>
        <w:rPr/>
      </w:r>
      <w:r>
        <w:br w:type="page"/>
      </w:r>
    </w:p>
    <w:p>
      <w:pPr>
        <w:pStyle w:val="Heading1"/>
        <w:spacing w:before="0" w:after="120"/>
        <w:rPr/>
      </w:pPr>
      <w:r>
        <w:rPr>
          <w:rFonts w:eastAsia="Arial" w:cs="Arial" w:ascii="Arial" w:hAnsi="Arial"/>
          <w:b/>
          <w:bCs/>
          <w:color w:val="1F3864"/>
          <w:sz w:val="36"/>
          <w:szCs w:val="36"/>
        </w:rPr>
        <w:t>16.  2026 Scenario Milestone Tracker — What Must Happen</w:t>
      </w:r>
    </w:p>
    <w:p>
      <w:pPr>
        <w:pStyle w:val="Normal"/>
        <w:spacing w:before="60" w:after="80"/>
        <w:rPr/>
      </w:pPr>
      <w:r>
        <w:rPr>
          <w:rFonts w:eastAsia="Arial" w:cs="Arial"/>
          <w:sz w:val="20"/>
          <w:szCs w:val="20"/>
        </w:rPr>
        <w:t>This section answers a specific question: given that ETH is currently trading at $2,333 (April 26, 2026), what specific, observable milestones must occur for ETH to reach its bear, base, and bull case targets by year-end? This is not a forecast — it is a real-time monitoring framework that translates each scenario into measurable on-chain and legislative checkpoints.</w:t>
      </w:r>
    </w:p>
    <w:p>
      <w:pPr>
        <w:pStyle w:val="Normal"/>
        <w:spacing w:before="40" w:after="40"/>
        <w:rPr/>
      </w:pPr>
      <w:r>
        <w:rPr/>
      </w:r>
    </w:p>
    <w:p>
      <w:pPr>
        <w:pStyle w:val="Heading2"/>
        <w:spacing w:before="280" w:after="80"/>
        <w:rPr/>
      </w:pPr>
      <w:r>
        <w:rPr>
          <w:rFonts w:eastAsia="Arial" w:cs="Arial" w:ascii="Arial" w:hAnsi="Arial"/>
          <w:b/>
          <w:bCs/>
          <w:color w:val="2E75B6"/>
          <w:sz w:val="28"/>
          <w:szCs w:val="28"/>
        </w:rPr>
        <w:t>16.1  Starting Point and Gap Analysis</w:t>
      </w:r>
    </w:p>
    <w:p>
      <w:pPr>
        <w:pStyle w:val="Normal"/>
        <w:spacing w:before="60" w:after="80"/>
        <w:rPr/>
      </w:pPr>
      <w:r>
        <w:rPr>
          <w:rFonts w:eastAsia="Arial" w:cs="Arial"/>
          <w:sz w:val="20"/>
          <w:szCs w:val="20"/>
        </w:rPr>
        <w:t>ETH has already risen 9.9% from the document's $2,123 anchor to $2,333 today. This reduces the remaining gap to the base case target but does not materially change the conditions required. The three scenarios require the following gains from the current price:</w:t>
      </w:r>
    </w:p>
    <w:p>
      <w:pPr>
        <w:pStyle w:val="Normal"/>
        <w:spacing w:before="40" w:after="40"/>
        <w:rPr/>
      </w:pPr>
      <w:r>
        <w:rPr/>
      </w:r>
    </w:p>
    <w:tbl>
      <w:tblPr>
        <w:tblW w:w="6300" w:type="dxa"/>
        <w:jc w:val="left"/>
        <w:tblInd w:w="0" w:type="dxa"/>
        <w:tblLayout w:type="fixed"/>
        <w:tblCellMar>
          <w:top w:w="80" w:type="dxa"/>
          <w:left w:w="100" w:type="dxa"/>
          <w:bottom w:w="80" w:type="dxa"/>
          <w:right w:w="100" w:type="dxa"/>
        </w:tblCellMar>
      </w:tblPr>
      <w:tblGrid>
        <w:gridCol w:w="1099"/>
        <w:gridCol w:w="801"/>
        <w:gridCol w:w="800"/>
        <w:gridCol w:w="1199"/>
        <w:gridCol w:w="800"/>
        <w:gridCol w:w="800"/>
        <w:gridCol w:w="800"/>
      </w:tblGrid>
      <w:tr>
        <w:trPr>
          <w:tblHeader w:val="true"/>
        </w:trPr>
        <w:tc>
          <w:tcPr>
            <w:tcW w:w="10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Scenario</w:t>
            </w:r>
          </w:p>
        </w:tc>
        <w:tc>
          <w:tcPr>
            <w:tcW w:w="8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Probability</w:t>
            </w:r>
          </w:p>
        </w:tc>
        <w:tc>
          <w:tcPr>
            <w:tcW w:w="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2026 ETH</w:t>
            </w:r>
          </w:p>
        </w:tc>
        <w:tc>
          <w:tcPr>
            <w:tcW w:w="1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Required gain from $2,333</w:t>
            </w:r>
          </w:p>
        </w:tc>
        <w:tc>
          <w:tcPr>
            <w:tcW w:w="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2026 BMNR</w:t>
            </w:r>
          </w:p>
        </w:tc>
        <w:tc>
          <w:tcPr>
            <w:tcW w:w="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2030 ETH</w:t>
            </w:r>
          </w:p>
        </w:tc>
        <w:tc>
          <w:tcPr>
            <w:tcW w:w="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2030 BMNR</w:t>
            </w:r>
          </w:p>
        </w:tc>
      </w:tr>
      <w:tr>
        <w:trPr/>
        <w:tc>
          <w:tcPr>
            <w:tcW w:w="10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Bear</w:t>
            </w:r>
          </w:p>
        </w:tc>
        <w:tc>
          <w:tcPr>
            <w:tcW w:w="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$2,600</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22.8% (falls from today)</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$22,000</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$275</w:t>
            </w:r>
          </w:p>
        </w:tc>
      </w:tr>
      <w:tr>
        <w:trPr/>
        <w:tc>
          <w:tcPr>
            <w:tcW w:w="10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Base — most likely</w:t>
            </w:r>
          </w:p>
        </w:tc>
        <w:tc>
          <w:tcPr>
            <w:tcW w:w="8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$4,500</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+93.0%</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$70</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$30,000</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$715</w:t>
            </w:r>
          </w:p>
        </w:tc>
      </w:tr>
      <w:tr>
        <w:trPr/>
        <w:tc>
          <w:tcPr>
            <w:tcW w:w="10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Bull (former base)</w:t>
            </w:r>
          </w:p>
        </w:tc>
        <w:tc>
          <w:tcPr>
            <w:tcW w:w="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$6,200</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+165.8%</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$129</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$50,000</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$1,445</w:t>
            </w:r>
          </w:p>
        </w:tc>
      </w:tr>
      <w:tr>
        <w:trPr/>
        <w:tc>
          <w:tcPr>
            <w:tcW w:w="10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Super Bull</w:t>
            </w:r>
          </w:p>
        </w:tc>
        <w:tc>
          <w:tcPr>
            <w:tcW w:w="8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$8,500</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+264.3%</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$212</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$80,000</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$2,554</w:t>
            </w:r>
          </w:p>
        </w:tc>
      </w:tr>
      <w:tr>
        <w:trPr/>
        <w:tc>
          <w:tcPr>
            <w:tcW w:w="10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Expected Value</w:t>
            </w:r>
          </w:p>
        </w:tc>
        <w:tc>
          <w:tcPr>
            <w:tcW w:w="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100%</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$4,162</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+78.4%</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$79</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$32,950</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$851</w:t>
            </w:r>
          </w:p>
        </w:tc>
      </w:tr>
    </w:tbl>
    <w:p>
      <w:pPr>
        <w:pStyle w:val="Normal"/>
        <w:spacing w:before="40" w:after="40"/>
        <w:rPr/>
      </w:pPr>
      <w:r>
        <w:rPr/>
      </w:r>
    </w:p>
    <w:p>
      <w:pPr>
        <w:pStyle w:val="Normal"/>
        <w:spacing w:before="60" w:after="80"/>
        <w:rPr/>
      </w:pPr>
      <w:r>
        <w:rPr>
          <w:rFonts w:eastAsia="Arial" w:cs="Arial"/>
          <w:sz w:val="20"/>
          <w:szCs w:val="20"/>
        </w:rPr>
        <w:t>Starting point: ETH $2,333, BMNR $22.14, mNAV 0.78x (April 26, 2026). The Bear is the only scenario where ETH falls from current levels. The Base (45% probability, most likely) requires CLARITY to pass and modest institutional adoption. The Bull (20%) was the prior document base case and requires rapid deployment plus SWF signalling. The Super Bull (7%) additionally requires the gold narrative to begin materialising. The Expected Value row shows the probability-weighted average across all four scenarios.</w:t>
      </w:r>
    </w:p>
    <w:p>
      <w:pPr>
        <w:pStyle w:val="Normal"/>
        <w:spacing w:before="40" w:after="40"/>
        <w:rPr/>
      </w:pPr>
      <w:r>
        <w:rPr/>
      </w:r>
    </w:p>
    <w:p>
      <w:pPr>
        <w:pStyle w:val="Heading2"/>
        <w:spacing w:before="280" w:after="80"/>
        <w:rPr/>
      </w:pPr>
      <w:r>
        <w:rPr>
          <w:rFonts w:eastAsia="Arial" w:cs="Arial" w:ascii="Arial" w:hAnsi="Arial"/>
          <w:b/>
          <w:bCs/>
          <w:color w:val="2E75B6"/>
          <w:sz w:val="28"/>
          <w:szCs w:val="28"/>
        </w:rPr>
        <w:t>16.2  Driver 1 — CLARITY Act (The Dominant Catalyst: ~50–60% of Required Move)</w:t>
      </w:r>
    </w:p>
    <w:p>
      <w:pPr>
        <w:pStyle w:val="Normal"/>
        <w:spacing w:before="60" w:after="80"/>
        <w:rPr/>
      </w:pPr>
      <w:r>
        <w:rPr>
          <w:rFonts w:eastAsia="Arial" w:cs="Arial"/>
          <w:sz w:val="20"/>
          <w:szCs w:val="20"/>
        </w:rPr>
        <w:t>CLARITY Act passage is the single most important variable for the 2026 base and bull cases. It is not one factor among several — it is the gate through which all other institutional factors (SWF allocation, RWA institutional expansion, pension access) must pass.</w:t>
      </w:r>
    </w:p>
    <w:p>
      <w:pPr>
        <w:pStyle w:val="Normal"/>
        <w:spacing w:before="40" w:after="40"/>
        <w:rPr/>
      </w:pPr>
      <w:r>
        <w:rPr/>
      </w:r>
    </w:p>
    <w:p>
      <w:pPr>
        <w:pStyle w:val="Normal"/>
        <w:spacing w:before="60" w:after="80"/>
        <w:rPr/>
      </w:pPr>
      <w:r>
        <w:rPr>
          <w:rFonts w:eastAsia="Arial" w:cs="Arial"/>
          <w:sz w:val="20"/>
          <w:szCs w:val="20"/>
        </w:rPr>
        <w:t>Current status as of April 26, 2026:</w:t>
      </w:r>
    </w:p>
    <w:p>
      <w:pPr>
        <w:pStyle w:val="ListParagraph"/>
        <w:numPr>
          <w:ilvl w:val="0"/>
          <w:numId w:val="1"/>
        </w:numPr>
        <w:spacing w:before="40" w:after="40"/>
        <w:rPr/>
      </w:pPr>
      <w:r>
        <w:rPr>
          <w:rFonts w:eastAsia="Arial" w:cs="Arial"/>
          <w:sz w:val="20"/>
          <w:szCs w:val="20"/>
        </w:rPr>
        <w:t>Senate returned from Easter recess today (April 13). Banking Committee markup window is now open. Chairman Tim Scott has not yet scheduled a date.</w:t>
      </w:r>
    </w:p>
    <w:p>
      <w:pPr>
        <w:pStyle w:val="ListParagraph"/>
        <w:numPr>
          <w:ilvl w:val="0"/>
          <w:numId w:val="1"/>
        </w:numPr>
        <w:spacing w:before="40" w:after="40"/>
        <w:rPr/>
      </w:pPr>
      <w:r>
        <w:rPr>
          <w:rFonts w:eastAsia="Arial" w:cs="Arial"/>
          <w:sz w:val="20"/>
          <w:szCs w:val="20"/>
        </w:rPr>
        <w:t>Agriculture Committee version already passed (January 29, 2026). Stablecoin yield language substantially resolved through Tillis-Alsobrooks compromise. Remaining open issues: DeFi developer treatment, CFTC/SEC Democrat appointments.</w:t>
      </w:r>
    </w:p>
    <w:p>
      <w:pPr>
        <w:pStyle w:val="ListParagraph"/>
        <w:numPr>
          <w:ilvl w:val="0"/>
          <w:numId w:val="1"/>
        </w:numPr>
        <w:spacing w:before="40" w:after="40"/>
        <w:rPr/>
      </w:pPr>
      <w:r>
        <w:rPr>
          <w:rFonts w:eastAsia="Arial" w:cs="Arial"/>
          <w:sz w:val="20"/>
          <w:szCs w:val="20"/>
        </w:rPr>
        <w:t>White House crypto advisor Patrick Witt: 'cautiously optimistic.' Treasury Secretary Bessent has publicly called for Banking Committee to hold markup. Ripple CEO Garlinghouse: expects passage by end of May. Coinbase CEO Armstrong reversed previous opposition and is now backing the bill.</w:t>
      </w:r>
    </w:p>
    <w:p>
      <w:pPr>
        <w:pStyle w:val="ListParagraph"/>
        <w:numPr>
          <w:ilvl w:val="0"/>
          <w:numId w:val="1"/>
        </w:numPr>
        <w:spacing w:before="40" w:after="40"/>
        <w:rPr/>
      </w:pPr>
      <w:r>
        <w:rPr>
          <w:rFonts w:eastAsia="Arial" w:cs="Arial"/>
          <w:sz w:val="20"/>
          <w:szCs w:val="20"/>
        </w:rPr>
        <w:t>Polymarket odds: 61–66% for 2026 signing. Slight softening from prior 66% — reflecting the missed March deadline and ongoing stablecoin yield negotiations.</w:t>
      </w:r>
    </w:p>
    <w:p>
      <w:pPr>
        <w:pStyle w:val="ListParagraph"/>
        <w:numPr>
          <w:ilvl w:val="0"/>
          <w:numId w:val="1"/>
        </w:numPr>
        <w:spacing w:before="40" w:after="40"/>
        <w:rPr/>
      </w:pPr>
      <w:r>
        <w:rPr>
          <w:rFonts w:eastAsia="Arial" w:cs="Arial"/>
          <w:sz w:val="20"/>
          <w:szCs w:val="20"/>
        </w:rPr>
        <w:t>Hard deadline: Senator Moreno has warned that if the bill does not advance to the Senate floor by May, digital asset legislation may not receive serious consideration for years. Midterm election dynamics consume the calendar from August onward.</w:t>
      </w:r>
    </w:p>
    <w:p>
      <w:pPr>
        <w:pStyle w:val="Normal"/>
        <w:spacing w:before="40" w:after="40"/>
        <w:rPr/>
      </w:pPr>
      <w:r>
        <w:rPr/>
      </w:r>
    </w:p>
    <w:p>
      <w:pPr>
        <w:pStyle w:val="Normal"/>
        <w:spacing w:before="60" w:after="80"/>
        <w:rPr/>
      </w:pPr>
      <w:r>
        <w:rPr>
          <w:rFonts w:eastAsia="Arial" w:cs="Arial"/>
          <w:sz w:val="20"/>
          <w:szCs w:val="20"/>
        </w:rPr>
        <w:t>Remaining procedural hurdles and probability estimates:</w:t>
      </w:r>
    </w:p>
    <w:p>
      <w:pPr>
        <w:pStyle w:val="Normal"/>
        <w:spacing w:before="40" w:after="40"/>
        <w:rPr/>
      </w:pPr>
      <w:r>
        <w:rPr/>
      </w:r>
    </w:p>
    <w:tbl>
      <w:tblPr>
        <w:tblW w:w="6360" w:type="dxa"/>
        <w:jc w:val="left"/>
        <w:tblInd w:w="0" w:type="dxa"/>
        <w:tblLayout w:type="fixed"/>
        <w:tblCellMar>
          <w:top w:w="80" w:type="dxa"/>
          <w:left w:w="100" w:type="dxa"/>
          <w:bottom w:w="80" w:type="dxa"/>
          <w:right w:w="100" w:type="dxa"/>
        </w:tblCellMar>
      </w:tblPr>
      <w:tblGrid>
        <w:gridCol w:w="599"/>
        <w:gridCol w:w="3000"/>
        <w:gridCol w:w="900"/>
        <w:gridCol w:w="1860"/>
      </w:tblGrid>
      <w:tr>
        <w:trPr>
          <w:tblHeader w:val="true"/>
        </w:trPr>
        <w:tc>
          <w:tcPr>
            <w:tcW w:w="5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Step</w:t>
            </w:r>
          </w:p>
        </w:tc>
        <w:tc>
          <w:tcPr>
            <w:tcW w:w="3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Description</w:t>
            </w:r>
          </w:p>
        </w:tc>
        <w:tc>
          <w:tcPr>
            <w:tcW w:w="9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Probability</w:t>
            </w:r>
          </w:p>
        </w:tc>
        <w:tc>
          <w:tcPr>
            <w:tcW w:w="18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Required by</w:t>
            </w:r>
          </w:p>
        </w:tc>
      </w:tr>
      <w:tr>
        <w:trPr/>
        <w:tc>
          <w:tcPr>
            <w:tcW w:w="5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w:t>
            </w:r>
          </w:p>
        </w:tc>
        <w:tc>
          <w:tcPr>
            <w:tcW w:w="3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Banking Committee markup scheduled by Chairman Tim Scott</w:t>
            </w:r>
          </w:p>
        </w:tc>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~70%</w:t>
            </w:r>
          </w:p>
        </w:tc>
        <w:tc>
          <w:tcPr>
            <w:tcW w:w="18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April 25, 2026</w:t>
            </w:r>
          </w:p>
        </w:tc>
      </w:tr>
      <w:tr>
        <w:trPr/>
        <w:tc>
          <w:tcPr>
            <w:tcW w:w="5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w:t>
            </w:r>
          </w:p>
        </w:tc>
        <w:tc>
          <w:tcPr>
            <w:tcW w:w="3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Bill cleared from Banking Committee</w:t>
            </w:r>
          </w:p>
        </w:tc>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~80% if markup happens</w:t>
            </w:r>
          </w:p>
        </w:tc>
        <w:tc>
          <w:tcPr>
            <w:tcW w:w="18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April 30, 2026</w:t>
            </w:r>
          </w:p>
        </w:tc>
      </w:tr>
      <w:tr>
        <w:trPr/>
        <w:tc>
          <w:tcPr>
            <w:tcW w:w="5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3</w:t>
            </w:r>
          </w:p>
        </w:tc>
        <w:tc>
          <w:tcPr>
            <w:tcW w:w="3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Reconciled with Agriculture Committee version</w:t>
            </w:r>
          </w:p>
        </w:tc>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~90% if cleared</w:t>
            </w:r>
          </w:p>
        </w:tc>
        <w:tc>
          <w:tcPr>
            <w:tcW w:w="18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May 15, 2026</w:t>
            </w:r>
          </w:p>
        </w:tc>
      </w:tr>
      <w:tr>
        <w:trPr/>
        <w:tc>
          <w:tcPr>
            <w:tcW w:w="5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4</w:t>
            </w:r>
          </w:p>
        </w:tc>
        <w:tc>
          <w:tcPr>
            <w:tcW w:w="3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Full Senate floor vote — requires 60 votes (meaningful Democratic support mandatory)</w:t>
            </w:r>
          </w:p>
        </w:tc>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~75% if reconciled</w:t>
            </w:r>
          </w:p>
        </w:tc>
        <w:tc>
          <w:tcPr>
            <w:tcW w:w="18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May 31, 2026</w:t>
            </w:r>
          </w:p>
        </w:tc>
      </w:tr>
      <w:tr>
        <w:trPr/>
        <w:tc>
          <w:tcPr>
            <w:tcW w:w="5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5</w:t>
            </w:r>
          </w:p>
        </w:tc>
        <w:tc>
          <w:tcPr>
            <w:tcW w:w="3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House reconciliation (House already passed 294–134 in July 2025)</w:t>
            </w:r>
          </w:p>
        </w:tc>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~85% if Senate passes</w:t>
            </w:r>
          </w:p>
        </w:tc>
        <w:tc>
          <w:tcPr>
            <w:tcW w:w="18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June 30, 2026</w:t>
            </w:r>
          </w:p>
        </w:tc>
      </w:tr>
      <w:tr>
        <w:trPr/>
        <w:tc>
          <w:tcPr>
            <w:tcW w:w="5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6</w:t>
            </w:r>
          </w:p>
        </w:tc>
        <w:tc>
          <w:tcPr>
            <w:tcW w:w="3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Presidential signature</w:t>
            </w:r>
          </w:p>
        </w:tc>
        <w:tc>
          <w:tcPr>
            <w:tcW w:w="9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~95% if Congress passes</w:t>
            </w:r>
          </w:p>
        </w:tc>
        <w:tc>
          <w:tcPr>
            <w:tcW w:w="18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July 31, 2026</w:t>
            </w:r>
          </w:p>
        </w:tc>
      </w:tr>
      <w:tr>
        <w:trPr/>
        <w:tc>
          <w:tcPr>
            <w:tcW w:w="5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Combined: Presidential signature by July 2026</w:t>
            </w:r>
          </w:p>
        </w:tc>
        <w:tc>
          <w:tcPr>
            <w:tcW w:w="3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9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~35–42%</w:t>
            </w:r>
          </w:p>
        </w:tc>
        <w:tc>
          <w:tcPr>
            <w:tcW w:w="18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July 31, 2026</w:t>
            </w:r>
          </w:p>
        </w:tc>
      </w:tr>
    </w:tbl>
    <w:p>
      <w:pPr>
        <w:pStyle w:val="Normal"/>
        <w:spacing w:before="40" w:after="40"/>
        <w:rPr/>
      </w:pPr>
      <w:r>
        <w:rPr/>
      </w:r>
    </w:p>
    <w:p>
      <w:pPr>
        <w:pStyle w:val="Normal"/>
        <w:spacing w:before="60" w:after="80"/>
        <w:rPr/>
      </w:pPr>
      <w:r>
        <w:rPr>
          <w:rFonts w:eastAsia="Arial" w:cs="Arial"/>
          <w:sz w:val="20"/>
          <w:szCs w:val="20"/>
        </w:rPr>
        <w:t>ETH price impact of CLARITY Act passage: estimated +30–50% from announcement. Markets typically front-run major legislation by 3–6 months. CLARITY passage alone — assuming it occurs by July — accounts for approximately 50–60% of the $2,333→$6,200 base case move. The remaining gain requires the downstream institutional effects that CLARITY unlocks.</w:t>
      </w:r>
    </w:p>
    <w:p>
      <w:pPr>
        <w:pStyle w:val="Normal"/>
        <w:spacing w:before="40" w:after="40"/>
        <w:rPr/>
      </w:pPr>
      <w:r>
        <w:rPr/>
      </w:r>
    </w:p>
    <w:tbl>
      <w:tblPr>
        <w:tblW w:w="6360" w:type="dxa"/>
        <w:jc w:val="left"/>
        <w:tblInd w:w="0" w:type="dxa"/>
        <w:tblLayout w:type="fixed"/>
        <w:tblCellMar>
          <w:top w:w="80" w:type="dxa"/>
          <w:left w:w="100" w:type="dxa"/>
          <w:bottom w:w="80" w:type="dxa"/>
          <w:right w:w="100" w:type="dxa"/>
        </w:tblCellMar>
      </w:tblPr>
      <w:tblGrid>
        <w:gridCol w:w="999"/>
        <w:gridCol w:w="1200"/>
        <w:gridCol w:w="1800"/>
        <w:gridCol w:w="2360"/>
      </w:tblGrid>
      <w:tr>
        <w:trPr>
          <w:tblHeader w:val="true"/>
        </w:trPr>
        <w:tc>
          <w:tcPr>
            <w:tcW w:w="9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Scenario</w:t>
            </w:r>
          </w:p>
        </w:tc>
        <w:tc>
          <w:tcPr>
            <w:tcW w:w="12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CLARITY required?</w:t>
            </w:r>
          </w:p>
        </w:tc>
        <w:tc>
          <w:tcPr>
            <w:tcW w:w="1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Without CLARITY ETH range</w:t>
            </w:r>
          </w:p>
        </w:tc>
        <w:tc>
          <w:tcPr>
            <w:tcW w:w="23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With CLARITY ETH range</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Bear (25%) — $2,600</w:t>
            </w:r>
          </w:p>
        </w:tc>
        <w:tc>
          <w:tcPr>
            <w:tcW w:w="1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Fails or stalls</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$1,800–2,600 (BTC beta only, no re-rating)</w:t>
            </w:r>
          </w:p>
        </w:tc>
        <w:tc>
          <w:tcPr>
            <w:tcW w:w="23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N/A — CLARITY failure is the Bear condition</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Base (45%) — $4,500</w:t>
            </w:r>
          </w:p>
        </w:tc>
        <w:tc>
          <w:tcPr>
            <w:tcW w:w="1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Yes — passes by July 2026</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$2,500–3,000 (sector appreciation only)</w:t>
            </w:r>
          </w:p>
        </w:tc>
        <w:tc>
          <w:tcPr>
            <w:tcW w:w="23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$3,500–5,500 (with downstream institutional effects)</w:t>
            </w:r>
          </w:p>
        </w:tc>
      </w:tr>
      <w:tr>
        <w:trPr/>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Bull (20%) — $6,200</w:t>
            </w:r>
          </w:p>
        </w:tc>
        <w:tc>
          <w:tcPr>
            <w:tcW w:w="1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Yes — passes early + strong implementation</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$3,000–4,000 (crypto sector bull only)</w:t>
            </w:r>
          </w:p>
        </w:tc>
        <w:tc>
          <w:tcPr>
            <w:tcW w:w="23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$5,500–7,500 (CLARITY + SWF signals + RWA $200B+)</w:t>
            </w:r>
          </w:p>
        </w:tc>
      </w:tr>
      <w:tr>
        <w:trPr/>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Super Bull (7%) — $8,500</w:t>
            </w:r>
          </w:p>
        </w:tc>
        <w:tc>
          <w:tcPr>
            <w:tcW w:w="1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Yes — passes + gold narrative + SWF deployments</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N/A</w:t>
            </w:r>
          </w:p>
        </w:tc>
        <w:tc>
          <w:tcPr>
            <w:tcW w:w="23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$7,000–10,000 (full institutional + gold narrative)</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16.3  Driver 2 — RWA Tokenization (Specific On-Chain Milestones)</w:t>
      </w:r>
    </w:p>
    <w:p>
      <w:pPr>
        <w:pStyle w:val="Normal"/>
        <w:spacing w:before="60" w:after="80"/>
        <w:rPr/>
      </w:pPr>
      <w:r>
        <w:rPr>
          <w:rFonts w:eastAsia="Arial" w:cs="Arial"/>
          <w:sz w:val="20"/>
          <w:szCs w:val="20"/>
        </w:rPr>
        <w:t>RWA tokenization is the most directly trackable driver because it has real-time data on rwa.xyz. Current state and required milestones:</w:t>
      </w:r>
    </w:p>
    <w:p>
      <w:pPr>
        <w:pStyle w:val="Normal"/>
        <w:spacing w:before="40" w:after="40"/>
        <w:rPr/>
      </w:pPr>
      <w:r>
        <w:rPr/>
      </w:r>
    </w:p>
    <w:tbl>
      <w:tblPr>
        <w:tblW w:w="7600" w:type="dxa"/>
        <w:jc w:val="left"/>
        <w:tblInd w:w="0" w:type="dxa"/>
        <w:tblLayout w:type="fixed"/>
        <w:tblCellMar>
          <w:top w:w="80" w:type="dxa"/>
          <w:left w:w="100" w:type="dxa"/>
          <w:bottom w:w="80" w:type="dxa"/>
          <w:right w:w="100" w:type="dxa"/>
        </w:tblCellMar>
      </w:tblPr>
      <w:tblGrid>
        <w:gridCol w:w="1399"/>
        <w:gridCol w:w="1600"/>
        <w:gridCol w:w="1601"/>
        <w:gridCol w:w="1600"/>
        <w:gridCol w:w="1400"/>
      </w:tblGrid>
      <w:tr>
        <w:trPr>
          <w:tblHeader w:val="true"/>
        </w:trPr>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Metric</w:t>
            </w:r>
          </w:p>
        </w:tc>
        <w:tc>
          <w:tcPr>
            <w:tcW w:w="1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Value today (April 26, 2026)</w:t>
            </w:r>
          </w:p>
        </w:tc>
        <w:tc>
          <w:tcPr>
            <w:tcW w:w="16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Required for Base ($4,500)</w:t>
            </w:r>
          </w:p>
        </w:tc>
        <w:tc>
          <w:tcPr>
            <w:tcW w:w="1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Required for Bull ($6,200)</w:t>
            </w:r>
          </w:p>
        </w:tc>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Required for Super Bull ($8,500)</w:t>
            </w:r>
          </w:p>
        </w:tc>
      </w:tr>
      <w:tr>
        <w:trPr/>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Total on-chain RWA</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$29.1B (↑7.5%/30d)</w:t>
            </w:r>
          </w:p>
        </w:tc>
        <w:tc>
          <w:tcPr>
            <w:tcW w:w="16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~$40–50B by Q4 2026</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~$60–80B by Q4 2026</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~$80–120B by Q4 2026</w:t>
            </w:r>
          </w:p>
        </w:tc>
      </w:tr>
      <w:tr>
        <w:trPr/>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Ethereum's RWA market share</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~60–65%</w:t>
            </w:r>
          </w:p>
        </w:tc>
        <w:tc>
          <w:tcPr>
            <w:tcW w:w="16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Must retain ≥50%</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Must retain ≥52%</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Must retain ≥55%</w:t>
            </w:r>
          </w:p>
        </w:tc>
      </w:tr>
      <w:tr>
        <w:trPr/>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ETH-hosted RWA value</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~$17–19B</w:t>
            </w:r>
          </w:p>
        </w:tc>
        <w:tc>
          <w:tcPr>
            <w:tcW w:w="16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~$20–30B by year-end</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~$30–45B by year-end</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~$44–66B by year-end</w:t>
            </w:r>
          </w:p>
        </w:tc>
      </w:tr>
      <w:tr>
        <w:trPr/>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YoY growth rate needed</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~300% current pace</w:t>
            </w:r>
          </w:p>
        </w:tc>
        <w:tc>
          <w:tcPr>
            <w:tcW w:w="16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~100–150% (moderation OK)</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~150–250% (sustained growth)</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~250–350% (accelerated)</w:t>
            </w:r>
          </w:p>
        </w:tc>
      </w:tr>
      <w:tr>
        <w:trPr/>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BlackRock BUIDL fund</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$1.9B</w:t>
            </w:r>
          </w:p>
        </w:tc>
        <w:tc>
          <w:tcPr>
            <w:tcW w:w="16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~$3–5B</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~$5–10B</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~$10–20B</w:t>
            </w:r>
          </w:p>
        </w:tc>
      </w:tr>
      <w:tr>
        <w:trPr/>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Tokenised Treasuries</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~$5.8–8.7B</w:t>
            </w:r>
          </w:p>
        </w:tc>
        <w:tc>
          <w:tcPr>
            <w:tcW w:w="16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~$10–20B</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~$20–35B</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~$35–50B</w:t>
            </w:r>
          </w:p>
        </w:tc>
      </w:tr>
    </w:tbl>
    <w:p>
      <w:pPr>
        <w:pStyle w:val="Normal"/>
        <w:spacing w:before="40" w:after="40"/>
        <w:rPr/>
      </w:pPr>
      <w:r>
        <w:rPr/>
      </w:r>
    </w:p>
    <w:p>
      <w:pPr>
        <w:pStyle w:val="Normal"/>
        <w:spacing w:before="60" w:after="80"/>
        <w:rPr/>
      </w:pPr>
      <w:r>
        <w:rPr>
          <w:rFonts w:eastAsia="Arial" w:cs="Arial"/>
          <w:sz w:val="20"/>
          <w:szCs w:val="20"/>
        </w:rPr>
        <w:t>The RWA milestone is achievable even without CLARITY — current growth trajectory is sufficient to reach $50-60B through organic institutional adoption. However, CLARITY is required for the institutional product expansion (pension funds, endowments, bank-issued products) that closes the gap to $60B+. Without CLARITY, RWA growth reverts to offshore/retail-led growth capped at roughly $40–45B by year-end.</w:t>
      </w:r>
    </w:p>
    <w:p>
      <w:pPr>
        <w:pStyle w:val="Normal"/>
        <w:spacing w:before="40" w:after="40"/>
        <w:rPr/>
      </w:pPr>
      <w:r>
        <w:rPr/>
      </w:r>
    </w:p>
    <w:p>
      <w:pPr>
        <w:pStyle w:val="Heading2"/>
        <w:spacing w:before="280" w:after="80"/>
        <w:rPr/>
      </w:pPr>
      <w:r>
        <w:rPr>
          <w:rFonts w:eastAsia="Arial" w:cs="Arial" w:ascii="Arial" w:hAnsi="Arial"/>
          <w:b/>
          <w:bCs/>
          <w:color w:val="2E75B6"/>
          <w:sz w:val="28"/>
          <w:szCs w:val="28"/>
        </w:rPr>
        <w:t>16.4  Driver 3 — SWF Sovereign Allocation (Signal, Not Deployment)</w:t>
      </w:r>
    </w:p>
    <w:p>
      <w:pPr>
        <w:pStyle w:val="Normal"/>
        <w:spacing w:before="60" w:after="80"/>
        <w:rPr/>
      </w:pPr>
      <w:r>
        <w:rPr>
          <w:rFonts w:eastAsia="Arial" w:cs="Arial"/>
          <w:sz w:val="20"/>
          <w:szCs w:val="20"/>
        </w:rPr>
        <w:t>No sovereign wealth fund has yet publicly announced an ETH allocation. The base and bull cases do not require actual capital deployment in 2026 — they require policy signalling that precedes deployment by 6–12 months.</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1400"/>
        <w:gridCol w:w="2199"/>
        <w:gridCol w:w="1600"/>
        <w:gridCol w:w="3160"/>
      </w:tblGrid>
      <w:tr>
        <w:trPr>
          <w:tblHeader w:val="true"/>
        </w:trPr>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SWF</w:t>
            </w:r>
          </w:p>
        </w:tc>
        <w:tc>
          <w:tcPr>
            <w:tcW w:w="2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Status</w:t>
            </w:r>
          </w:p>
        </w:tc>
        <w:tc>
          <w:tcPr>
            <w:tcW w:w="1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Probability of 2026 announcement</w:t>
            </w:r>
          </w:p>
        </w:tc>
        <w:tc>
          <w:tcPr>
            <w:tcW w:w="31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Trigger required</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Abu Dhabi (ADIA / Mubadala)</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Mubadala has crypto VC exposure; no direct ETH position. UAE broadly pro-crypto.</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 if CLARITY passes</w:t>
            </w:r>
          </w:p>
        </w:tc>
        <w:tc>
          <w:tcPr>
            <w:tcW w:w="31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CLARITY Act signing + ETH classified as CFTC commodity permanently</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Norway (GPFG — $1.7T)</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Posted $39.7B Q1 2025 loss in tech stocks; crypto not in current mandate. Most conservative of major SWFs.</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 if CLARITY passes</w:t>
            </w:r>
          </w:p>
        </w:tc>
        <w:tc>
          <w:tcPr>
            <w:tcW w:w="31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Government mandate expansion — requires parliamentary process</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Singapore (GIC / Temasek)</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Temasek has crypto exposure through FTX (wrote off $275M). GIC more conservative.</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 if CLARITY passes</w:t>
            </w:r>
          </w:p>
        </w:tc>
        <w:tc>
          <w:tcPr>
            <w:tcW w:w="31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Regulatory clarity on staking yield treatment</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Saudi Arabia (PIF)</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Vision 2030 digital economy mandate creates opening; conservative on direct crypto.</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 if CLARITY passes</w:t>
            </w:r>
          </w:p>
        </w:tc>
        <w:tc>
          <w:tcPr>
            <w:tcW w:w="31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Political alignment + CLARITY Act + oil price stability</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At least ONE of the above</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~35–45% if CLARITY passes by July</w:t>
            </w:r>
          </w:p>
        </w:tc>
        <w:tc>
          <w:tcPr>
            <w:tcW w:w="31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Any single announcement would be a significant price catalyst</w:t>
            </w:r>
          </w:p>
        </w:tc>
      </w:tr>
    </w:tbl>
    <w:p>
      <w:pPr>
        <w:pStyle w:val="Normal"/>
        <w:spacing w:before="40" w:after="40"/>
        <w:rPr/>
      </w:pPr>
      <w:r>
        <w:rPr/>
      </w:r>
    </w:p>
    <w:p>
      <w:pPr>
        <w:pStyle w:val="Normal"/>
        <w:spacing w:before="60" w:after="80"/>
        <w:rPr/>
      </w:pPr>
      <w:r>
        <w:rPr>
          <w:rFonts w:eastAsia="Arial" w:cs="Arial"/>
          <w:sz w:val="20"/>
          <w:szCs w:val="20"/>
        </w:rPr>
        <w:t>The Bull case ($6,200) requires at least one SWF announcement; the Base case ($4,500) is achievable with or without a SWF announcement in 2026 — CLARITY passage alone is sufficient to drive the Base case. A SWF announcement in Q3 2026 would likely add $500–1,500/ETH and help push toward the Bull case. The Super Bull ($8,500) requires multiple SWF announcements plus early gold narrative development.</w:t>
      </w:r>
    </w:p>
    <w:p>
      <w:pPr>
        <w:pStyle w:val="Normal"/>
        <w:spacing w:before="40" w:after="40"/>
        <w:rPr/>
      </w:pPr>
      <w:r>
        <w:rPr/>
      </w:r>
    </w:p>
    <w:p>
      <w:pPr>
        <w:pStyle w:val="Heading2"/>
        <w:spacing w:before="280" w:after="80"/>
        <w:rPr/>
      </w:pPr>
      <w:r>
        <w:rPr>
          <w:rFonts w:eastAsia="Arial" w:cs="Arial" w:ascii="Arial" w:hAnsi="Arial"/>
          <w:b/>
          <w:bCs/>
          <w:color w:val="2E75B6"/>
          <w:sz w:val="28"/>
          <w:szCs w:val="28"/>
        </w:rPr>
        <w:t>16.5  Driver 4 — ETH/BTC Ratio (The Real-Time Tracker)</w:t>
      </w:r>
    </w:p>
    <w:p>
      <w:pPr>
        <w:pStyle w:val="Normal"/>
        <w:spacing w:before="60" w:after="80"/>
        <w:rPr/>
      </w:pPr>
      <w:r>
        <w:rPr>
          <w:rFonts w:eastAsia="Arial" w:cs="Arial"/>
          <w:sz w:val="20"/>
          <w:szCs w:val="20"/>
        </w:rPr>
        <w:t>The ETH/BTC ratio is the single most useful real-time metric for tracking whether the 2026 scenarios are on track. It captures ETH's relative performance vs the broader crypto sector — specifically whether ETH is receiving its own institutional demand premium vs simply moving with BTC.</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800"/>
        <w:gridCol w:w="899"/>
        <w:gridCol w:w="1301"/>
        <w:gridCol w:w="1300"/>
        <w:gridCol w:w="1300"/>
        <w:gridCol w:w="2759"/>
      </w:tblGrid>
      <w:tr>
        <w:trPr>
          <w:tblHeader w:val="true"/>
        </w:trPr>
        <w:tc>
          <w:tcPr>
            <w:tcW w:w="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Scenario</w:t>
            </w:r>
          </w:p>
        </w:tc>
        <w:tc>
          <w:tcPr>
            <w:tcW w:w="8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 target</w:t>
            </w:r>
          </w:p>
        </w:tc>
        <w:tc>
          <w:tcPr>
            <w:tcW w:w="13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ETH/BTC @ BTC $84K (current)</w:t>
            </w:r>
          </w:p>
        </w:tc>
        <w:tc>
          <w:tcPr>
            <w:tcW w:w="13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ETH/BTC @ BTC $100K</w:t>
            </w:r>
          </w:p>
        </w:tc>
        <w:tc>
          <w:tcPr>
            <w:tcW w:w="13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ETH/BTC @ BTC $120K</w:t>
            </w:r>
          </w:p>
        </w:tc>
        <w:tc>
          <w:tcPr>
            <w:tcW w:w="275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Assessment vs history</w:t>
            </w:r>
          </w:p>
        </w:tc>
      </w:tr>
      <w:tr>
        <w:trPr/>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Current</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$2,333</w:t>
            </w:r>
          </w:p>
        </w:tc>
        <w:tc>
          <w:tcPr>
            <w:tcW w:w="13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0.0278 (multi-year lows)</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2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significantly underperforming BTC; near historical lows</w:t>
            </w:r>
          </w:p>
        </w:tc>
      </w:tr>
      <w:tr>
        <w:trPr/>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Bear (25%)</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$2,600</w:t>
            </w:r>
          </w:p>
        </w:tc>
        <w:tc>
          <w:tcPr>
            <w:tcW w:w="13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0.0310</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0.0260</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0.0217</w:t>
            </w:r>
          </w:p>
        </w:tc>
        <w:tc>
          <w:tcPr>
            <w:tcW w:w="27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Mild deterioration or flat — CLARITY fails, no ETH-specific premium</w:t>
            </w:r>
          </w:p>
        </w:tc>
      </w:tr>
      <w:tr>
        <w:trPr/>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Base (45%)</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$4,500</w:t>
            </w:r>
          </w:p>
        </w:tc>
        <w:tc>
          <w:tcPr>
            <w:tcW w:w="13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0.0536</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0.0450</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0.0375</w:t>
            </w:r>
          </w:p>
        </w:tc>
        <w:tc>
          <w:tcPr>
            <w:tcW w:w="2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Requires ~1.7x ETH/BTC recovery — CLARITY re-rating</w:t>
            </w:r>
          </w:p>
        </w:tc>
      </w:tr>
      <w:tr>
        <w:trPr/>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Bull (20%)</w:t>
            </w:r>
          </w:p>
        </w:tc>
        <w:tc>
          <w:tcPr>
            <w:tcW w:w="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$6,200</w:t>
            </w:r>
          </w:p>
        </w:tc>
        <w:tc>
          <w:tcPr>
            <w:tcW w:w="13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0.0738</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0.0620</w:t>
            </w:r>
          </w:p>
        </w:tc>
        <w:tc>
          <w:tcPr>
            <w:tcW w:w="13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0.0517</w:t>
            </w:r>
          </w:p>
        </w:tc>
        <w:tc>
          <w:tcPr>
            <w:tcW w:w="275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Requires 2.2–2.7x ETH/BTC recovery — full institutional re-rating</w:t>
            </w:r>
          </w:p>
        </w:tc>
      </w:tr>
      <w:tr>
        <w:trPr/>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Super Bull (7%)</w:t>
            </w:r>
          </w:p>
        </w:tc>
        <w:tc>
          <w:tcPr>
            <w:tcW w:w="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$8,500</w:t>
            </w:r>
          </w:p>
        </w:tc>
        <w:tc>
          <w:tcPr>
            <w:tcW w:w="13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0.1012</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0.0850</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0.0708</w:t>
            </w:r>
          </w:p>
        </w:tc>
        <w:tc>
          <w:tcPr>
            <w:tcW w:w="275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0.085–0.10 = ETH 2021 peak range; gold narrative materialising</w:t>
            </w:r>
          </w:p>
        </w:tc>
      </w:tr>
    </w:tbl>
    <w:p>
      <w:pPr>
        <w:pStyle w:val="Normal"/>
        <w:spacing w:before="40" w:after="40"/>
        <w:rPr/>
      </w:pPr>
      <w:r>
        <w:rPr/>
      </w:r>
    </w:p>
    <w:p>
      <w:pPr>
        <w:pStyle w:val="ListParagraph"/>
        <w:numPr>
          <w:ilvl w:val="0"/>
          <w:numId w:val="1"/>
        </w:numPr>
        <w:spacing w:before="40" w:after="40"/>
        <w:rPr/>
      </w:pPr>
      <w:r>
        <w:rPr>
          <w:rFonts w:eastAsia="Arial" w:cs="Arial"/>
          <w:sz w:val="20"/>
          <w:szCs w:val="20"/>
        </w:rPr>
        <w:t>Current ETH/BTC at ~0.028 represents multi-year underperformance. ETH-specific catalysts (CLARITY, RWA, MAVAN) are required to close this ratio — BTC appreciation alone moves both assets proportionally and does not help.</w:t>
      </w:r>
    </w:p>
    <w:p>
      <w:pPr>
        <w:pStyle w:val="ListParagraph"/>
        <w:numPr>
          <w:ilvl w:val="0"/>
          <w:numId w:val="1"/>
        </w:numPr>
        <w:spacing w:before="40" w:after="40"/>
        <w:rPr/>
      </w:pPr>
      <w:r>
        <w:rPr>
          <w:rFonts w:eastAsia="Arial" w:cs="Arial"/>
          <w:sz w:val="20"/>
          <w:szCs w:val="20"/>
        </w:rPr>
        <w:t>Base case ETH/BTC of 0.052–0.074 is historically normal. ETH traded above 0.060 for most of 2021. Recovery to this range requires CLARITY Act passage as the primary re-rating catalyst.</w:t>
      </w:r>
    </w:p>
    <w:p>
      <w:pPr>
        <w:pStyle w:val="ListParagraph"/>
        <w:numPr>
          <w:ilvl w:val="0"/>
          <w:numId w:val="1"/>
        </w:numPr>
        <w:spacing w:before="40" w:after="40"/>
        <w:rPr/>
      </w:pPr>
      <w:r>
        <w:rPr>
          <w:rFonts w:eastAsia="Arial" w:cs="Arial"/>
          <w:sz w:val="20"/>
          <w:szCs w:val="20"/>
        </w:rPr>
        <w:t>Bull case ETH/BTC of 0.085–0.10 would match ETH's 2021 cycle peak range — achievable only if the gold narrative develops (ETH as macro store of value) on top of the institutional thesis.</w:t>
      </w:r>
    </w:p>
    <w:p>
      <w:pPr>
        <w:pStyle w:val="ListParagraph"/>
        <w:numPr>
          <w:ilvl w:val="0"/>
          <w:numId w:val="1"/>
        </w:numPr>
        <w:spacing w:before="40" w:after="40"/>
        <w:rPr/>
      </w:pPr>
      <w:r>
        <w:rPr>
          <w:rFonts w:eastAsia="Arial" w:cs="Arial"/>
          <w:sz w:val="20"/>
          <w:szCs w:val="20"/>
        </w:rPr>
        <w:t>Monitoring recommendation: check ETH/BTC weekly. If it moves from 0.028 toward 0.035–0.040 following a CLARITY markup announcement, the base case trajectory is active. If it stays pinned at 0.028 through May, CLARITY is likely stalling and the bear case probability rises.</w:t>
      </w:r>
    </w:p>
    <w:p>
      <w:pPr>
        <w:pStyle w:val="Normal"/>
        <w:spacing w:before="40" w:after="40"/>
        <w:rPr/>
      </w:pPr>
      <w:r>
        <w:rPr/>
      </w:r>
    </w:p>
    <w:p>
      <w:pPr>
        <w:pStyle w:val="Heading2"/>
        <w:spacing w:before="280" w:after="80"/>
        <w:rPr/>
      </w:pPr>
      <w:r>
        <w:rPr>
          <w:rFonts w:eastAsia="Arial" w:cs="Arial" w:ascii="Arial" w:hAnsi="Arial"/>
          <w:b/>
          <w:bCs/>
          <w:color w:val="2E75B6"/>
          <w:sz w:val="28"/>
          <w:szCs w:val="28"/>
        </w:rPr>
        <w:t>16.6  Driver 5 — Macro and Crypto Sector Conditions</w:t>
      </w:r>
    </w:p>
    <w:p>
      <w:pPr>
        <w:pStyle w:val="Normal"/>
        <w:spacing w:before="60" w:after="80"/>
        <w:rPr/>
      </w:pPr>
      <w:r>
        <w:rPr>
          <w:rFonts w:eastAsia="Arial" w:cs="Arial"/>
          <w:sz w:val="20"/>
          <w:szCs w:val="20"/>
        </w:rPr>
        <w:t>The BTC halving approach cycle (April 2028 halving, 2026–2027 is the pre-halving bull phase) provides the sector-wide wind behind all three scenarios. Current macro conditions and what each scenario requires:</w:t>
      </w:r>
    </w:p>
    <w:p>
      <w:pPr>
        <w:pStyle w:val="Normal"/>
        <w:spacing w:before="40" w:after="40"/>
        <w:rPr/>
      </w:pPr>
      <w:r>
        <w:rPr/>
      </w:r>
    </w:p>
    <w:tbl>
      <w:tblPr>
        <w:tblW w:w="7080" w:type="dxa"/>
        <w:jc w:val="left"/>
        <w:tblInd w:w="0" w:type="dxa"/>
        <w:tblLayout w:type="fixed"/>
        <w:tblCellMar>
          <w:top w:w="80" w:type="dxa"/>
          <w:left w:w="100" w:type="dxa"/>
          <w:bottom w:w="80" w:type="dxa"/>
          <w:right w:w="100" w:type="dxa"/>
        </w:tblCellMar>
      </w:tblPr>
      <w:tblGrid>
        <w:gridCol w:w="1399"/>
        <w:gridCol w:w="1600"/>
        <w:gridCol w:w="1360"/>
        <w:gridCol w:w="1360"/>
        <w:gridCol w:w="1361"/>
      </w:tblGrid>
      <w:tr>
        <w:trPr>
          <w:tblHeader w:val="true"/>
        </w:trPr>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Macro factor</w:t>
            </w:r>
          </w:p>
        </w:tc>
        <w:tc>
          <w:tcPr>
            <w:tcW w:w="1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Current state</w:t>
            </w:r>
          </w:p>
        </w:tc>
        <w:tc>
          <w:tcPr>
            <w:tcW w:w="13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Bear requires</w:t>
            </w:r>
          </w:p>
        </w:tc>
        <w:tc>
          <w:tcPr>
            <w:tcW w:w="13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Base requires</w:t>
            </w:r>
          </w:p>
        </w:tc>
        <w:tc>
          <w:tcPr>
            <w:tcW w:w="136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Bull requires</w:t>
            </w:r>
          </w:p>
        </w:tc>
      </w:tr>
      <w:tr>
        <w:trPr/>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BTC price</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~$79,409</w:t>
            </w:r>
          </w:p>
        </w:tc>
        <w:tc>
          <w:tcPr>
            <w:tcW w:w="13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Flat or declining — $70K–$85K range</w:t>
            </w:r>
          </w:p>
        </w:tc>
        <w:tc>
          <w:tcPr>
            <w:tcW w:w="13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Continued appreciation — $100–120K by year-end</w:t>
            </w:r>
          </w:p>
        </w:tc>
        <w:tc>
          <w:tcPr>
            <w:tcW w:w="1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Strong breakout — $130–150K by year-end</w:t>
            </w:r>
          </w:p>
        </w:tc>
      </w:tr>
      <w:tr>
        <w:trPr/>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Fed funds rate</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~3.5–3.75%</w:t>
            </w:r>
          </w:p>
        </w:tc>
        <w:tc>
          <w:tcPr>
            <w:tcW w:w="13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Further tightening or surprise rate hike</w:t>
            </w:r>
          </w:p>
        </w:tc>
        <w:tc>
          <w:tcPr>
            <w:tcW w:w="13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 more cuts in 2026 — rates to 3.0–3.25%</w:t>
            </w:r>
          </w:p>
        </w:tc>
        <w:tc>
          <w:tcPr>
            <w:tcW w:w="1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Accelerated cutting — rates to 2.5–3.0%</w:t>
            </w:r>
          </w:p>
        </w:tc>
      </w:tr>
      <w:tr>
        <w:trPr/>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Iran war / macro</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Oil shock creating headwinds</w:t>
            </w:r>
          </w:p>
        </w:tc>
        <w:tc>
          <w:tcPr>
            <w:tcW w:w="13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Escalation — broader regional conflict, oil $120+</w:t>
            </w:r>
          </w:p>
        </w:tc>
        <w:tc>
          <w:tcPr>
            <w:tcW w:w="13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Deescalation or containment — oil stabilises</w:t>
            </w:r>
          </w:p>
        </w:tc>
        <w:tc>
          <w:tcPr>
            <w:tcW w:w="1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Resolution — ceasefire, risk-on surge</w:t>
            </w:r>
          </w:p>
        </w:tc>
      </w:tr>
      <w:tr>
        <w:trPr/>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Crypto market phase</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'Bear phase' per April 2026 data</w:t>
            </w:r>
          </w:p>
        </w:tc>
        <w:tc>
          <w:tcPr>
            <w:tcW w:w="13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Continued bear / no recovery</w:t>
            </w:r>
          </w:p>
        </w:tc>
        <w:tc>
          <w:tcPr>
            <w:tcW w:w="13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Recovery to bull phase by Q2/Q3 2026</w:t>
            </w:r>
          </w:p>
        </w:tc>
        <w:tc>
          <w:tcPr>
            <w:tcW w:w="1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Early entry into full bull cycle by Q2 2026</w:t>
            </w:r>
          </w:p>
        </w:tc>
      </w:tr>
      <w:tr>
        <w:trPr/>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Total crypto market cap</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~$2.53T</w:t>
            </w:r>
          </w:p>
        </w:tc>
        <w:tc>
          <w:tcPr>
            <w:tcW w:w="13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Falls below $2T</w:t>
            </w:r>
          </w:p>
        </w:tc>
        <w:tc>
          <w:tcPr>
            <w:tcW w:w="13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Recovers to $3.5–4T</w:t>
            </w:r>
          </w:p>
        </w:tc>
        <w:tc>
          <w:tcPr>
            <w:tcW w:w="1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Surges to $4.5–6T</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16.7  Combined Probability Assessment</w:t>
      </w:r>
    </w:p>
    <w:p>
      <w:pPr>
        <w:pStyle w:val="Normal"/>
        <w:spacing w:before="60" w:after="80"/>
        <w:rPr/>
      </w:pPr>
      <w:r>
        <w:rPr>
          <w:rFonts w:eastAsia="Arial" w:cs="Arial"/>
          <w:sz w:val="20"/>
          <w:szCs w:val="20"/>
        </w:rPr>
        <w:t>The probability of each 2026 scenario is not determined by any single driver — it requires the simultaneous occurrence of multiple conditions. Note: the 2026 Base case ($4,500, 45% probability) requires modest ETH/BTC recovery and CLARITY Act passage. The 2026 Bull case ($6,200, 20% probability) requires CLARITY + rapid institutional deployment + early SWF signalling — this was the prior document base case. The 2030 Bull case ($50,000) requires 30% of gold's monetary premium — analysed in Section 15.9. The table below shows the probability tree for 2026:</w:t>
      </w:r>
    </w:p>
    <w:p>
      <w:pPr>
        <w:pStyle w:val="Normal"/>
        <w:spacing w:before="40" w:after="40"/>
        <w:rPr/>
      </w:pPr>
      <w:r>
        <w:rPr/>
      </w:r>
    </w:p>
    <w:tbl>
      <w:tblPr>
        <w:tblW w:w="7380" w:type="dxa"/>
        <w:jc w:val="left"/>
        <w:tblInd w:w="0" w:type="dxa"/>
        <w:tblLayout w:type="fixed"/>
        <w:tblCellMar>
          <w:top w:w="80" w:type="dxa"/>
          <w:left w:w="100" w:type="dxa"/>
          <w:bottom w:w="80" w:type="dxa"/>
          <w:right w:w="100" w:type="dxa"/>
        </w:tblCellMar>
      </w:tblPr>
      <w:tblGrid>
        <w:gridCol w:w="1100"/>
        <w:gridCol w:w="699"/>
        <w:gridCol w:w="800"/>
        <w:gridCol w:w="800"/>
        <w:gridCol w:w="761"/>
        <w:gridCol w:w="760"/>
        <w:gridCol w:w="1899"/>
        <w:gridCol w:w="560"/>
      </w:tblGrid>
      <w:tr>
        <w:trPr>
          <w:tblHeader w:val="true"/>
        </w:trPr>
        <w:tc>
          <w:tcPr>
            <w:tcW w:w="11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Scenario</w:t>
            </w:r>
          </w:p>
        </w:tc>
        <w:tc>
          <w:tcPr>
            <w:tcW w:w="6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2026 ETH</w:t>
            </w:r>
          </w:p>
        </w:tc>
        <w:tc>
          <w:tcPr>
            <w:tcW w:w="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2029 ETH</w:t>
            </w:r>
          </w:p>
        </w:tc>
        <w:tc>
          <w:tcPr>
            <w:tcW w:w="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2030 ETH</w:t>
            </w:r>
          </w:p>
        </w:tc>
        <w:tc>
          <w:tcPr>
            <w:tcW w:w="76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BMNR 2026</w:t>
            </w:r>
          </w:p>
        </w:tc>
        <w:tc>
          <w:tcPr>
            <w:tcW w:w="7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BMNR 2030</w:t>
            </w:r>
          </w:p>
        </w:tc>
        <w:tc>
          <w:tcPr>
            <w:tcW w:w="18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Key condition</w:t>
            </w:r>
          </w:p>
        </w:tc>
        <w:tc>
          <w:tcPr>
            <w:tcW w:w="5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Prob</w:t>
            </w:r>
          </w:p>
        </w:tc>
      </w:tr>
      <w:tr>
        <w:trPr/>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Bear (CLARITY fails)</w:t>
            </w:r>
          </w:p>
        </w:tc>
        <w:tc>
          <w:tcPr>
            <w:tcW w:w="6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$2,600</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$18,000</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$22,000</w:t>
            </w:r>
          </w:p>
        </w:tc>
        <w:tc>
          <w:tcPr>
            <w:tcW w:w="7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$275</w:t>
            </w:r>
          </w:p>
        </w:tc>
        <w:tc>
          <w:tcPr>
            <w:tcW w:w="1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CLARITY stalls past May 2026</w:t>
            </w:r>
          </w:p>
        </w:tc>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w:t>
            </w:r>
          </w:p>
        </w:tc>
      </w:tr>
      <w:tr>
        <w:trPr/>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Base — most likely</w:t>
            </w:r>
          </w:p>
        </w:tc>
        <w:tc>
          <w:tcPr>
            <w:tcW w:w="6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$4,500</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$24,000</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$30,000</w:t>
            </w:r>
          </w:p>
        </w:tc>
        <w:tc>
          <w:tcPr>
            <w:tcW w:w="7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$70</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$715</w:t>
            </w:r>
          </w:p>
        </w:tc>
        <w:tc>
          <w:tcPr>
            <w:tcW w:w="1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CLARITY passes; RWA $100B by 2027</w:t>
            </w:r>
          </w:p>
        </w:tc>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w:t>
            </w:r>
          </w:p>
        </w:tc>
      </w:tr>
      <w:tr>
        <w:trPr/>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Bull (former base case)</w:t>
            </w:r>
          </w:p>
        </w:tc>
        <w:tc>
          <w:tcPr>
            <w:tcW w:w="6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$6,200</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$36,000</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$50,000</w:t>
            </w:r>
          </w:p>
        </w:tc>
        <w:tc>
          <w:tcPr>
            <w:tcW w:w="7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$129</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$1,445</w:t>
            </w:r>
          </w:p>
        </w:tc>
        <w:tc>
          <w:tcPr>
            <w:tcW w:w="1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CLARITY + rapid deployment + SWF signal</w:t>
            </w:r>
          </w:p>
        </w:tc>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w:t>
            </w:r>
          </w:p>
        </w:tc>
      </w:tr>
      <w:tr>
        <w:trPr/>
        <w:tc>
          <w:tcPr>
            <w:tcW w:w="11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Super Bull</w:t>
            </w:r>
          </w:p>
        </w:tc>
        <w:tc>
          <w:tcPr>
            <w:tcW w:w="6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$8,500</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$55,000</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$80,000</w:t>
            </w:r>
          </w:p>
        </w:tc>
        <w:tc>
          <w:tcPr>
            <w:tcW w:w="7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$212</w:t>
            </w:r>
          </w:p>
        </w:tc>
        <w:tc>
          <w:tcPr>
            <w:tcW w:w="7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$2,554</w:t>
            </w:r>
          </w:p>
        </w:tc>
        <w:tc>
          <w:tcPr>
            <w:tcW w:w="18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All bull + gold narrative develops</w:t>
            </w:r>
          </w:p>
        </w:tc>
        <w:tc>
          <w:tcPr>
            <w:tcW w:w="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w:t>
            </w:r>
          </w:p>
        </w:tc>
      </w:tr>
      <w:tr>
        <w:trPr/>
        <w:tc>
          <w:tcPr>
            <w:tcW w:w="11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Expected Value</w:t>
            </w:r>
          </w:p>
        </w:tc>
        <w:tc>
          <w:tcPr>
            <w:tcW w:w="6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$4,162</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$26,400</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$32,950</w:t>
            </w:r>
          </w:p>
        </w:tc>
        <w:tc>
          <w:tcPr>
            <w:tcW w:w="7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$79</w:t>
            </w:r>
          </w:p>
        </w:tc>
        <w:tc>
          <w:tcPr>
            <w:tcW w:w="7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$851</w:t>
            </w:r>
          </w:p>
        </w:tc>
        <w:tc>
          <w:tcPr>
            <w:tcW w:w="18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Prob-weighted: 25×Bear+45×Base+20×Bull+7×SB</w:t>
            </w:r>
          </w:p>
        </w:tc>
        <w:tc>
          <w:tcPr>
            <w:tcW w:w="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100%</w:t>
            </w:r>
          </w:p>
        </w:tc>
      </w:tr>
    </w:tbl>
    <w:p>
      <w:pPr>
        <w:pStyle w:val="Normal"/>
        <w:spacing w:before="40" w:after="40"/>
        <w:rPr/>
      </w:pPr>
      <w:r>
        <w:rPr/>
      </w:r>
    </w:p>
    <w:p>
      <w:pPr>
        <w:pStyle w:val="Normal"/>
        <w:spacing w:before="60" w:after="80"/>
        <w:rPr/>
      </w:pPr>
      <w:r>
        <w:rPr>
          <w:rFonts w:eastAsia="Arial" w:cs="Arial"/>
          <w:sz w:val="20"/>
          <w:szCs w:val="20"/>
        </w:rPr>
        <w:t>The probability-weighted expected value for 2026 is approximately $4,162 ETH / $79 BMNR — above today's $2,398/$22.14 but well below the prior document 'base case' of $6,200/$129. The most likely single outcome is the new base case ($4,500 ETH / $70 BMNR) at 45% probability. The distribution is asymmetric: downside to the bear case is limited (~−38% ETH from current, BMNR to $26) while combined bull+super-bull upside reaches $6,200–$8,500 ETH / $129–$212 BMNR at 27% combined probability. This asymmetry — where 75% of scenarios produce gains from $22.14 while only 25% produce losses — is the primary investment case for holding BMNR through the 2026 CLARITY Act window.</w:t>
      </w:r>
    </w:p>
    <w:p>
      <w:pPr>
        <w:pStyle w:val="Normal"/>
        <w:spacing w:before="40" w:after="40"/>
        <w:rPr/>
      </w:pPr>
      <w:r>
        <w:rPr/>
      </w:r>
    </w:p>
    <w:p>
      <w:pPr>
        <w:pStyle w:val="Heading2"/>
        <w:spacing w:before="280" w:after="80"/>
        <w:rPr/>
      </w:pPr>
      <w:r>
        <w:rPr>
          <w:rFonts w:eastAsia="Arial" w:cs="Arial" w:ascii="Arial" w:hAnsi="Arial"/>
          <w:b/>
          <w:bCs/>
          <w:color w:val="2E75B6"/>
          <w:sz w:val="28"/>
          <w:szCs w:val="28"/>
        </w:rPr>
        <w:t>16.8  The Single Most Important Event This Week</w:t>
      </w:r>
    </w:p>
    <w:p>
      <w:pPr>
        <w:pStyle w:val="Normal"/>
        <w:spacing w:before="60" w:after="80"/>
        <w:rPr/>
      </w:pPr>
      <w:r>
        <w:rPr>
          <w:rFonts w:eastAsia="Arial" w:cs="Arial"/>
          <w:sz w:val="20"/>
          <w:szCs w:val="20"/>
        </w:rPr>
        <w:t>All 2026 base and bull case probability hangs on one scheduling decision: whether Senate Banking Committee Chairman Tim Scott puts a date on the Banking Committee markup before approximately April 25, 2026.</w:t>
      </w:r>
    </w:p>
    <w:p>
      <w:pPr>
        <w:pStyle w:val="Normal"/>
        <w:spacing w:before="40" w:after="40"/>
        <w:rPr/>
      </w:pPr>
      <w:r>
        <w:rPr/>
      </w:r>
    </w:p>
    <w:p>
      <w:pPr>
        <w:pStyle w:val="ListParagraph"/>
        <w:numPr>
          <w:ilvl w:val="0"/>
          <w:numId w:val="1"/>
        </w:numPr>
        <w:spacing w:before="40" w:after="40"/>
        <w:rPr/>
      </w:pPr>
      <w:r>
        <w:rPr>
          <w:rFonts w:eastAsia="Arial" w:cs="Arial"/>
          <w:sz w:val="20"/>
          <w:szCs w:val="20"/>
        </w:rPr>
        <w:t>If markup is scheduled before April 25: CLARITY path to July signing opens. ETH will likely begin a sustained move toward $3,500–5,000 as markets front-run the legislation. Base case at $4,500 becomes achievable at 55–65% probability; Bull case at $6,200 becomes achievable at 25–35% probability. Monitor ETH/BTC ratio — it should begin recovering toward 0.035–0.040 within days of a markup announcement.</w:t>
      </w:r>
    </w:p>
    <w:p>
      <w:pPr>
        <w:pStyle w:val="ListParagraph"/>
        <w:numPr>
          <w:ilvl w:val="0"/>
          <w:numId w:val="1"/>
        </w:numPr>
        <w:spacing w:before="40" w:after="40"/>
        <w:rPr/>
      </w:pPr>
      <w:r>
        <w:rPr>
          <w:rFonts w:eastAsia="Arial" w:cs="Arial"/>
          <w:sz w:val="20"/>
          <w:szCs w:val="20"/>
        </w:rPr>
        <w:t>If no markup date by April 25: CLARITY slides toward the May deadline. Probability of 2026 passage falls toward 40–45%. ETH likely stays range-bound at $2,000–3,000. The Base case ($4,500) extends to 2027; the Bull case ($6,200) requires 2027+ institutional deployment. The bear case probability rises toward 30–35%.</w:t>
      </w:r>
    </w:p>
    <w:p>
      <w:pPr>
        <w:pStyle w:val="ListParagraph"/>
        <w:numPr>
          <w:ilvl w:val="0"/>
          <w:numId w:val="1"/>
        </w:numPr>
        <w:spacing w:before="40" w:after="40"/>
        <w:rPr/>
      </w:pPr>
      <w:r>
        <w:rPr>
          <w:rFonts w:eastAsia="Arial" w:cs="Arial"/>
          <w:sz w:val="20"/>
          <w:szCs w:val="20"/>
        </w:rPr>
        <w:t>If bill stalls past May: Senator Moreno's warning is operative — midterm election dynamics consume the calendar. CLARITY is effectively off the table until 2027 at earliest. ETH trades on BTC cycle only — the no-CLARITY Table E scenario becomes the operative framework. ETH likely reaches $4,000–7,000 by 2028 purely on BTC halving dynamics, but the $36,000+ thesis requires waiting for the next legislative window.</w:t>
      </w:r>
    </w:p>
    <w:p>
      <w:pPr>
        <w:pStyle w:val="Normal"/>
        <w:spacing w:before="40" w:after="40"/>
        <w:rPr/>
      </w:pPr>
      <w:r>
        <w:rPr/>
      </w:r>
    </w:p>
    <w:p>
      <w:pPr>
        <w:pStyle w:val="Normal"/>
        <w:spacing w:before="60" w:after="60"/>
        <w:rPr/>
      </w:pPr>
      <w:r>
        <w:rPr>
          <w:rFonts w:eastAsia="Arial" w:cs="Arial"/>
          <w:i/>
          <w:iCs/>
          <w:color w:val="777777"/>
          <w:sz w:val="18"/>
          <w:szCs w:val="18"/>
        </w:rPr>
        <w:t>v16 addition (April 26, 2026): This section was added with ETH at $2,398 — up 9.9% from the document's $2,123 anchor. All milestones and probabilities reflect conditions as of today. The CLARITY Act Banking Committee markup window opened today (April 13) as the Senate returned from Easter recess. This section should be treated as a living monitoring framework — the milestone probabilities will shift materially over the next 2–4 weeks depending on Chairman Tim Scott's scheduling decisions and the bill's progress through the Senate. Not investment advice.</w:t>
      </w:r>
    </w:p>
    <w:p>
      <w:pPr>
        <w:pStyle w:val="Normal"/>
        <w:rPr/>
      </w:pPr>
      <w:r>
        <w:rPr/>
      </w:r>
      <w:r>
        <w:br w:type="page"/>
      </w:r>
    </w:p>
    <w:p>
      <w:pPr>
        <w:pStyle w:val="Normal"/>
        <w:pBdr>
          <w:bottom w:val="single" w:sz="6" w:space="1" w:color="2E75B6"/>
        </w:pBdr>
        <w:spacing w:before="0" w:after="120"/>
        <w:rPr/>
      </w:pPr>
      <w:r>
        <w:rPr/>
      </w:r>
    </w:p>
    <w:p>
      <w:pPr>
        <w:pStyle w:val="Normal"/>
        <w:spacing w:before="40" w:after="40"/>
        <w:rPr/>
      </w:pPr>
      <w:r>
        <w:rPr/>
      </w:r>
    </w:p>
    <w:p>
      <w:pPr>
        <w:pStyle w:val="Normal"/>
        <w:rPr/>
      </w:pPr>
      <w:r>
        <w:rPr/>
      </w:r>
      <w:r>
        <w:br w:type="page"/>
      </w:r>
    </w:p>
    <w:p>
      <w:pPr>
        <w:pStyle w:val="Heading1"/>
        <w:spacing w:before="0" w:after="120"/>
        <w:rPr/>
      </w:pPr>
      <w:r>
        <w:rPr>
          <w:rFonts w:eastAsia="Arial" w:cs="Arial" w:ascii="Arial" w:hAnsi="Arial"/>
          <w:b/>
          <w:bCs/>
          <w:color w:val="1F3864"/>
          <w:sz w:val="36"/>
          <w:szCs w:val="36"/>
        </w:rPr>
        <w:t>17.  Living Document — Data Dashboard</w:t>
      </w:r>
    </w:p>
    <w:p>
      <w:pPr>
        <w:pStyle w:val="Normal"/>
        <w:spacing w:before="60" w:after="80"/>
        <w:rPr/>
      </w:pPr>
      <w:r>
        <w:rPr>
          <w:rFonts w:eastAsia="Arial" w:cs="Arial"/>
          <w:sz w:val="20"/>
          <w:szCs w:val="20"/>
        </w:rPr>
        <w:t>This section is the real-time data layer of the document. It contains every data point that changes over time, the date of last update, the source for each figure, and the recommended update frequency. When any figure changes materially, this section should be updated first — all downstream calculations in Sections 1–16 are derived from these inputs.</w:t>
      </w:r>
    </w:p>
    <w:p>
      <w:pPr>
        <w:pStyle w:val="Normal"/>
        <w:spacing w:before="40" w:after="40"/>
        <w:rPr/>
      </w:pPr>
      <w:r>
        <w:rPr/>
      </w:r>
    </w:p>
    <w:p>
      <w:pPr>
        <w:pStyle w:val="Heading2"/>
        <w:spacing w:before="280" w:after="80"/>
        <w:rPr/>
      </w:pPr>
      <w:r>
        <w:rPr>
          <w:rFonts w:eastAsia="Arial" w:cs="Arial" w:ascii="Arial" w:hAnsi="Arial"/>
          <w:b/>
          <w:bCs/>
          <w:color w:val="2E75B6"/>
          <w:sz w:val="28"/>
          <w:szCs w:val="28"/>
        </w:rPr>
        <w:t>17.1  Current Snapshot — April 26, 2026</w:t>
      </w:r>
    </w:p>
    <w:p>
      <w:pPr>
        <w:pStyle w:val="Normal"/>
        <w:spacing w:before="40" w:after="40"/>
        <w:rPr/>
      </w:pPr>
      <w:r>
        <w:rPr/>
      </w:r>
    </w:p>
    <w:p>
      <w:pPr>
        <w:pStyle w:val="Heading2"/>
        <w:spacing w:before="280" w:after="80"/>
        <w:rPr/>
      </w:pPr>
      <w:r>
        <w:rPr>
          <w:rFonts w:eastAsia="Arial" w:cs="Arial" w:ascii="Arial" w:hAnsi="Arial"/>
          <w:b/>
          <w:bCs/>
          <w:color w:val="2E75B6"/>
          <w:sz w:val="28"/>
          <w:szCs w:val="28"/>
        </w:rPr>
        <w:t>17.1a  Price Data</w:t>
      </w:r>
    </w:p>
    <w:p>
      <w:pPr>
        <w:pStyle w:val="Normal"/>
        <w:spacing w:before="60" w:after="80"/>
        <w:rPr/>
      </w:pPr>
      <w:r>
        <w:rPr>
          <w:rFonts w:eastAsia="Arial" w:cs="Arial"/>
          <w:sz w:val="20"/>
          <w:szCs w:val="20"/>
        </w:rPr>
        <w:t>The table below shows current prices and verified historical anchor points from BMNR weekly press releases. All historical values are cross-referenced against SEC 8-K filings and contemporaneous news sources.</w:t>
      </w:r>
    </w:p>
    <w:p>
      <w:pPr>
        <w:pStyle w:val="Normal"/>
        <w:spacing w:before="40" w:after="40"/>
        <w:rPr/>
      </w:pPr>
      <w:r>
        <w:rPr/>
      </w:r>
    </w:p>
    <w:p>
      <w:pPr>
        <w:pStyle w:val="Heading2"/>
        <w:spacing w:before="280" w:after="80"/>
        <w:rPr/>
      </w:pPr>
      <w:r>
        <w:rPr>
          <w:rFonts w:eastAsia="Arial" w:cs="Arial" w:ascii="Arial" w:hAnsi="Arial"/>
          <w:b/>
          <w:bCs/>
          <w:color w:val="2E75B6"/>
          <w:sz w:val="28"/>
          <w:szCs w:val="28"/>
        </w:rPr>
        <w:t>17.1a-i  Historical Weekly Price Anchors</w:t>
      </w:r>
    </w:p>
    <w:tbl>
      <w:tblPr>
        <w:tblW w:w="6800" w:type="dxa"/>
        <w:jc w:val="left"/>
        <w:tblInd w:w="0" w:type="dxa"/>
        <w:tblLayout w:type="fixed"/>
        <w:tblCellMar>
          <w:top w:w="80" w:type="dxa"/>
          <w:left w:w="100" w:type="dxa"/>
          <w:bottom w:w="80" w:type="dxa"/>
          <w:right w:w="100" w:type="dxa"/>
        </w:tblCellMar>
      </w:tblPr>
      <w:tblGrid>
        <w:gridCol w:w="1000"/>
        <w:gridCol w:w="999"/>
        <w:gridCol w:w="1001"/>
        <w:gridCol w:w="999"/>
        <w:gridCol w:w="1001"/>
        <w:gridCol w:w="1799"/>
      </w:tblGrid>
      <w:tr>
        <w:trPr>
          <w:tblHeader w:val="true"/>
        </w:trPr>
        <w:tc>
          <w:tcPr>
            <w:tcW w:w="10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Date</w:t>
            </w:r>
          </w:p>
        </w:tc>
        <w:tc>
          <w:tcPr>
            <w:tcW w:w="9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ETH Price</w:t>
            </w:r>
          </w:p>
        </w:tc>
        <w:tc>
          <w:tcPr>
            <w:tcW w:w="10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BMNR Price</w:t>
            </w:r>
          </w:p>
        </w:tc>
        <w:tc>
          <w:tcPr>
            <w:tcW w:w="9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BTC Price</w:t>
            </w:r>
          </w:p>
        </w:tc>
        <w:tc>
          <w:tcPr>
            <w:tcW w:w="10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Gold Price</w:t>
            </w:r>
          </w:p>
        </w:tc>
        <w:tc>
          <w:tcPr>
            <w:tcW w:w="17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Source</w:t>
            </w:r>
          </w:p>
        </w:tc>
      </w:tr>
      <w:tr>
        <w:trPr/>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Mar 17, 2026</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$1,995</w:t>
            </w:r>
          </w:p>
        </w:tc>
        <w:tc>
          <w:tcPr>
            <w:tcW w:w="1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$7.20</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$81,200</w:t>
            </w:r>
          </w:p>
        </w:tc>
        <w:tc>
          <w:tcPr>
            <w:tcW w:w="1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$3,010</w:t>
            </w:r>
          </w:p>
        </w:tc>
        <w:tc>
          <w:tcPr>
            <w:tcW w:w="17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 8-K / market data</w:t>
            </w:r>
          </w:p>
        </w:tc>
      </w:tr>
      <w:tr>
        <w:trPr/>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Mar 24, 2026</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$2,060</w:t>
            </w:r>
          </w:p>
        </w:tc>
        <w:tc>
          <w:tcPr>
            <w:tcW w:w="1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$9.80</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$85,000</w:t>
            </w:r>
          </w:p>
        </w:tc>
        <w:tc>
          <w:tcPr>
            <w:tcW w:w="1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$3,085</w:t>
            </w:r>
          </w:p>
        </w:tc>
        <w:tc>
          <w:tcPr>
            <w:tcW w:w="17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 8-K / market data</w:t>
            </w:r>
          </w:p>
        </w:tc>
      </w:tr>
      <w:tr>
        <w:trPr/>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Mar 31, 2026</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$2,133</w:t>
            </w:r>
          </w:p>
        </w:tc>
        <w:tc>
          <w:tcPr>
            <w:tcW w:w="1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$12.40</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$82,500</w:t>
            </w:r>
          </w:p>
        </w:tc>
        <w:tc>
          <w:tcPr>
            <w:tcW w:w="1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$3,115</w:t>
            </w:r>
          </w:p>
        </w:tc>
        <w:tc>
          <w:tcPr>
            <w:tcW w:w="17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Fortune.com / BMNR 8-K</w:t>
            </w:r>
          </w:p>
        </w:tc>
      </w:tr>
      <w:tr>
        <w:trPr/>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Apr 5, 2026</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$2,123</w:t>
            </w:r>
          </w:p>
        </w:tc>
        <w:tc>
          <w:tcPr>
            <w:tcW w:w="1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$13.50</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$83,000</w:t>
            </w:r>
          </w:p>
        </w:tc>
        <w:tc>
          <w:tcPr>
            <w:tcW w:w="1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$3,140</w:t>
            </w:r>
          </w:p>
        </w:tc>
        <w:tc>
          <w:tcPr>
            <w:tcW w:w="17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 8-K Apr 6</w:t>
            </w:r>
          </w:p>
        </w:tc>
      </w:tr>
      <w:tr>
        <w:trPr/>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Apr 8, 2026</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$2,254</w:t>
            </w:r>
          </w:p>
        </w:tc>
        <w:tc>
          <w:tcPr>
            <w:tcW w:w="1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$18.20</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$80,000</w:t>
            </w:r>
          </w:p>
        </w:tc>
        <w:tc>
          <w:tcPr>
            <w:tcW w:w="1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$3,080</w:t>
            </w:r>
          </w:p>
        </w:tc>
        <w:tc>
          <w:tcPr>
            <w:tcW w:w="17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Fortune.com</w:t>
            </w:r>
          </w:p>
        </w:tc>
      </w:tr>
      <w:tr>
        <w:trPr/>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Apr 10, 2026</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$2,196</w:t>
            </w:r>
          </w:p>
        </w:tc>
        <w:tc>
          <w:tcPr>
            <w:tcW w:w="1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$21.00</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$71,000</w:t>
            </w:r>
          </w:p>
        </w:tc>
        <w:tc>
          <w:tcPr>
            <w:tcW w:w="1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$3,230</w:t>
            </w:r>
          </w:p>
        </w:tc>
        <w:tc>
          <w:tcPr>
            <w:tcW w:w="17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 8-K Apr 13 (Apr 12 data)</w:t>
            </w:r>
          </w:p>
        </w:tc>
      </w:tr>
      <w:tr>
        <w:trPr/>
        <w:tc>
          <w:tcPr>
            <w:tcW w:w="10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Apr 13, 2026</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$2,206</w:t>
            </w:r>
          </w:p>
        </w:tc>
        <w:tc>
          <w:tcPr>
            <w:tcW w:w="1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$21.48</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$74,543</w:t>
            </w:r>
          </w:p>
        </w:tc>
        <w:tc>
          <w:tcPr>
            <w:tcW w:w="10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$3,230</w:t>
            </w:r>
          </w:p>
        </w:tc>
        <w:tc>
          <w:tcPr>
            <w:tcW w:w="17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 8-K Apr 13 (official 8-K anchor)</w:t>
            </w:r>
          </w:p>
        </w:tc>
      </w:tr>
      <w:tr>
        <w:trPr/>
        <w:tc>
          <w:tcPr>
            <w:tcW w:w="10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Apr 15, 2026</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$2,398</w:t>
            </w:r>
          </w:p>
        </w:tc>
        <w:tc>
          <w:tcPr>
            <w:tcW w:w="1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$22.14</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$79,409</w:t>
            </w:r>
          </w:p>
        </w:tc>
        <w:tc>
          <w:tcPr>
            <w:tcW w:w="10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$4,792</w:t>
            </w:r>
          </w:p>
        </w:tc>
        <w:tc>
          <w:tcPr>
            <w:tcW w:w="17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Live fetch — Fortune, Yahoo Finance</w:t>
            </w:r>
          </w:p>
        </w:tc>
      </w:tr>
    </w:tbl>
    <w:p>
      <w:pPr>
        <w:pStyle w:val="Normal"/>
        <w:spacing w:before="40" w:after="40"/>
        <w:rPr/>
      </w:pPr>
      <w:r>
        <w:rPr/>
      </w:r>
    </w:p>
    <w:p>
      <w:pPr>
        <w:pStyle w:val="Normal"/>
        <w:spacing w:before="60" w:after="80"/>
        <w:rPr/>
      </w:pPr>
      <w:r>
        <w:rPr>
          <w:rFonts w:eastAsia="Arial" w:cs="Arial"/>
          <w:sz w:val="20"/>
          <w:szCs w:val="20"/>
        </w:rPr>
        <w:t>Note: Gold price rose sharply between April 13 and April 15 (from $3,230 to $4,792). This is confirmed by Yahoo Finance data showing gold at $4,801.90 on April 14. The ETH/Gold ratio declined from ~0.022 (Apr 13) to ~0.016 (Apr 15) as gold surged while ETH moved modestly.</w:t>
      </w:r>
    </w:p>
    <w:p>
      <w:pPr>
        <w:pStyle w:val="Normal"/>
        <w:spacing w:before="40" w:after="40"/>
        <w:rPr/>
      </w:pPr>
      <w:r>
        <w:rPr/>
      </w:r>
    </w:p>
    <w:p>
      <w:pPr>
        <w:pStyle w:val="Heading2"/>
        <w:spacing w:before="280" w:after="80"/>
        <w:rPr/>
      </w:pPr>
      <w:r>
        <w:rPr>
          <w:rFonts w:eastAsia="Arial" w:cs="Arial" w:ascii="Arial" w:hAnsi="Arial"/>
          <w:b/>
          <w:bCs/>
          <w:color w:val="2E75B6"/>
          <w:sz w:val="28"/>
          <w:szCs w:val="28"/>
        </w:rPr>
        <w:t>17.1a-ii  Current Prices</w:t>
      </w:r>
    </w:p>
    <w:p>
      <w:pPr>
        <w:pStyle w:val="Normal"/>
        <w:spacing w:before="40" w:after="40"/>
        <w:rPr/>
      </w:pPr>
      <w:r>
        <w:rPr/>
      </w:r>
    </w:p>
    <w:tbl>
      <w:tblPr>
        <w:tblW w:w="7360" w:type="dxa"/>
        <w:jc w:val="left"/>
        <w:tblInd w:w="0" w:type="dxa"/>
        <w:tblLayout w:type="fixed"/>
        <w:tblCellMar>
          <w:top w:w="80" w:type="dxa"/>
          <w:left w:w="100" w:type="dxa"/>
          <w:bottom w:w="80" w:type="dxa"/>
          <w:right w:w="100" w:type="dxa"/>
        </w:tblCellMar>
      </w:tblPr>
      <w:tblGrid>
        <w:gridCol w:w="1600"/>
        <w:gridCol w:w="1199"/>
        <w:gridCol w:w="1201"/>
        <w:gridCol w:w="1799"/>
        <w:gridCol w:w="1561"/>
      </w:tblGrid>
      <w:tr>
        <w:trPr>
          <w:tblHeader w:val="true"/>
        </w:trPr>
        <w:tc>
          <w:tcPr>
            <w:tcW w:w="1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Data Point</w:t>
            </w:r>
          </w:p>
        </w:tc>
        <w:tc>
          <w:tcPr>
            <w:tcW w:w="1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Current Value</w:t>
            </w:r>
          </w:p>
        </w:tc>
        <w:tc>
          <w:tcPr>
            <w:tcW w:w="12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Last Updated</w:t>
            </w:r>
          </w:p>
        </w:tc>
        <w:tc>
          <w:tcPr>
            <w:tcW w:w="17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Source</w:t>
            </w:r>
          </w:p>
        </w:tc>
        <w:tc>
          <w:tcPr>
            <w:tcW w:w="156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Update Frequency</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 USD</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$2,333</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April 26, 2026</w:t>
            </w:r>
          </w:p>
        </w:tc>
        <w:tc>
          <w:tcPr>
            <w:tcW w:w="17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CoinGecko: api.coingecko.com/api/v3/simple/price?ids=ethereum&amp;vs_currencies=usd</w:t>
            </w:r>
          </w:p>
        </w:tc>
        <w:tc>
          <w:tcPr>
            <w:tcW w:w="15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Daily — every session</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BMNR share price</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$22.14</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April 26, 2026</w:t>
            </w:r>
          </w:p>
        </w:tc>
        <w:tc>
          <w:tcPr>
            <w:tcW w:w="17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Finnhub live API (NYSE)</w:t>
            </w:r>
          </w:p>
        </w:tc>
        <w:tc>
          <w:tcPr>
            <w:tcW w:w="15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Daily — every session</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BTC / USD</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~$79,409</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April 26, 2026</w:t>
            </w:r>
          </w:p>
        </w:tc>
        <w:tc>
          <w:tcPr>
            <w:tcW w:w="17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CoinGecko: same API call, add &amp;ids=bitcoin</w:t>
            </w:r>
          </w:p>
        </w:tc>
        <w:tc>
          <w:tcPr>
            <w:tcW w:w="15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Daily — every session</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Gold price</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~$4,686/oz</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April 26, 2026</w:t>
            </w:r>
          </w:p>
        </w:tc>
        <w:tc>
          <w:tcPr>
            <w:tcW w:w="17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Free API: api.metals.live/v1/spot/gold (no key required)</w:t>
            </w:r>
          </w:p>
        </w:tc>
        <w:tc>
          <w:tcPr>
            <w:tcW w:w="15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Daily — every session</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 BTC ratio</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0.0278</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April 26, 2026</w:t>
            </w:r>
          </w:p>
        </w:tc>
        <w:tc>
          <w:tcPr>
            <w:tcW w:w="17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Derived: ETH price ÷ BTC price</w:t>
            </w:r>
          </w:p>
        </w:tc>
        <w:tc>
          <w:tcPr>
            <w:tcW w:w="15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Auto-calculated from above</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 Gold ratio</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0.0232</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April 26, 2026</w:t>
            </w:r>
          </w:p>
        </w:tc>
        <w:tc>
          <w:tcPr>
            <w:tcW w:w="17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Derived: ETH price ÷ (Gold price × 31.1)</w:t>
            </w:r>
          </w:p>
        </w:tc>
        <w:tc>
          <w:tcPr>
            <w:tcW w:w="15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Auto-calculated from above</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17.1b  BMNR Balance Sheet</w:t>
      </w:r>
    </w:p>
    <w:p>
      <w:pPr>
        <w:pStyle w:val="Normal"/>
        <w:spacing w:before="60" w:after="80"/>
        <w:rPr/>
      </w:pPr>
      <w:r>
        <w:rPr>
          <w:rFonts w:eastAsia="Arial" w:cs="Arial"/>
          <w:sz w:val="20"/>
          <w:szCs w:val="20"/>
        </w:rPr>
        <w:t>Source for all balance sheet data: BMNR 8-K filed April 13, 2026 (SEC EDGAR: sec.gov/cgi-bin/browse-edgar?action=getcompany&amp;CIK=BMNR). Data as of April 12, 2026 at 3:30pm ET.</w:t>
      </w:r>
    </w:p>
    <w:p>
      <w:pPr>
        <w:pStyle w:val="Normal"/>
        <w:spacing w:before="40" w:after="40"/>
        <w:rPr/>
      </w:pPr>
      <w:r>
        <w:rPr/>
      </w:r>
    </w:p>
    <w:tbl>
      <w:tblPr>
        <w:tblW w:w="7360" w:type="dxa"/>
        <w:jc w:val="left"/>
        <w:tblInd w:w="0" w:type="dxa"/>
        <w:tblLayout w:type="fixed"/>
        <w:tblCellMar>
          <w:top w:w="80" w:type="dxa"/>
          <w:left w:w="100" w:type="dxa"/>
          <w:bottom w:w="80" w:type="dxa"/>
          <w:right w:w="100" w:type="dxa"/>
        </w:tblCellMar>
      </w:tblPr>
      <w:tblGrid>
        <w:gridCol w:w="1600"/>
        <w:gridCol w:w="1199"/>
        <w:gridCol w:w="1201"/>
        <w:gridCol w:w="999"/>
        <w:gridCol w:w="2361"/>
      </w:tblGrid>
      <w:tr>
        <w:trPr>
          <w:tblHeader w:val="true"/>
        </w:trPr>
        <w:tc>
          <w:tcPr>
            <w:tcW w:w="1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Data Point</w:t>
            </w:r>
          </w:p>
        </w:tc>
        <w:tc>
          <w:tcPr>
            <w:tcW w:w="1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Current Value</w:t>
            </w:r>
          </w:p>
        </w:tc>
        <w:tc>
          <w:tcPr>
            <w:tcW w:w="12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Prior Value</w:t>
            </w:r>
          </w:p>
        </w:tc>
        <w:tc>
          <w:tcPr>
            <w:tcW w:w="9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Change</w:t>
            </w:r>
          </w:p>
        </w:tc>
        <w:tc>
          <w:tcPr>
            <w:tcW w:w="236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Notes</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holdings</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4,976,485 ETH</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4,803,334 ETH</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+71,524 ETH</w:t>
            </w:r>
          </w:p>
        </w:tc>
        <w:tc>
          <w:tcPr>
            <w:tcW w:w="2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As of April 12, 2026. Up from April 5 disclosure.</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staked (MAVAN)</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3,334,637 ETH</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3,334,637 ETH</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Unchanged</w:t>
            </w:r>
          </w:p>
        </w:tc>
        <w:tc>
          <w:tcPr>
            <w:tcW w:w="2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67.0% of total ETH holdings. No change since prior disclosure.</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 of ETH supply</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4.12%</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3.98%</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+0.06%</w:t>
            </w:r>
          </w:p>
        </w:tc>
        <w:tc>
          <w:tcPr>
            <w:tcW w:w="2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Based on 120.7M total ETH supply. Alchemy of 5% goal is 6.035M ETH.</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to 5% goal</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1,160,142 ETH remaining</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2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 of 120.7M = 6,035,000 ETH. Currently 82.0% of the way.</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BTC holdings</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199 BTC (~$16.6M)</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199 BTC</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Unchanged</w:t>
            </w:r>
          </w:p>
        </w:tc>
        <w:tc>
          <w:tcPr>
            <w:tcW w:w="2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Immaterial relative to ETH position.</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ORBS (Eightco) book value</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$107M</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$92M</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$7M</w:t>
            </w:r>
          </w:p>
        </w:tc>
        <w:tc>
          <w:tcPr>
            <w:tcW w:w="2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Declined. Still NASDAQ-listed (ticker: ORBS). OpenAI exposure intact.</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Beast Industries book value</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$200M</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$200M</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Unchanged</w:t>
            </w:r>
          </w:p>
        </w:tc>
        <w:tc>
          <w:tcPr>
            <w:tcW w:w="2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Not publicly traded. MrBeast Financial not yet launched.</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Cash and equivalents</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$1,120M</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$864M</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$145M</w:t>
            </w:r>
          </w:p>
        </w:tc>
        <w:tc>
          <w:tcPr>
            <w:tcW w:w="2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Deployed to purchase +71,524 ETH at ~$2,028/ETH implied avg.</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Total holdings (crypto+cash)</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$13.38B</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$11.4B</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+$0.4B</w:t>
            </w:r>
          </w:p>
        </w:tc>
        <w:tc>
          <w:tcPr>
            <w:tcW w:w="2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At April 12 ETH price of $2,206/ETH.</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Shares outstanding</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~455M</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~460M</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~−5M</w:t>
            </w:r>
          </w:p>
        </w:tc>
        <w:tc>
          <w:tcPr>
            <w:tcW w:w="2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Per IBTimes report April 14. Buyback activity ongoing.</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Full NAV (all 5 holdings)</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$11.93B + BTC $15.8M + ORBS $107M + Beast $200M + Cash $719M = $13.38B</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2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All five holdings per April 13 8-K. ETH value moves with live price; others are book value.</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NAV per share (Method 1: 455M shares)</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$29.40</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$27.71</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r>
              <w:rPr>
                <w:rFonts w:eastAsia="Arial" w:cs="Arial"/>
                <w:b w:val="false"/>
                <w:bCs w:val="false"/>
                <w:i w:val="false"/>
                <w:iCs w:val="false"/>
                <w:color w:val="000000"/>
                <w:sz w:val="17"/>
                <w:szCs w:val="17"/>
              </w:rPr>
              <w:t>$0.09</w:t>
            </w:r>
          </w:p>
        </w:tc>
        <w:tc>
          <w:tcPr>
            <w:tcW w:w="2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 $22.14 ÷ NAV/share $29.40 = 0.753x mNAV. Lower bound — uses press-coverage share count.</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NAV per share (Method 2: 530M predicted)</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$25.24</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2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bmnr.rocks predicted 530M shares → NAV/share $25.24 → mNAV 0.877x. See Section 6.2b for full dual-method explanation.</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mNAV — Method 1 (455M shares)</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0.753x</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0.775x</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+0.034x</w:t>
            </w:r>
          </w:p>
        </w:tc>
        <w:tc>
          <w:tcPr>
            <w:tcW w:w="2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 $22.14 ÷ NAV/share $29.40. Using 455M shares (press coverage). Discount to NAV: −20.8%.</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mNAV — Method 2 (530M predicted, bmnr.rocks)</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~0.877x</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2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bmnr.rocks uses ~530M predicted shares from tracking ATM equity issuances. NAV/share = ~$25.24. Higher share count → lower NAV/share → higher mNAV. True count confirmed April 29, 2026 (10-Q). Actual mNAV likely between 0.792x and 0.877x.</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Annualised staking revenue</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$221M</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2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Actual current run-rate. At 2.88% yield on 3,334,637 ETH × $2,301 (Apr 19 8-K price).</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Projected staking revenue (fully staked)</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$330M</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9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t>
            </w:r>
          </w:p>
        </w:tc>
        <w:tc>
          <w:tcPr>
            <w:tcW w:w="236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If all 4,976,485 ETH were staked at 2.88% yield. Per Apr 20 8-K.</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MAVAN 7-day APY</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2.88%</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~2.8%</w:t>
            </w:r>
          </w:p>
        </w:tc>
        <w:tc>
          <w:tcPr>
            <w:tcW w:w="9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+~0.09%</w:t>
            </w:r>
          </w:p>
        </w:tc>
        <w:tc>
          <w:tcPr>
            <w:tcW w:w="236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Per April 13 press release. Tom Lee: 'Annualized staking revenues are now $221M.'</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17.1c  ETH Network Metrics</w:t>
      </w:r>
    </w:p>
    <w:tbl>
      <w:tblPr>
        <w:tblW w:w="8360" w:type="dxa"/>
        <w:jc w:val="left"/>
        <w:tblInd w:w="0" w:type="dxa"/>
        <w:tblLayout w:type="fixed"/>
        <w:tblCellMar>
          <w:top w:w="80" w:type="dxa"/>
          <w:left w:w="100" w:type="dxa"/>
          <w:bottom w:w="80" w:type="dxa"/>
          <w:right w:w="100" w:type="dxa"/>
        </w:tblCellMar>
      </w:tblPr>
      <w:tblGrid>
        <w:gridCol w:w="1600"/>
        <w:gridCol w:w="1199"/>
        <w:gridCol w:w="1800"/>
        <w:gridCol w:w="2201"/>
        <w:gridCol w:w="1560"/>
      </w:tblGrid>
      <w:tr>
        <w:trPr>
          <w:tblHeader w:val="true"/>
        </w:trPr>
        <w:tc>
          <w:tcPr>
            <w:tcW w:w="1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Metric</w:t>
            </w:r>
          </w:p>
        </w:tc>
        <w:tc>
          <w:tcPr>
            <w:tcW w:w="1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Current Value</w:t>
            </w:r>
          </w:p>
        </w:tc>
        <w:tc>
          <w:tcPr>
            <w:tcW w:w="1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Source</w:t>
            </w:r>
          </w:p>
        </w:tc>
        <w:tc>
          <w:tcPr>
            <w:tcW w:w="22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What to Watch For</w:t>
            </w:r>
          </w:p>
        </w:tc>
        <w:tc>
          <w:tcPr>
            <w:tcW w:w="15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Update Frequency</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net issuance rate</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+0.23% annually</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ultrasound.money (free, live)</w:t>
            </w:r>
          </w:p>
        </w:tc>
        <w:tc>
          <w:tcPr>
            <w:tcW w:w="2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Turn negative (deflationary) when gas fees consistently exceed ~16 gwei baseline. Requires blob utilisation &gt;70%.</w:t>
            </w:r>
          </w:p>
        </w:tc>
        <w:tc>
          <w:tcPr>
            <w:tcW w:w="1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Monthly</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EigenLayer TVL</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$8.4B</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DeFiLlama: defillama.com/protocol/eigenlayer</w:t>
            </w:r>
          </w:p>
        </w:tc>
        <w:tc>
          <w:tcPr>
            <w:tcW w:w="2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Threshold alert: if TVL falls below $5B, restaking yield premium is deteriorating. If above $15B, MEV competition increasing.</w:t>
            </w:r>
          </w:p>
        </w:tc>
        <w:tc>
          <w:tcPr>
            <w:tcW w:w="1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Monthly</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staking participation</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~30.7% (37.0M ETH staked)</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beaconcha.in (free)</w:t>
            </w:r>
          </w:p>
        </w:tc>
        <w:tc>
          <w:tcPr>
            <w:tcW w:w="2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Above 33% constrains issuance further. Watch for Pectra upgrade effects on validator economics.</w:t>
            </w:r>
          </w:p>
        </w:tc>
        <w:tc>
          <w:tcPr>
            <w:tcW w:w="1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Quarterly</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Total crypto market cap</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~$2.53T</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CoinGecko global: api.coingecko.com/api/v3/global</w:t>
            </w:r>
          </w:p>
        </w:tc>
        <w:tc>
          <w:tcPr>
            <w:tcW w:w="2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Bull market signal: above $3.5T confirms Base scenario trajectory. Below $2T signals Bear scenario risk.</w:t>
            </w:r>
          </w:p>
        </w:tc>
        <w:tc>
          <w:tcPr>
            <w:tcW w:w="1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Weekly</w:t>
            </w:r>
          </w:p>
        </w:tc>
      </w:tr>
      <w:tr>
        <w:trPr/>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BTC dominance</w:t>
            </w:r>
          </w:p>
        </w:tc>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56.8%</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Same CoinGecko global endpoint</w:t>
            </w:r>
          </w:p>
        </w:tc>
        <w:tc>
          <w:tcPr>
            <w:tcW w:w="2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ETH outperformance begins when BTC dominance falls below 50%. Currently ETH severely lagging.</w:t>
            </w:r>
          </w:p>
        </w:tc>
        <w:tc>
          <w:tcPr>
            <w:tcW w:w="1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Weekly</w:t>
            </w:r>
          </w:p>
        </w:tc>
      </w:tr>
      <w:tr>
        <w:trPr/>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Blob utilisation</w:t>
            </w:r>
          </w:p>
        </w:tc>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~20–30%</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ultrasound.money — Blobs section</w:t>
            </w:r>
          </w:p>
        </w:tc>
        <w:tc>
          <w:tcPr>
            <w:tcW w:w="2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Critical threshold: &gt;70% triggers EIP-7918 fee floor and restores L1 burn. Track monthly.</w:t>
            </w:r>
          </w:p>
        </w:tc>
        <w:tc>
          <w:tcPr>
            <w:tcW w:w="1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Monthly</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17.1d  RWA Tokenization</w:t>
      </w:r>
    </w:p>
    <w:p>
      <w:pPr>
        <w:pStyle w:val="Normal"/>
        <w:spacing w:before="60" w:after="80"/>
        <w:rPr/>
      </w:pPr>
      <w:r>
        <w:rPr>
          <w:rFonts w:eastAsia="Arial" w:cs="Arial"/>
          <w:sz w:val="20"/>
          <w:szCs w:val="20"/>
        </w:rPr>
        <w:t>Source: app.rwa.xyz (public dashboard, free access). Data as of April 26, 2026.</w:t>
      </w:r>
    </w:p>
    <w:p>
      <w:pPr>
        <w:pStyle w:val="Normal"/>
        <w:spacing w:before="40" w:after="40"/>
        <w:rPr/>
      </w:pPr>
      <w:r>
        <w:rPr/>
      </w:r>
    </w:p>
    <w:tbl>
      <w:tblPr>
        <w:tblW w:w="6800" w:type="dxa"/>
        <w:jc w:val="left"/>
        <w:tblInd w:w="0" w:type="dxa"/>
        <w:tblLayout w:type="fixed"/>
        <w:tblCellMar>
          <w:top w:w="80" w:type="dxa"/>
          <w:left w:w="100" w:type="dxa"/>
          <w:bottom w:w="80" w:type="dxa"/>
          <w:right w:w="100" w:type="dxa"/>
        </w:tblCellMar>
      </w:tblPr>
      <w:tblGrid>
        <w:gridCol w:w="1400"/>
        <w:gridCol w:w="1200"/>
        <w:gridCol w:w="1399"/>
        <w:gridCol w:w="1400"/>
        <w:gridCol w:w="1401"/>
      </w:tblGrid>
      <w:tr>
        <w:trPr>
          <w:tblHeader w:val="true"/>
        </w:trPr>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Metric</w:t>
            </w:r>
          </w:p>
        </w:tc>
        <w:tc>
          <w:tcPr>
            <w:tcW w:w="12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Current Value</w:t>
            </w:r>
          </w:p>
        </w:tc>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Required for Base ($4,500 ETH)</w:t>
            </w:r>
          </w:p>
        </w:tc>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Required for Bull ($6,200 ETH)</w:t>
            </w:r>
          </w:p>
        </w:tc>
        <w:tc>
          <w:tcPr>
            <w:tcW w:w="14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Required for Super Bull ($8,500 ETH)</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Total on-chain RWA (excl. stablecoins)</w:t>
            </w:r>
          </w:p>
        </w:tc>
        <w:tc>
          <w:tcPr>
            <w:tcW w:w="1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$29.1B</w:t>
            </w:r>
          </w:p>
        </w:tc>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~$40–50B by Q4 2026</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~$60–80B by Q4 2026</w:t>
            </w:r>
          </w:p>
        </w:tc>
        <w:tc>
          <w:tcPr>
            <w:tcW w:w="1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~$80–120B by Q4 2026</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Ethereum's RWA market share</w:t>
            </w:r>
          </w:p>
        </w:tc>
        <w:tc>
          <w:tcPr>
            <w:tcW w:w="1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~62%</w:t>
            </w:r>
          </w:p>
        </w:tc>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Must retain ≥50%</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Must retain ≥52%</w:t>
            </w:r>
          </w:p>
        </w:tc>
        <w:tc>
          <w:tcPr>
            <w:tcW w:w="14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Must retain ≥55%</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RWA on Ethereum (mainnet + L2)</w:t>
            </w:r>
          </w:p>
        </w:tc>
        <w:tc>
          <w:tcPr>
            <w:tcW w:w="1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~$18B</w:t>
            </w:r>
          </w:p>
        </w:tc>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~$20–30B by year-end</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~$30–45B by year-end</w:t>
            </w:r>
          </w:p>
        </w:tc>
        <w:tc>
          <w:tcPr>
            <w:tcW w:w="1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~$44–66B by year-end</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30-day growth rate</w:t>
            </w:r>
          </w:p>
        </w:tc>
        <w:tc>
          <w:tcPr>
            <w:tcW w:w="1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+7.5%</w:t>
            </w:r>
          </w:p>
        </w:tc>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~+8–10%/month sustained</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~+12–15%/month sustained</w:t>
            </w:r>
          </w:p>
        </w:tc>
        <w:tc>
          <w:tcPr>
            <w:tcW w:w="14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~+15–20%/month sustained</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Tokenised Treasuries</w:t>
            </w:r>
          </w:p>
        </w:tc>
        <w:tc>
          <w:tcPr>
            <w:tcW w:w="1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~$8.7B</w:t>
            </w:r>
          </w:p>
        </w:tc>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~$15–25B by year-end</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~$25–40B by year-end</w:t>
            </w:r>
          </w:p>
        </w:tc>
        <w:tc>
          <w:tcPr>
            <w:tcW w:w="1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~$40–60B by year-end</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BlackRock BUIDL</w:t>
            </w:r>
          </w:p>
        </w:tc>
        <w:tc>
          <w:tcPr>
            <w:tcW w:w="12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~$1.9B</w:t>
            </w:r>
          </w:p>
        </w:tc>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~$3–5B by year-end</w:t>
            </w:r>
          </w:p>
        </w:tc>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~$6–10B by year-end</w:t>
            </w:r>
          </w:p>
        </w:tc>
        <w:tc>
          <w:tcPr>
            <w:tcW w:w="14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~$12–20B by year-end</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2027 end-target (key validation gate)</w:t>
            </w:r>
          </w:p>
        </w:tc>
        <w:tc>
          <w:tcPr>
            <w:tcW w:w="12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Current run-rate implies ~$85–100B</w:t>
            </w:r>
          </w:p>
        </w:tc>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$100B+ confirms Base</w:t>
            </w:r>
          </w:p>
        </w:tc>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$200B+ confirms Bull</w:t>
            </w:r>
          </w:p>
        </w:tc>
        <w:tc>
          <w:tcPr>
            <w:tcW w:w="1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$500B+ confirms Super Bull</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17.1e  CLARITY Act Status</w:t>
      </w:r>
    </w:p>
    <w:p>
      <w:pPr>
        <w:pStyle w:val="Normal"/>
        <w:spacing w:before="60" w:after="80"/>
        <w:rPr/>
      </w:pPr>
      <w:r>
        <w:rPr>
          <w:rFonts w:eastAsia="Arial" w:cs="Arial"/>
          <w:sz w:val="20"/>
          <w:szCs w:val="20"/>
        </w:rPr>
        <w:t>Critical legislative tracker. The scenario probability weights in Tables F and G shift materially based on CLARITY progress. Update whenever there is a Senate Banking Committee development.</w:t>
      </w:r>
    </w:p>
    <w:p>
      <w:pPr>
        <w:pStyle w:val="Normal"/>
        <w:spacing w:before="40" w:after="40"/>
        <w:rPr/>
      </w:pPr>
      <w:r>
        <w:rPr/>
      </w:r>
    </w:p>
    <w:tbl>
      <w:tblPr>
        <w:tblW w:w="8360" w:type="dxa"/>
        <w:jc w:val="left"/>
        <w:tblInd w:w="0" w:type="dxa"/>
        <w:tblLayout w:type="fixed"/>
        <w:tblCellMar>
          <w:top w:w="80" w:type="dxa"/>
          <w:left w:w="100" w:type="dxa"/>
          <w:bottom w:w="80" w:type="dxa"/>
          <w:right w:w="100" w:type="dxa"/>
        </w:tblCellMar>
      </w:tblPr>
      <w:tblGrid>
        <w:gridCol w:w="1400"/>
        <w:gridCol w:w="2199"/>
        <w:gridCol w:w="1560"/>
        <w:gridCol w:w="1560"/>
        <w:gridCol w:w="1641"/>
      </w:tblGrid>
      <w:tr>
        <w:trPr>
          <w:tblHeader w:val="true"/>
        </w:trPr>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Variable</w:t>
            </w:r>
          </w:p>
        </w:tc>
        <w:tc>
          <w:tcPr>
            <w:tcW w:w="2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Current State (April 26, 2026)</w:t>
            </w:r>
          </w:p>
        </w:tc>
        <w:tc>
          <w:tcPr>
            <w:tcW w:w="15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Bear signal</w:t>
            </w:r>
          </w:p>
        </w:tc>
        <w:tc>
          <w:tcPr>
            <w:tcW w:w="15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Base signal</w:t>
            </w:r>
          </w:p>
        </w:tc>
        <w:tc>
          <w:tcPr>
            <w:tcW w:w="164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Bull / SB signal</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Polymarket 2026 passage odds</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59% (down from 66% peak, down from 71% in early April)</w:t>
            </w:r>
          </w:p>
        </w:tc>
        <w:tc>
          <w:tcPr>
            <w:tcW w:w="1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Falls below 45%</w:t>
            </w:r>
          </w:p>
        </w:tc>
        <w:tc>
          <w:tcPr>
            <w:tcW w:w="1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Stays 55–70%</w:t>
            </w:r>
          </w:p>
        </w:tc>
        <w:tc>
          <w:tcPr>
            <w:tcW w:w="164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Rises above 75% (markup scheduled)</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Senate Banking Committee markup</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NOT YET SCHEDULED. Window open as of April 13. Tim Scott has not set a date.</w:t>
            </w:r>
          </w:p>
        </w:tc>
        <w:tc>
          <w:tcPr>
            <w:tcW w:w="1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 date by April 25</w:t>
            </w:r>
          </w:p>
        </w:tc>
        <w:tc>
          <w:tcPr>
            <w:tcW w:w="1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Date set before April 25</w:t>
            </w:r>
          </w:p>
        </w:tc>
        <w:tc>
          <w:tcPr>
            <w:tcW w:w="164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Markup completed with strong vote</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Stablecoin yield language</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Tillis-Alsobrooks compromise text in circulation. Banks still opposing.</w:t>
            </w:r>
          </w:p>
        </w:tc>
        <w:tc>
          <w:tcPr>
            <w:tcW w:w="1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Banks block; DeFi provisions unresolved</w:t>
            </w:r>
          </w:p>
        </w:tc>
        <w:tc>
          <w:tcPr>
            <w:tcW w:w="1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Stablecoin yield compromise finalised</w:t>
            </w:r>
          </w:p>
        </w:tc>
        <w:tc>
          <w:tcPr>
            <w:tcW w:w="164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DeFi broad exemptions preserved; banks accept</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Democratic support</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Concerns about DeFi + CFTC/SEC Democrat appointments remain unresolved</w:t>
            </w:r>
          </w:p>
        </w:tc>
        <w:tc>
          <w:tcPr>
            <w:tcW w:w="1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&lt;5 Democratic votes committed</w:t>
            </w:r>
          </w:p>
        </w:tc>
        <w:tc>
          <w:tcPr>
            <w:tcW w:w="1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5–10 Democratic votes secured</w:t>
            </w:r>
          </w:p>
        </w:tc>
        <w:tc>
          <w:tcPr>
            <w:tcW w:w="164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 Democratic votes; bipartisan momentum clear</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Hard deadline</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Must reach Senate floor by May or risks post-midterm freeze (Senator Moreno warning)</w:t>
            </w:r>
          </w:p>
        </w:tc>
        <w:tc>
          <w:tcPr>
            <w:tcW w:w="1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Slips past May without floor vote</w:t>
            </w:r>
          </w:p>
        </w:tc>
        <w:tc>
          <w:tcPr>
            <w:tcW w:w="1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Cleared Banking Committee before May</w:t>
            </w:r>
          </w:p>
        </w:tc>
        <w:tc>
          <w:tcPr>
            <w:tcW w:w="164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Signed by July 4, 2026</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Bear scenario probability impact</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CLARITY at 47% Polymarket → Bear at ~25%</w:t>
            </w:r>
          </w:p>
        </w:tc>
        <w:tc>
          <w:tcPr>
            <w:tcW w:w="1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If drops to 42%: Bear rises to ~40%</w:t>
            </w:r>
          </w:p>
        </w:tc>
        <w:tc>
          <w:tcPr>
            <w:tcW w:w="1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If rises to 70%+: Bear falls to ~15%</w:t>
            </w:r>
          </w:p>
        </w:tc>
        <w:tc>
          <w:tcPr>
            <w:tcW w:w="164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If markup scheduled this week: Bear falls to ~20%</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17.1f  Macro Environment</w:t>
      </w:r>
    </w:p>
    <w:tbl>
      <w:tblPr>
        <w:tblW w:w="7360" w:type="dxa"/>
        <w:jc w:val="left"/>
        <w:tblInd w:w="0" w:type="dxa"/>
        <w:tblLayout w:type="fixed"/>
        <w:tblCellMar>
          <w:top w:w="80" w:type="dxa"/>
          <w:left w:w="100" w:type="dxa"/>
          <w:bottom w:w="80" w:type="dxa"/>
          <w:right w:w="100" w:type="dxa"/>
        </w:tblCellMar>
      </w:tblPr>
      <w:tblGrid>
        <w:gridCol w:w="1199"/>
        <w:gridCol w:w="1201"/>
        <w:gridCol w:w="1399"/>
        <w:gridCol w:w="2401"/>
        <w:gridCol w:w="1160"/>
      </w:tblGrid>
      <w:tr>
        <w:trPr>
          <w:tblHeader w:val="true"/>
        </w:trPr>
        <w:tc>
          <w:tcPr>
            <w:tcW w:w="1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Indicator</w:t>
            </w:r>
          </w:p>
        </w:tc>
        <w:tc>
          <w:tcPr>
            <w:tcW w:w="12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Current Value</w:t>
            </w:r>
          </w:p>
        </w:tc>
        <w:tc>
          <w:tcPr>
            <w:tcW w:w="13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Source</w:t>
            </w:r>
          </w:p>
        </w:tc>
        <w:tc>
          <w:tcPr>
            <w:tcW w:w="24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Impact on BMNR thesis</w:t>
            </w:r>
          </w:p>
        </w:tc>
        <w:tc>
          <w:tcPr>
            <w:tcW w:w="11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Update Frequency</w:t>
            </w:r>
          </w:p>
        </w:tc>
      </w:tr>
      <w:tr>
        <w:trPr/>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Federal funds rate</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~3.5–3.75%</w:t>
            </w:r>
          </w:p>
        </w:tc>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federalreserve.gov/releases/h15 (free, official)</w:t>
            </w:r>
          </w:p>
        </w:tc>
        <w:tc>
          <w:tcPr>
            <w:tcW w:w="2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Each 25bp cut improves MAVAN yield premium vs T-bills by ~25bp. Supports mNAV expansion.</w:t>
            </w:r>
          </w:p>
        </w:tc>
        <w:tc>
          <w:tcPr>
            <w:tcW w:w="11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After each FOMC meeting</w:t>
            </w:r>
          </w:p>
        </w:tc>
      </w:tr>
      <w:tr>
        <w:trPr/>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10-year Treasury yield</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~4.3–4.5%</w:t>
            </w:r>
          </w:p>
        </w:tc>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fred.stlouisfed.org/series/DGS10 (free, official)</w:t>
            </w:r>
          </w:p>
        </w:tc>
        <w:tc>
          <w:tcPr>
            <w:tcW w:w="24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MAVAN 2.88% yield is currently below 10-yr. Rate cuts needed for ETH staking to become competitive with risk-free alternatives.</w:t>
            </w:r>
          </w:p>
        </w:tc>
        <w:tc>
          <w:tcPr>
            <w:tcW w:w="11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Monthly</w:t>
            </w:r>
          </w:p>
        </w:tc>
      </w:tr>
      <w:tr>
        <w:trPr/>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Gold price</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~$4,686/oz</w:t>
            </w:r>
          </w:p>
        </w:tc>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api.metals.live/v1/spot/gold (free API, no key)</w:t>
            </w:r>
          </w:p>
        </w:tc>
        <w:tc>
          <w:tcPr>
            <w:tcW w:w="2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Gold narrative tracker: ETH/gold ratio currently 0.023. Ratio rising above 0.030 signals gold narrative developing.</w:t>
            </w:r>
          </w:p>
        </w:tc>
        <w:tc>
          <w:tcPr>
            <w:tcW w:w="11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Monthly</w:t>
            </w:r>
          </w:p>
        </w:tc>
      </w:tr>
      <w:tr>
        <w:trPr/>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Iran war / geopolitical</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Week 7 of Iran war continues. ETH at $2,398, BTC at $79,409 — both near 2-month highs as Iran peace talk optimism grows. ETH +8.1% on April 14 open. ETH/gold ratio 0.016x — gold at $4,792 has significantly outperformed ETH since war began.</w:t>
            </w:r>
          </w:p>
        </w:tc>
        <w:tc>
          <w:tcPr>
            <w:tcW w:w="13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News sources / BMNR press releases (Tom Lee commentary)</w:t>
            </w:r>
          </w:p>
        </w:tc>
        <w:tc>
          <w:tcPr>
            <w:tcW w:w="24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If ETH continues outperforming gold during geopolitical stress, gold narrative probability increases. Key real-world data point for Section 8.3.</w:t>
            </w:r>
          </w:p>
        </w:tc>
        <w:tc>
          <w:tcPr>
            <w:tcW w:w="11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Weekly</w:t>
            </w:r>
          </w:p>
        </w:tc>
      </w:tr>
      <w:tr>
        <w:trPr/>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S&amp;P 500</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~4,800–5,000 (approximate)</w:t>
            </w:r>
          </w:p>
        </w:tc>
        <w:tc>
          <w:tcPr>
            <w:tcW w:w="13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Yahoo Finance or tell Claude</w:t>
            </w:r>
          </w:p>
        </w:tc>
        <w:tc>
          <w:tcPr>
            <w:tcW w:w="24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Risk-on/risk-off indicator. S&amp;P above 5,500 = favourable crypto environment. Below 4,500 = macro risk-off pressure.</w:t>
            </w:r>
          </w:p>
        </w:tc>
        <w:tc>
          <w:tcPr>
            <w:tcW w:w="11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Monthly</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17.1g  ORBS and Beast Industries</w:t>
      </w:r>
    </w:p>
    <w:tbl>
      <w:tblPr>
        <w:tblW w:w="7560" w:type="dxa"/>
        <w:jc w:val="left"/>
        <w:tblInd w:w="0" w:type="dxa"/>
        <w:tblLayout w:type="fixed"/>
        <w:tblCellMar>
          <w:top w:w="80" w:type="dxa"/>
          <w:left w:w="100" w:type="dxa"/>
          <w:bottom w:w="80" w:type="dxa"/>
          <w:right w:w="100" w:type="dxa"/>
        </w:tblCellMar>
      </w:tblPr>
      <w:tblGrid>
        <w:gridCol w:w="1199"/>
        <w:gridCol w:w="1201"/>
        <w:gridCol w:w="1800"/>
        <w:gridCol w:w="1800"/>
        <w:gridCol w:w="1560"/>
      </w:tblGrid>
      <w:tr>
        <w:trPr>
          <w:tblHeader w:val="true"/>
        </w:trPr>
        <w:tc>
          <w:tcPr>
            <w:tcW w:w="1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Asset</w:t>
            </w:r>
          </w:p>
        </w:tc>
        <w:tc>
          <w:tcPr>
            <w:tcW w:w="12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Current Book Value</w:t>
            </w:r>
          </w:p>
        </w:tc>
        <w:tc>
          <w:tcPr>
            <w:tcW w:w="1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Key Catalyst</w:t>
            </w:r>
          </w:p>
        </w:tc>
        <w:tc>
          <w:tcPr>
            <w:tcW w:w="1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Trigger to Watch</w:t>
            </w:r>
          </w:p>
        </w:tc>
        <w:tc>
          <w:tcPr>
            <w:tcW w:w="156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Price Impact at Current ETH</w:t>
            </w:r>
          </w:p>
        </w:tc>
      </w:tr>
      <w:tr>
        <w:trPr/>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ORBS (Eightco Holdings, NASDAQ: ORBS)</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$107M (up from $85M)</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OpenAI IPO filing (S-1). ORBS holds ~$90M OpenAI preferred stock.</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Monitor: sec.gov/cgi-bin/browse-edgar?company=openai for S-1 filing. Google 'OpenAI IPO S-1 filing' periodically.</w:t>
            </w:r>
          </w:p>
        </w:tc>
        <w:tc>
          <w:tcPr>
            <w:tcW w:w="1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At $1T OpenAI valuation: ORBS stake → ~$900M. BMNR impact: +$1.75/share (8% above current $22.14).</w:t>
            </w:r>
          </w:p>
        </w:tc>
      </w:tr>
      <w:tr>
        <w:trPr/>
        <w:tc>
          <w:tcPr>
            <w:tcW w:w="1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Beast Industries</w:t>
            </w:r>
          </w:p>
        </w:tc>
        <w:tc>
          <w:tcPr>
            <w:tcW w:w="12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$200M</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MrBeast Financial DeFi platform launch. IPO 2027–2029.</w:t>
            </w:r>
          </w:p>
        </w:tc>
        <w:tc>
          <w:tcPr>
            <w:tcW w:w="1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Google 'MrBeast Financial launch' or 'Beast Industries IPO filing'. No public market yet.</w:t>
            </w:r>
          </w:p>
        </w:tc>
        <w:tc>
          <w:tcPr>
            <w:tcW w:w="156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At $10B IPO valuation: stake → ~$1.4B. BMNR impact at current ETH: +$2.61/share (12% above current $22.14).</w:t>
            </w:r>
          </w:p>
        </w:tc>
      </w:tr>
      <w:tr>
        <w:trPr/>
        <w:tc>
          <w:tcPr>
            <w:tcW w:w="1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Combined ORBS + Beast (max upside)</w:t>
            </w:r>
          </w:p>
        </w:tc>
        <w:tc>
          <w:tcPr>
            <w:tcW w:w="12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$285M book</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Both catalysts simultaneously</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Both S-1 / IPO filing + MrBeast Financial launch</w:t>
            </w:r>
          </w:p>
        </w:tc>
        <w:tc>
          <w:tcPr>
            <w:tcW w:w="156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At max upside ($900M ORBS + $1.4B Beast): BMNR +$7/share at current ETH (+31% from $22.14).</w:t>
            </w:r>
          </w:p>
        </w:tc>
      </w:tr>
    </w:tbl>
    <w:p>
      <w:pPr>
        <w:pStyle w:val="Normal"/>
        <w:spacing w:before="40" w:after="40"/>
        <w:rPr/>
      </w:pPr>
      <w:r>
        <w:rPr/>
      </w:r>
    </w:p>
    <w:p>
      <w:pPr>
        <w:pStyle w:val="Heading2"/>
        <w:spacing w:before="280" w:after="80"/>
        <w:rPr/>
      </w:pPr>
      <w:r>
        <w:rPr>
          <w:rFonts w:eastAsia="Arial" w:cs="Arial" w:ascii="Arial" w:hAnsi="Arial"/>
          <w:b/>
          <w:bCs/>
          <w:color w:val="2E75B6"/>
          <w:sz w:val="28"/>
          <w:szCs w:val="28"/>
        </w:rPr>
        <w:t>17.2  How to Update This Document</w:t>
      </w:r>
    </w:p>
    <w:p>
      <w:pPr>
        <w:pStyle w:val="Normal"/>
        <w:spacing w:before="60" w:after="80"/>
        <w:rPr/>
      </w:pPr>
      <w:r>
        <w:rPr>
          <w:rFonts w:eastAsia="Arial" w:cs="Arial"/>
          <w:sz w:val="20"/>
          <w:szCs w:val="20"/>
        </w:rPr>
        <w:t>The document is maintained as a JavaScript generation script (bmnr_vXX.js) that produces the Word document. To update, provide any of the following to Claude along with the version number to update from:</w:t>
      </w:r>
    </w:p>
    <w:p>
      <w:pPr>
        <w:pStyle w:val="Normal"/>
        <w:spacing w:before="40" w:after="40"/>
        <w:rPr/>
      </w:pPr>
      <w:r>
        <w:rPr/>
      </w:r>
    </w:p>
    <w:p>
      <w:pPr>
        <w:pStyle w:val="ListParagraph"/>
        <w:numPr>
          <w:ilvl w:val="0"/>
          <w:numId w:val="1"/>
        </w:numPr>
        <w:spacing w:before="40" w:after="40"/>
        <w:rPr/>
      </w:pPr>
      <w:r>
        <w:rPr>
          <w:rFonts w:eastAsia="Arial" w:cs="Arial"/>
          <w:sz w:val="20"/>
          <w:szCs w:val="20"/>
        </w:rPr>
        <w:t>Quick update (5 minutes): Tell Claude: 'Update from vXX: ETH $X, BMNR $X, BTC $X, gold $4,686/oz, RWA on-chain $XB (ETH share X%), CLARITY: [one sentence status], EigenLayer TVL $XB.' Claude will recalculate mNAV, update Section 1 and Section 17, flag which scenario is now most likely, and generate a new version.</w:t>
      </w:r>
    </w:p>
    <w:p>
      <w:pPr>
        <w:pStyle w:val="ListParagraph"/>
        <w:numPr>
          <w:ilvl w:val="0"/>
          <w:numId w:val="1"/>
        </w:numPr>
        <w:spacing w:before="40" w:after="40"/>
        <w:rPr/>
      </w:pPr>
      <w:r>
        <w:rPr>
          <w:rFonts w:eastAsia="Arial" w:cs="Arial"/>
          <w:sz w:val="20"/>
          <w:szCs w:val="20"/>
        </w:rPr>
        <w:t>Full quarterly update (15 minutes): After any BMNR 8-K or earnings release, paste the full press release text and say 'full update from vXX.' Claude extracts all balance sheet figures, recalculates NAV/mNAV, updates all BMNR price cells in Tables F and G, and regenerates.</w:t>
      </w:r>
    </w:p>
    <w:p>
      <w:pPr>
        <w:pStyle w:val="ListParagraph"/>
        <w:numPr>
          <w:ilvl w:val="0"/>
          <w:numId w:val="1"/>
        </w:numPr>
        <w:spacing w:before="40" w:after="40"/>
        <w:rPr/>
      </w:pPr>
      <w:r>
        <w:rPr>
          <w:rFonts w:eastAsia="Arial" w:cs="Arial"/>
          <w:sz w:val="20"/>
          <w:szCs w:val="20"/>
        </w:rPr>
        <w:t>Scenario probability update (ad hoc): If CLARITY Act advances materially (markup scheduled, bill passes committee, Senate vote), say 'CLARITY update: [what happened]. Adjust scenario probabilities.' Claude will recalibrate Bear/Base/Bull/SuperBull weights and flag affected tables.</w:t>
      </w:r>
    </w:p>
    <w:p>
      <w:pPr>
        <w:pStyle w:val="ListParagraph"/>
        <w:numPr>
          <w:ilvl w:val="0"/>
          <w:numId w:val="1"/>
        </w:numPr>
        <w:spacing w:before="40" w:after="40"/>
        <w:rPr/>
      </w:pPr>
      <w:r>
        <w:rPr>
          <w:rFonts w:eastAsia="Arial" w:cs="Arial"/>
          <w:sz w:val="20"/>
          <w:szCs w:val="20"/>
        </w:rPr>
        <w:t>ORBS/Beast event update (on event): When OpenAI files an S-1 or MrBeast Financial launches, say 'OpenAI IPO valuation: $XT. Update ORBS contribution.' Claude updates Section 8.2b, the ORBS/Beast table in Section 17.1g, and all NAV-derived prices.</w:t>
      </w:r>
    </w:p>
    <w:p>
      <w:pPr>
        <w:pStyle w:val="Normal"/>
        <w:spacing w:before="40" w:after="40"/>
        <w:rPr/>
      </w:pPr>
      <w:r>
        <w:rPr/>
      </w:r>
    </w:p>
    <w:p>
      <w:pPr>
        <w:pStyle w:val="Heading2"/>
        <w:spacing w:before="280" w:after="80"/>
        <w:rPr/>
      </w:pPr>
      <w:r>
        <w:rPr>
          <w:rFonts w:eastAsia="Arial" w:cs="Arial" w:ascii="Arial" w:hAnsi="Arial"/>
          <w:b/>
          <w:bCs/>
          <w:color w:val="2E75B6"/>
          <w:sz w:val="28"/>
          <w:szCs w:val="28"/>
        </w:rPr>
        <w:t>17.3  Data Sources Quick Reference</w:t>
      </w:r>
    </w:p>
    <w:tbl>
      <w:tblPr>
        <w:tblW w:w="6800" w:type="dxa"/>
        <w:jc w:val="left"/>
        <w:tblInd w:w="0" w:type="dxa"/>
        <w:tblLayout w:type="fixed"/>
        <w:tblCellMar>
          <w:top w:w="80" w:type="dxa"/>
          <w:left w:w="100" w:type="dxa"/>
          <w:bottom w:w="80" w:type="dxa"/>
          <w:right w:w="100" w:type="dxa"/>
        </w:tblCellMar>
      </w:tblPr>
      <w:tblGrid>
        <w:gridCol w:w="1400"/>
        <w:gridCol w:w="2199"/>
        <w:gridCol w:w="1600"/>
        <w:gridCol w:w="801"/>
        <w:gridCol w:w="800"/>
      </w:tblGrid>
      <w:tr>
        <w:trPr>
          <w:tblHeader w:val="true"/>
        </w:trPr>
        <w:tc>
          <w:tcPr>
            <w:tcW w:w="14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Data Point</w:t>
            </w:r>
          </w:p>
        </w:tc>
        <w:tc>
          <w:tcPr>
            <w:tcW w:w="219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Free Source URL</w:t>
            </w:r>
          </w:p>
        </w:tc>
        <w:tc>
          <w:tcPr>
            <w:tcW w:w="16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Access Method</w:t>
            </w:r>
          </w:p>
        </w:tc>
        <w:tc>
          <w:tcPr>
            <w:tcW w:w="801"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API Key?</w:t>
            </w:r>
          </w:p>
        </w:tc>
        <w:tc>
          <w:tcPr>
            <w:tcW w:w="800"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spacing w:before="0" w:after="0"/>
              <w:jc w:val="center"/>
              <w:rPr/>
            </w:pPr>
            <w:r>
              <w:rPr>
                <w:rFonts w:eastAsia="Arial" w:cs="Arial"/>
                <w:b/>
                <w:bCs/>
                <w:color w:val="FFFFFF"/>
                <w:sz w:val="18"/>
                <w:szCs w:val="18"/>
              </w:rPr>
              <w:t>Frequency</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price</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api.coingecko.com/api/v3/simple/price?ids=ethereum&amp;vs_currencies=usd</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Direct URL fetch — returns JSON</w:t>
            </w:r>
          </w:p>
        </w:tc>
        <w:tc>
          <w:tcPr>
            <w:tcW w:w="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Real-time</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BTC price</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api.coingecko.com/api/v3/simple/price?ids=bitcoin&amp;vs_currencies=usd</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Direct URL fetch — returns JSON</w:t>
            </w:r>
          </w:p>
        </w:tc>
        <w:tc>
          <w:tcPr>
            <w:tcW w:w="8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Real-time</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Global crypto data (mkt cap, BTC dominance)</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api.coingecko.com/api/v3/global</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Direct URL fetch — returns JSON</w:t>
            </w:r>
          </w:p>
        </w:tc>
        <w:tc>
          <w:tcPr>
            <w:tcW w:w="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Real-time</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Gold price</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api.metals.live/v1/spot/gold</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Direct URL fetch — returns JSON</w:t>
            </w:r>
          </w:p>
        </w:tc>
        <w:tc>
          <w:tcPr>
            <w:tcW w:w="8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Real-time</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BMNR balance sheet</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sec.gov/cgi-bin/browse-edgar?action=getcompany&amp;CIK=BMNR</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Read latest 8-K or earnings press release</w:t>
            </w:r>
          </w:p>
        </w:tc>
        <w:tc>
          <w:tcPr>
            <w:tcW w:w="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After each filing</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RWA total on-chain</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app.rwa.xyz (dashboard)</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Manual read or CSV export (3/month free)</w:t>
            </w:r>
          </w:p>
        </w:tc>
        <w:tc>
          <w:tcPr>
            <w:tcW w:w="8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Free account</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Weekly</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RWA API (programmatic)</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api.rwa.xyz (v4)</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Requires free account + API key from app.rwa.xyz/tools/api</w:t>
            </w:r>
          </w:p>
        </w:tc>
        <w:tc>
          <w:tcPr>
            <w:tcW w:w="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Yes — free tier</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Weekly</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issuance / burn rate</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ultrasound.money</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Manual read (dashboard is public)</w:t>
            </w:r>
          </w:p>
        </w:tc>
        <w:tc>
          <w:tcPr>
            <w:tcW w:w="8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Monthly</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Blob utilisation</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ultrasound.money — Blobs section</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Manual read</w:t>
            </w:r>
          </w:p>
        </w:tc>
        <w:tc>
          <w:tcPr>
            <w:tcW w:w="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Monthly</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EigenLayer TVL</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defillama.com/protocol/eigenlayer</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Manual read or DeFiLlama API (free)</w:t>
            </w:r>
          </w:p>
        </w:tc>
        <w:tc>
          <w:tcPr>
            <w:tcW w:w="8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Monthly</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ETH staking %</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beaconcha.in</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Manual read (public)</w:t>
            </w:r>
          </w:p>
        </w:tc>
        <w:tc>
          <w:tcPr>
            <w:tcW w:w="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Quarterly</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CLARITY Act odds</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polymarket.com/event/clarity-act-signed-into-law-in-2026</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Manual read (public odds displayed)</w:t>
            </w:r>
          </w:p>
        </w:tc>
        <w:tc>
          <w:tcPr>
            <w:tcW w:w="8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Weekly</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Senate Banking schedule</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banking.senate.gov/hearings</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Manual read (public calendar)</w:t>
            </w:r>
          </w:p>
        </w:tc>
        <w:tc>
          <w:tcPr>
            <w:tcW w:w="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Weekly during session</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Fed funds rate</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federalreserve.gov/releases/h15</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Manual read (official)</w:t>
            </w:r>
          </w:p>
        </w:tc>
        <w:tc>
          <w:tcPr>
            <w:tcW w:w="8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After FOMC meetings</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10-yr Treasury yield</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fred.stlouisfed.org/series/DGS10</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Manual read or FRED API (free)</w:t>
            </w:r>
          </w:p>
        </w:tc>
        <w:tc>
          <w:tcPr>
            <w:tcW w:w="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FRED API optional</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Monthly</w:t>
            </w:r>
          </w:p>
        </w:tc>
      </w:tr>
      <w:tr>
        <w:trPr/>
        <w:tc>
          <w:tcPr>
            <w:tcW w:w="14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OpenAI IPO status</w:t>
            </w:r>
          </w:p>
        </w:tc>
        <w:tc>
          <w:tcPr>
            <w:tcW w:w="2199"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sec.gov/cgi-bin/browse-edgar?company=openai</w:t>
            </w:r>
          </w:p>
        </w:tc>
        <w:tc>
          <w:tcPr>
            <w:tcW w:w="16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Monitor for S-1 filing</w:t>
            </w:r>
          </w:p>
        </w:tc>
        <w:tc>
          <w:tcPr>
            <w:tcW w:w="801"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w:t>
            </w:r>
          </w:p>
        </w:tc>
        <w:tc>
          <w:tcPr>
            <w:tcW w:w="800" w:type="dxa"/>
            <w:tcBorders>
              <w:top w:val="single" w:sz="2" w:space="0" w:color="BFBFBF"/>
              <w:left w:val="single" w:sz="2" w:space="0" w:color="BFBFBF"/>
              <w:bottom w:val="single" w:sz="2" w:space="0" w:color="BFBFBF"/>
              <w:right w:val="single" w:sz="2" w:space="0" w:color="BFBFBF"/>
            </w:tcBorders>
            <w:shd w:fill="F2F7FC"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When filed</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bCs/>
                <w:i w:val="false"/>
                <w:iCs w:val="false"/>
                <w:color w:val="000000"/>
                <w:sz w:val="17"/>
                <w:szCs w:val="17"/>
              </w:rPr>
              <w:t>BMNR daily price</w:t>
            </w:r>
          </w:p>
        </w:tc>
        <w:tc>
          <w:tcPr>
            <w:tcW w:w="2199"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finance.yahoo.com/quote/BMNR</w:t>
            </w:r>
          </w:p>
        </w:tc>
        <w:tc>
          <w:tcPr>
            <w:tcW w:w="16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Manual read or Yahoo Finance API (unofficial)</w:t>
            </w:r>
          </w:p>
        </w:tc>
        <w:tc>
          <w:tcPr>
            <w:tcW w:w="801"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No</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60" w:type="dxa"/>
              <w:bottom w:w="60" w:type="dxa"/>
            </w:tcMar>
            <w:vAlign w:val="center"/>
          </w:tcPr>
          <w:p>
            <w:pPr>
              <w:pStyle w:val="Normal"/>
              <w:spacing w:before="0" w:after="0"/>
              <w:jc w:val="left"/>
              <w:rPr/>
            </w:pPr>
            <w:r>
              <w:rPr>
                <w:rFonts w:eastAsia="Arial" w:cs="Arial"/>
                <w:b w:val="false"/>
                <w:bCs w:val="false"/>
                <w:i w:val="false"/>
                <w:iCs w:val="false"/>
                <w:color w:val="000000"/>
                <w:sz w:val="17"/>
                <w:szCs w:val="17"/>
              </w:rPr>
              <w:t>Daily</w:t>
            </w:r>
          </w:p>
        </w:tc>
      </w:tr>
    </w:tbl>
    <w:p>
      <w:pPr>
        <w:pStyle w:val="Normal"/>
        <w:spacing w:before="40" w:after="40"/>
        <w:rPr/>
      </w:pPr>
      <w:r>
        <w:rPr/>
      </w:r>
    </w:p>
    <w:p>
      <w:pPr>
        <w:pStyle w:val="Normal"/>
        <w:spacing w:before="60" w:after="60"/>
        <w:rPr/>
      </w:pPr>
      <w:r>
        <w:rPr>
          <w:rFonts w:eastAsia="Arial" w:cs="Arial"/>
          <w:i/>
          <w:iCs/>
          <w:color w:val="777777"/>
          <w:sz w:val="18"/>
          <w:szCs w:val="18"/>
        </w:rPr>
        <w:t>v27 update April 15 2026: Live data refresh from dashboard. ETH $2,398 (+1.5%), BMNR $22.14 (+4.0%), BTC $79,409, Gold $4,686/oz. mNAV: 0.753x — discount to NAV 20.8% (NAV grew faster than share price due to large ETH + cash additions). NAV/share $29.40. No scenario probability changes: CLARITY Banking Committee markup still unscheduled; Polymarket 47%; all four scenario probabilities unchanged (Bear 30% / Base 42% / Bull 20% / Super Bull 7%). EV multiple from current price: 38x to 2030 EV ($851); Base case 32x ($715). Balance sheet unchanged from 8-K April 13. Not investment advice.</w:t>
      </w:r>
    </w:p>
    <w:p>
      <w:pPr>
        <w:pStyle w:val="Normal"/>
        <w:spacing w:before="40" w:after="40"/>
        <w:rPr/>
      </w:pPr>
      <w:r>
        <w:rPr/>
      </w:r>
    </w:p>
    <w:p>
      <w:pPr>
        <w:pStyle w:val="Normal"/>
        <w:rPr/>
      </w:pPr>
      <w:r>
        <w:rPr/>
      </w:r>
      <w:r>
        <w:br w:type="page"/>
      </w:r>
    </w:p>
    <w:p>
      <w:pPr>
        <w:pStyle w:val="Normal"/>
        <w:pBdr>
          <w:bottom w:val="single" w:sz="6" w:space="1" w:color="2E75B6"/>
        </w:pBdr>
        <w:spacing w:before="0" w:after="120"/>
        <w:rPr/>
      </w:pPr>
      <w:r>
        <w:rPr/>
      </w:r>
    </w:p>
    <w:p>
      <w:pPr>
        <w:pStyle w:val="Normal"/>
        <w:spacing w:before="40" w:after="40"/>
        <w:rPr/>
      </w:pPr>
      <w:r>
        <w:rPr/>
      </w:r>
    </w:p>
    <w:p>
      <w:pPr>
        <w:pStyle w:val="Normal"/>
        <w:spacing w:before="60" w:after="60"/>
        <w:rPr/>
      </w:pPr>
      <w:r>
        <w:rPr>
          <w:rFonts w:eastAsia="Arial" w:cs="Arial"/>
          <w:i/>
          <w:iCs/>
          <w:color w:val="777777"/>
          <w:sz w:val="18"/>
          <w:szCs w:val="18"/>
        </w:rPr>
        <w:t>Document v27 generated April 26, 2026. All data from publicly available press releases, SEC filings, analyst reports, and news sources. v27: Live data update April 15 2026. ETH $2,398 (+1.5%), BMNR $22.14 (+4.0%), BTC $79,409, Gold $4,686/oz. mNAV 0.753x on updated 8-K holdings — discount to NAV 20.8% (NAV grew with new ETH+cash). NAV/share $29.40. No scenario probability changes — CLARITY markup still unscheduled, Bear 30%/Base 42%/Bull 20%/SuperBull 7% unchanged. EV 2030 multiple: 38.4x from $22.14. v26: Section 17 Living Document Data Dashboard added. v25: Section 15.4 year-by-year ETH rationale rebuilt as four-scenario table (Bear/Base/Bull/Super Bull) consistent with Tables F and G. Old values ($1,800 Bear, $6,200 Base, $8,500 Bull) corrected to ($2,600/$4,500/$6,200/$8,500). Super Bull column added throughout all ten years. 2031 Base logic corrected from -28% (Bull) to -50% (Base). All multiples updated from $2,123 anchor to $2,333. v24: to full 2026-2035 year-by-year table (Table G). Four sub-sections: 9.1a scenario summary, 9.1b full year-by-year table with EV/median/P(2x+)/P(10x+) columns, 9.1c no-loss analysis (Bear scenario produces +21% minimum in 2026; no scenario ever produces a loss from $21.48 entry (updated: $22.14 current)), 9.1d EV conservatism assessment (EV is probability-neutral; median = Base case = most actionable number for investors; P(exceed EV) = 27% at every year). v23: fixes Section 16.1 gap table (now 4-row with EV), Tables A/B/C updated to 4-scenario columns ($2,600/$4,500/$6,200/$8,500), Section 14 year-by-year ETH table relabelled Bull, sensitivity heading updated, mNAV rationale note updated, Section 15.5 cross-checks relabelled, Section 15.6/15.8 base→bull fixes, Section 16.2 SWF text corrected. v22: updated from three-scenario (Bear/Base/Bull) to four-scenario (Bear 30%/Base 42%/Bull 20%/Super Bull 7%) aligned with Section 9 Table F. The prior 'Base ETH' column ($6,200 in 2026) was the Bull scenario — now correctly labelled. New Base ETH is $4,500 in 2026, $30,000 in 2030. v21 fixes retained. v22: fixes scenario labelling throughout — the prior 'base case' ($6,200 in 2026, $50,000 in 2030) is now correctly labelled 'Bull' (20% probability) and the new 'Base' ($4,500 in 2026, $30,000 in 2030, 45% probability) is used consistently. All Section 16 tables updated (gap analysis, CLARITY milestone, RWA milestone, ETH/BTC ratios, probability table). Section 15.7 note clarifies analysis applies to Bull scenario. Sections 15.9 and 15.10 expanded with both Base and Bull rows. Section 9.1 table reading guide added. Section 15.11 base/bull labels corrected. v20 tailwind and gold narrative updates retained. replaces tailwindsTable with comprehensive 18-tailwind table including exact BMNR price contribution mechanisms per category (ETH Price Driver / BMNR Equity Catalyst / NAV Asset / Enabling Condition / Sub-component / Scenario Modifier). Adds ORBS/Beast contribution analysis table in Section 8.2b showing per-share delta at each ETH price level. Adds gold narrative explicit table in Section 8.3 and gold narrative text line below Table F showing BMNR upside at 1/5/10/30% gold capture. Gold narrative explicitly removed from all base case scenario assumptions. Carries forward all v19 updates: Bear (25%), Base/most-likely (45%), Bull (20% — former document base case), Super Bull (7%). Table F added as the primary reference table. Expected value table added. The former base case is relabelled as the Bull scenario — the old base case requires 30% gold monetary premium capture and is correctly a 20% probability outcome. New base case (45%): CLARITY passes, RWA reaches $50–100B on ETH by 2027, modest monetary premium (5–15% gold). Expected value 2030: ~$851 BMNR vs old base $1,445. Scenario driver table documents specific observable conditions for each scenario. Section 16.7 updated to reflect four-scenario framework. Carries forward all v17 updates. Not investment advice.</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08" w:top="1080" w:footer="708"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jc w:val="center"/>
      <w:rPr/>
    </w:pPr>
    <w:r>
      <w:rPr>
        <w:rFonts w:eastAsia="Arial" w:cs="Arial"/>
        <w:color w:val="888888"/>
        <w:sz w:val="16"/>
        <w:szCs w:val="16"/>
      </w:rPr>
      <w:t>Not investment advice. For informational purposes only.</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75B6"/>
      </w:pBdr>
      <w:jc w:val="center"/>
      <w:rPr/>
    </w:pPr>
    <w:r>
      <w:rPr>
        <w:rFonts w:eastAsia="Arial" w:cs="Arial"/>
        <w:color w:val="888888"/>
        <w:sz w:val="16"/>
        <w:szCs w:val="16"/>
      </w:rPr>
      <w:t>Not investment advice. For informational purposes only.</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rPr/>
    </w:pPr>
    <w:r>
      <w:rPr>
        <w:rFonts w:eastAsia="Arial" w:cs="Arial"/>
        <w:b/>
        <w:bCs/>
        <w:color w:val="1F3864"/>
        <w:sz w:val="18"/>
        <w:szCs w:val="18"/>
      </w:rPr>
      <w:t>BMNR Deep Dive  |  13 April 2026  —  v3: All Tailwinds</w:t>
    </w:r>
    <w:r>
      <w:rPr>
        <w:rFonts w:eastAsia="Arial" w:cs="Arial"/>
        <w:color w:val="888888"/>
        <w:sz w:val="18"/>
        <w:szCs w:val="18"/>
      </w:rPr>
      <w:t xml:space="preserve">   Three forecast tables: Sect. 7 only / + ORBS + Beast / Full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rPr/>
    </w:pPr>
    <w:r>
      <w:rPr>
        <w:rFonts w:eastAsia="Arial" w:cs="Arial"/>
        <w:b/>
        <w:bCs/>
        <w:color w:val="1F3864"/>
        <w:sz w:val="18"/>
        <w:szCs w:val="18"/>
      </w:rPr>
      <w:t>BMNR Deep Dive  |  13 April 2026  —  v3: All Tailwinds</w:t>
    </w:r>
    <w:r>
      <w:rPr>
        <w:rFonts w:eastAsia="Arial" w:cs="Arial"/>
        <w:color w:val="888888"/>
        <w:sz w:val="18"/>
        <w:szCs w:val="18"/>
      </w:rPr>
      <w:t xml:space="preserve">   Three forecast tables: Sect. 7 only / + ORBS + Beast / Full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F3864"/>
      <w:sz w:val="36"/>
      <w:szCs w:val="36"/>
    </w:rPr>
  </w:style>
  <w:style w:type="paragraph" w:styleId="Heading2">
    <w:name w:val="Heading 2"/>
    <w:basedOn w:val="Heading"/>
    <w:qFormat/>
    <w:pPr>
      <w:spacing w:before="240" w:after="80"/>
      <w:outlineLvl w:val="1"/>
    </w:pPr>
    <w:rPr>
      <w:rFonts w:ascii="Arial" w:hAnsi="Arial" w:eastAsia="Arial" w:cs="Arial"/>
      <w:b/>
      <w:bCs/>
      <w:color w:val="2E75B6"/>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2026-04-27T01:05:04Z</dcterms:created>
  <dc:creator>Un-named</dc:creator>
  <dc:description/>
  <dc:language>en-US</dc:language>
  <cp:lastModifiedBy>Un-named</cp:lastModifiedBy>
  <dcterms:modified xsi:type="dcterms:W3CDTF">2026-04-27T01:05:04Z</dcterms:modified>
  <cp:revision>1</cp:revision>
  <dc:subject/>
  <dc:title/>
</cp:coreProperties>
</file>