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pacing w:val="30"/>
          <w:sz w:val="32"/>
          <w:szCs w:val="32"/>
        </w:rPr>
        <w:t xml:space="preserve">TONY CHEN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Pittsburgh, PA  •  412-944-8402  •  tonychen1@ucla.edu  •  tonychen.cc  •  U.S. Citizen</w:t>
      </w:r>
    </w:p>
    <w:p>
      <w:pPr>
        <w:pBdr>
          <w:bottom w:val="single" w:color="1F3864" w:sz="6" w:space="2"/>
        </w:pBdr>
        <w:spacing w:after="50" w:before="112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EDUCATION</w:t>
      </w:r>
    </w:p>
    <w:p>
      <w:pPr>
        <w:tabs>
          <w:tab w:val="right" w:pos="9720"/>
        </w:tabs>
        <w:spacing w:after="8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University of California, Los Angeles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	Expected 2030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333333"/>
          <w:sz w:val="19"/>
          <w:szCs w:val="19"/>
        </w:rPr>
        <w:t xml:space="preserve">B.S., Electrical and Computer Engineering</w:t>
      </w:r>
    </w:p>
    <w:p>
      <w:pPr>
        <w:tabs>
          <w:tab w:val="right" w:pos="9720"/>
        </w:tabs>
        <w:spacing w:after="8" w:before="7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Shady Side Academy, Pittsburgh, PA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	2022 – 2026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GPA 4.07/4.00. National Merit Semifinalist (Pennsylvania). ACT 36 composite; SAT 1560.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AP Calculus BC (5), AP Computer Science A (5), AP Physics C: Mechanics (4), AP Physics C: E&amp;M (4); coursework in linear algebra, differential equations, and calculus-based physics.</w:t>
      </w:r>
    </w:p>
    <w:p>
      <w:pPr>
        <w:pBdr>
          <w:bottom w:val="single" w:color="1F3864" w:sz="6" w:space="2"/>
        </w:pBdr>
        <w:spacing w:after="50" w:before="112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EXPERIENCE</w:t>
      </w:r>
    </w:p>
    <w:p>
      <w:pPr>
        <w:tabs>
          <w:tab w:val="right" w:pos="9720"/>
        </w:tabs>
        <w:spacing w:after="8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NASA, Embedded Systems Intern (paid)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	Summer 2025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Developed an autonomous mapping and placement pipeline in ROS2 on a rover platform.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Built a LIDAR detection system to map an unknown area and generate a spatial model of it.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Applied OpenCV and AprilTag detection to identify and place areas within the newly mapped space.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Demo: youtu.be/HZcPi-EScxw (mapping), youtu.be/xC2AR4yw_AI (placement).</w:t>
      </w:r>
    </w:p>
    <w:p>
      <w:pPr>
        <w:pBdr>
          <w:bottom w:val="single" w:color="1F3864" w:sz="6" w:space="2"/>
        </w:pBdr>
        <w:spacing w:after="50" w:before="112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TECHNICAL SKILLS</w:t>
      </w:r>
    </w:p>
    <w:p>
      <w:pPr>
        <w:spacing w:after="22" w:line="23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Programming:  </w:t>
      </w:r>
      <w:r>
        <w:rPr>
          <w:rFonts w:ascii="Calibri" w:cs="Calibri" w:eastAsia="Calibri" w:hAnsi="Calibri"/>
          <w:sz w:val="19"/>
          <w:szCs w:val="19"/>
        </w:rPr>
        <w:t xml:space="preserve">Python, Java, ROS2, OpenCV</w:t>
      </w:r>
    </w:p>
    <w:p>
      <w:pPr>
        <w:spacing w:after="22" w:line="23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CAD / CAM:  </w:t>
      </w:r>
      <w:r>
        <w:rPr>
          <w:rFonts w:ascii="Calibri" w:cs="Calibri" w:eastAsia="Calibri" w:hAnsi="Calibri"/>
          <w:sz w:val="19"/>
          <w:szCs w:val="19"/>
        </w:rPr>
        <w:t xml:space="preserve">Autodesk Fusion 360 for full-assembly modeling, part design, and CAM toolpaths</w:t>
      </w:r>
    </w:p>
    <w:p>
      <w:pPr>
        <w:spacing w:after="22" w:line="23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Fabrication:  </w:t>
      </w:r>
      <w:r>
        <w:rPr>
          <w:rFonts w:ascii="Calibri" w:cs="Calibri" w:eastAsia="Calibri" w:hAnsi="Calibri"/>
          <w:sz w:val="19"/>
          <w:szCs w:val="19"/>
        </w:rPr>
        <w:t xml:space="preserve">FDM 3D printing (plastic parts), CNC milling (metallic parts), mechanical assembly</w:t>
      </w:r>
    </w:p>
    <w:p>
      <w:pPr>
        <w:spacing w:after="22" w:line="232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Electronics:  </w:t>
      </w:r>
      <w:r>
        <w:rPr>
          <w:rFonts w:ascii="Calibri" w:cs="Calibri" w:eastAsia="Calibri" w:hAnsi="Calibri"/>
          <w:sz w:val="19"/>
          <w:szCs w:val="19"/>
        </w:rPr>
        <w:t xml:space="preserve">Motor drive, electronic speed controllers, stepper motor control, LiPo power systems</w:t>
      </w:r>
    </w:p>
    <w:p>
      <w:pPr>
        <w:pBdr>
          <w:bottom w:val="single" w:color="1F3864" w:sz="6" w:space="2"/>
        </w:pBdr>
        <w:spacing w:after="50" w:before="112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ENGINEERING PROJECTS</w:t>
      </w:r>
    </w:p>
    <w:p>
      <w:pPr>
        <w:tabs>
          <w:tab w:val="right" w:pos="9720"/>
        </w:tabs>
        <w:spacing w:after="8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Automated Tracking Telescope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	2025 – 2026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Locates and tracks deep-sky objects using two stepper motors on independent axes.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Camera attachment for long-exposure astrophotography, plus swappable eyepieces for variable magnification.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Shutter system for brightness control; target magnification 200×, enough to resolve Jovian bands and Saturn's rings.</w:t>
      </w:r>
    </w:p>
    <w:p>
      <w:pPr>
        <w:tabs>
          <w:tab w:val="right" w:pos="9720"/>
        </w:tabs>
        <w:spacing w:after="8" w:before="7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Custom Remote-Controlled Race Car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	2024 – 2025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3D-printed chassis with a dual-motor drivetrain, independent electronic speed controllers, and a shared 5200 mAh 11.1 V LiPo pack.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Ackermann steering geometry so the inner and outer wheels track at different optimal angles, which tightens the turning radius and keeps the tires from scrubbing in corners.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15° caster angle to generate self-aligning torque, improving straight-line stability at speed and steering return after turns.</w:t>
      </w:r>
    </w:p>
    <w:p>
      <w:pPr>
        <w:tabs>
          <w:tab w:val="right" w:pos="9720"/>
        </w:tabs>
        <w:spacing w:after="8" w:before="7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Science Olympiad Electric Vehicle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	2024 – 2025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Arduino-controlled vehicle that runs a track as fast as possible and stops at a target point, scored on combined time and stopping distance. The 7–10 m target distance is announced only after impound, so the vehicle had to be recalibrated to an unknown distance and run twice inside an 8-minute window.</w:t>
      </w:r>
    </w:p>
    <w:p>
      <w:pPr>
        <w:pBdr>
          <w:bottom w:val="single" w:color="1F3864" w:sz="6" w:space="2"/>
        </w:pBdr>
        <w:spacing w:after="50" w:before="112"/>
      </w:pPr>
      <w:r>
        <w:rPr>
          <w:rFonts w:ascii="Calibri" w:cs="Calibri" w:eastAsia="Calibri" w:hAnsi="Calibri"/>
          <w:b/>
          <w:bCs/>
          <w:color w:val="1F3864"/>
          <w:spacing w:val="20"/>
          <w:sz w:val="20"/>
          <w:szCs w:val="20"/>
        </w:rPr>
        <w:t xml:space="preserve">LEADERSHIP AND ACTIVITIES</w:t>
      </w:r>
    </w:p>
    <w:p>
      <w:pPr>
        <w:tabs>
          <w:tab w:val="right" w:pos="9720"/>
        </w:tabs>
        <w:spacing w:after="8" w:before="3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Leader, Robotics Club and FTC Team at Shady Side Academy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	2023 – 2026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Sole club leader: recruiting, team organization, fundraising, and direction of design, build, programming, and competition.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Modeled the complete robot chassis from scratch in Fusion 360 using goBILDA components, adding a formal CAD phase the team had never had before, and wrote the control code in Java.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Drove recruiting to ~80 signups from 600 students; raised ~$600 via crowdfunding and a bake sale to close the equipment funding gap.</w:t>
      </w:r>
    </w:p>
    <w:p>
      <w:pPr>
        <w:tabs>
          <w:tab w:val="right" w:pos="9720"/>
        </w:tabs>
        <w:spacing w:after="8" w:before="7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Computer Science Departmental Associate at Shady Side Academy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	2025 – 2026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One of five students selected to represent the CS department at school events, tutor peers, and promote computer science programs.</w:t>
      </w:r>
    </w:p>
    <w:p>
      <w:pPr>
        <w:tabs>
          <w:tab w:val="right" w:pos="9720"/>
        </w:tabs>
        <w:spacing w:after="8" w:before="7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Writing Center Scribe at Shady Side Academy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	2025 – 2026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Admitted as 1 of 20 applicants to the Theory and Process of Writing course and selected to serve as a writing center scribe.</w:t>
      </w:r>
    </w:p>
    <w:p>
      <w:pPr>
        <w:tabs>
          <w:tab w:val="right" w:pos="9720"/>
        </w:tabs>
        <w:spacing w:after="8" w:before="7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Science Olympiad, Pennsylvania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	2024 – 2026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3rd place in Bungee (Penn State Invitational) and Dynamic Planet (Solon Invitational), February 2025; also competed in Material Science, Electric Vehicle, and Optics.</w:t>
      </w:r>
    </w:p>
    <w:p>
      <w:pPr>
        <w:tabs>
          <w:tab w:val="right" w:pos="9720"/>
        </w:tabs>
        <w:spacing w:after="8" w:before="7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Music and Athletics</w:t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	2014 – 2026</w:t>
      </w:r>
    </w:p>
    <w:p>
      <w:pPr>
        <w:pStyle w:val="ListParagraph"/>
        <w:numPr>
          <w:ilvl w:val="0"/>
          <w:numId w:val="2"/>
        </w:numPr>
        <w:spacing w:after="22" w:line="232"/>
      </w:pPr>
      <w:r>
        <w:rPr>
          <w:rFonts w:ascii="Calibri" w:cs="Calibri" w:eastAsia="Calibri" w:hAnsi="Calibri"/>
          <w:sz w:val="19"/>
          <w:szCs w:val="19"/>
        </w:rPr>
        <w:t xml:space="preserve">First violin, Pittsburgh Youth Philharmonic Orchestra (2019–2026); ABRSM Piano Grade 8 and Theory Grade 5, both with Distinction; JV soccer, basketball, and track &amp; field.</w:t>
      </w:r>
    </w:p>
    <w:sectPr>
      <w:pgSz w:w="12240" w:h="15840" w:orient="portrait"/>
      <w:pgMar w:top="560" w:right="936" w:bottom="460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2026-09-29T23:09:20.419Z</dcterms:created>
  <dcterms:modified xsi:type="dcterms:W3CDTF">2026-09-29T23:09:20.429Z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