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Consolas" w:cs="Consolas" w:eastAsia="Consolas" w:hAnsi="Consolas"/>
          <w:b/>
          <w:bCs/>
          <w:color w:val="0A8F72"/>
          <w:spacing w:val="20"/>
          <w:sz w:val="16"/>
          <w:szCs w:val="16"/>
        </w:rPr>
        <w:t xml:space="preserve">RTLM-N · DISTRIBUTED NEURAL INTELLIGENCE STATE</w:t>
      </w:r>
    </w:p>
    <w:p>
      <w:pPr>
        <w:spacing w:after="100"/>
      </w:pPr>
      <w:r>
        <w:rPr>
          <w:b/>
          <w:bCs/>
          <w:color w:val="182320"/>
          <w:sz w:val="52"/>
          <w:szCs w:val="52"/>
        </w:rPr>
        <w:t xml:space="preserve">Compute &amp; Power Savings Analysis</w:t>
      </w:r>
    </w:p>
    <w:p>
      <w:pPr>
        <w:spacing w:after="80"/>
      </w:pPr>
      <w:r>
        <w:rPr>
          <w:color w:val="5A6560"/>
          <w:sz w:val="30"/>
          <w:szCs w:val="30"/>
        </w:rPr>
        <w:t xml:space="preserve">and Where the System Inserts into the AI Loop</w:t>
      </w:r>
    </w:p>
    <w:p>
      <w:pPr>
        <w:spacing w:after="300"/>
      </w:pPr>
      <w:r>
        <w:rPr>
          <w:rFonts w:ascii="Consolas" w:cs="Consolas" w:eastAsia="Consolas" w:hAnsi="Consolas"/>
          <w:color w:val="5A6560"/>
          <w:sz w:val="18"/>
          <w:szCs w:val="18"/>
        </w:rPr>
        <w:t xml:space="preserve">July 2026  ·  repository tonyvone/rtlmai  ·  all figures reproducible from the committed benchmarks</w:t>
      </w:r>
    </w:p>
    <w:p>
      <w:pPr>
        <w:pStyle w:val="Heading1"/>
        <w:spacing w:after="140" w:before="360"/>
      </w:pPr>
      <w:r>
        <w:rPr>
          <w:b/>
          <w:bCs/>
          <w:color w:val="182320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RTLM-N replaces per-model, per-refresh training with a compact, mergeable evidence state from which models are materialized on demand, and wraps inference in a cascade that permanently absorbs what the large model teaches. Measured across sixteen passing experiments on real data with genuinely trained competitors: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Adaptation layer: </w:t>
      </w:r>
      <w:r>
        <w:rPr>
          <w:color w:val="182320"/>
          <w:sz w:val="21"/>
          <w:szCs w:val="21"/>
        </w:rPr>
        <w:t xml:space="preserve">1–2 orders of magnitude less compute, measured. 1,000 model variants from one state at 215× less compute than per-variant training; 46× cheaper than federated LoRA while scoring +21 accuracy points under non-IID data.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Currency under drift: </w:t>
      </w:r>
      <w:r>
        <w:rPr>
          <w:color w:val="182320"/>
          <w:sz w:val="21"/>
          <w:szCs w:val="21"/>
        </w:rPr>
        <w:t xml:space="preserve">learning cost is O(new data) forever — replay retraining grew ×6.0 per refresh cycle while RTLM-N stayed flat, with zero forgetting (bit-identical to full retraining) and deletion 269× cheaper than retrain-without-the-data.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Serving layer: </w:t>
      </w:r>
      <w:r>
        <w:rPr>
          <w:color w:val="182320"/>
          <w:sz w:val="21"/>
          <w:szCs w:val="21"/>
        </w:rPr>
        <w:t xml:space="preserve">energy per accepted task fell 2.6× within one measured workload as teacher escalations declined 0.37 → 0.13; projected fleet lifetime energy −81% vs sending all traffic to the large model, −51% vs a well-tuned static router (simulation over measured micro-costs).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What it does not save: </w:t>
      </w:r>
      <w:r>
        <w:rPr>
          <w:color w:val="182320"/>
          <w:sz w:val="21"/>
          <w:szCs w:val="21"/>
        </w:rPr>
        <w:t xml:space="preserve">foundation-model pretraining is untouched by design, and each raw example still requires one representation pass — that single pass is the irreducible floor; everything after it is near-free linear algebra.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Every claim carries an evidence grade (Measured / Simulated / Extrapolated) and a guarantee class; the full ledger, including unproven items, is in docs/PARADIGM.md.</w:t>
      </w:r>
    </w:p>
    <w:p>
      <w:pPr>
        <w:pStyle w:val="Heading1"/>
        <w:spacing w:after="140" w:before="360"/>
      </w:pPr>
      <w:r>
        <w:rPr>
          <w:b/>
          <w:bCs/>
          <w:color w:val="182320"/>
          <w:sz w:val="30"/>
          <w:szCs w:val="30"/>
        </w:rPr>
        <w:t xml:space="preserve">Part 1 — Savings by Loop, Versus the Relevant Alternative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AI spends compute in three distinct loops. The savings claim is different in each, and honesty requires separating them.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Loop 0 · Pretraining — no savings, by design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RTLM-N freezes the foundation model and treats it as a “representation epoch.” Whatever it costs to build the backbone is unaffected. This is deliberate: the system does not compete with the part of the stack that already works, and any claim of pretraining savings would be false.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Loop 1 · Adaptation &amp; specialization — measured, 1–2 orders of magnitude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This is where fine-tunes, adapters, and per-tenant variants live today. Competitors pay per model and per refresh; RTLM-N pays once per example, 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2100"/>
        <w:gridCol w:w="1500"/>
        <w:gridCol w:w="2810"/>
      </w:tblGrid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Compared approach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RTLM-N result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Savings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Evidence grade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Independent fine-tuning per variant (1,000 models)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7.8 vs ~1,675 cpu-s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215×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(R2)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Federated LoRA, Adam-trained, non-IID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0.750 vs 0.538 accuracy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46× + quality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(R1)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Replay retraining to stay current (6 drift cycles)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flat vs ×6.0 growth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3.4×, diverging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(R7)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Incremental SGD (the cheap option)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0.770 vs 0.482 — SGD forgets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equal cost, no forgetting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(R7)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Deletion via retraining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subtract + solve, exact to 1e-11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269×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(R7)</w:t>
            </w:r>
          </w:p>
        </w:tc>
      </w:tr>
      <w:tr>
        <w:tc>
          <w:tcPr>
            <w:tcW w:type="dxa" w:w="295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Centralized backprop LoRA (internal layers)</w:t>
            </w:r>
          </w:p>
        </w:tc>
        <w:tc>
          <w:tcPr>
            <w:tcW w:type="dxa" w:w="21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0.710 vs 0.755</w:t>
            </w:r>
          </w:p>
        </w:tc>
        <w:tc>
          <w:tcPr>
            <w:tcW w:type="dxa" w:w="15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−4.5 pts, mergeable</w:t>
            </w:r>
          </w:p>
        </w:tc>
        <w:tc>
          <w:tcPr>
            <w:tcW w:type="dxa" w:w="28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(R6), reported unfiltered</w:t>
            </w:r>
          </w:p>
        </w:tc>
      </w:tr>
    </w:tbl>
    <w:p>
      <w:pPr>
        <w:spacing w:after="160" w:before="120"/>
      </w:pPr>
      <w:r>
        <w:rPr>
          <w:i/>
          <w:iCs/>
          <w:color w:val="5A6560"/>
          <w:sz w:val="19"/>
          <w:szCs w:val="19"/>
        </w:rPr>
        <w:t xml:space="preserve">Extrapolation: at weekly refresh cadence the replay-vs-state ratio grows roughly linearly with cycles — on the order of 25× over a year on the learning side. The structural reason: replay pays O(total history) per refresh; the state pays O(new).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Loop 2 · Inference serving — the biggest lever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At scale, inference dominates AI’s lifecycle energy (commonly cited at 80–90%). RTLM-N’s cascade differs from routing in one decisive way: a static router saves a fixed fraction forever, while RTLM-N’s escalation fraction improves, because every escalation is absorbed into the state rather than merely paid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00"/>
        <w:gridCol w:w="3460"/>
      </w:tblGrid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Result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Evidence grade</w:t>
            </w:r>
          </w:p>
        </w:tc>
      </w:tr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Teacher escalation rate within one workload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0.37 → 0.13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(exp5; real-text R3: 0.36 → 0.30)</w:t>
            </w:r>
          </w:p>
        </w:tc>
      </w:tr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Energy per accepted task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0.018 → 0.007 J (2.6×)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(exp5)</w:t>
            </w:r>
          </w:p>
        </w:tc>
      </w:tr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Verified outcomes per joule vs teacher-always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7.7×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Measured (exp5)</w:t>
            </w:r>
          </w:p>
        </w:tc>
      </w:tr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Fleet lifetime energy vs teacher-always (24 mo)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−81%  (2,028 → 378 kWh)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Simulated over measured micro-costs</w:t>
            </w:r>
          </w:p>
        </w:tc>
      </w:tr>
      <w:tr>
        <w:tc>
          <w:tcPr>
            <w:tcW w:type="dxa" w:w="36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Fleet lifetime energy vs tuned static cascade</w:t>
            </w:r>
          </w:p>
        </w:tc>
        <w:tc>
          <w:tcPr>
            <w:tcW w:type="dxa" w:w="230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0A8F72"/>
                <w:sz w:val="19"/>
                <w:szCs w:val="19"/>
              </w:rPr>
              <w:t xml:space="preserve">−51%</w:t>
            </w:r>
          </w:p>
        </w:tc>
        <w:tc>
          <w:tcPr>
            <w:tcW w:type="dxa" w:w="346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Simulated over measured micro-costs</w:t>
            </w:r>
          </w:p>
        </w:tc>
      </w:tr>
    </w:tbl>
    <w:p>
      <w:pPr>
        <w:spacing w:after="160" w:before="120"/>
      </w:pPr>
      <w:r>
        <w:rPr>
          <w:i/>
          <w:iCs/>
          <w:color w:val="5A6560"/>
          <w:sz w:val="19"/>
          <w:szCs w:val="19"/>
        </w:rPr>
        <w:t xml:space="preserve">Fleet model: 1,000 nodes × 200 tasks/day × 24 months, backbone upgrades every 6 months with the measured 78% migration recovery. Per-task teacher/edge joules are declared industry estimates; the claim is the shape of the curves, not the wattage. A GPU pilot with wall-power measurement is the step that hardens this into a headline number.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One-sentence summary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For the adaptation layer the savings are 10–100× and measured; for the serving layer roughly 2× today, growing toward 5–8× as accretion matures; the fleet-level −81% is simulation-grade until wall power is measured.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82320"/>
          <w:sz w:val="30"/>
          <w:szCs w:val="30"/>
        </w:rPr>
        <w:t xml:space="preserve">Part 2 — Where RTLM-N Inserts into the AI Systems Loop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The modern AI production loop, with RTLM-N’s insertion points marked: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 Pretraining ──► Foundation model ──► Fine-tuning ──► Model registry ──► Serving/router ──► Users</w:t>
      </w:r>
    </w:p>
    <w:p>
      <w:pPr>
        <w:spacing w:after="20" w:line="240"/>
      </w:pPr>
      <w:r>
        <w:rPr>
          <w:rFonts w:ascii="Consolas" w:cs="Consolas" w:eastAsia="Consolas" w:hAnsi="Consolas"/>
          <w:color w:val="5A6560"/>
          <w:sz w:val="17"/>
          <w:szCs w:val="17"/>
        </w:rPr>
        <w:t xml:space="preserve"> (untouched)    (frozen; ships with     ▲ REPLACED       ▲ INVERTED        ▲ WRAPPED</w:t>
      </w:r>
    </w:p>
    <w:p>
      <w:pPr>
        <w:spacing w:after="20" w:line="240"/>
      </w:pPr>
      <w:r>
        <w:rPr>
          <w:rFonts w:ascii="Consolas" w:cs="Consolas" w:eastAsia="Consolas" w:hAnsi="Consolas"/>
          <w:color w:val="5A6560"/>
          <w:sz w:val="17"/>
          <w:szCs w:val="17"/>
        </w:rPr>
        <w:t xml:space="preserve">                 a canonical basis)                                              │ escalations</w:t>
      </w:r>
    </w:p>
    <w:p>
      <w:pPr>
        <w:spacing w:after="20" w:line="240"/>
      </w:pPr>
      <w:r>
        <w:rPr>
          <w:rFonts w:ascii="Consolas" w:cs="Consolas" w:eastAsia="Consolas" w:hAnsi="Consolas"/>
          <w:color w:val="5A6560"/>
          <w:sz w:val="17"/>
          <w:szCs w:val="17"/>
        </w:rPr>
        <w:t xml:space="preserve">                                                                                ▼</w:t>
      </w:r>
    </w:p>
    <w:p>
      <w:pPr>
        <w:spacing w:after="20" w:line="240"/>
      </w:pPr>
      <w:r>
        <w:rPr>
          <w:rFonts w:ascii="Consolas" w:cs="Consolas" w:eastAsia="Consolas" w:hAnsi="Consolas"/>
          <w:b/>
          <w:bCs/>
          <w:color w:val="0A8F72"/>
          <w:sz w:val="17"/>
          <w:szCs w:val="17"/>
        </w:rPr>
        <w:t xml:space="preserve">                              ▲ NEW PLANE: intelligence state — accumulate ► merge ► materialize,</w:t>
      </w:r>
    </w:p>
    <w:p>
      <w:pPr>
        <w:spacing w:after="20" w:line="240"/>
      </w:pPr>
      <w:r>
        <w:rPr>
          <w:rFonts w:ascii="Consolas" w:cs="Consolas" w:eastAsia="Consolas" w:hAnsi="Consolas"/>
          <w:b/>
          <w:bCs/>
          <w:color w:val="0A8F72"/>
          <w:sz w:val="17"/>
          <w:szCs w:val="17"/>
        </w:rPr>
        <w:t xml:space="preserve">                                with lineage, signatures, exact deletion, and audit built in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Insertion 1 · It replaces the fine-tuning pipeline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Where a training job runs today per tenant, domain, or variant, edge nodes instead accumulate evidence in a globally shared canonical basis, and a model factory solves variants out of the merged state on demand. Fine-tuning stops being a job queue and becomes a query.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Insertion 2 · It inverts the model registry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Today the registry’s primary asset is checkpoints. With RTLM-N the state is the primary asset and every checkpoint is a materialized view — per-tenant, per-power-budget, quantized, or with contributor X provably excluded. Data governance plugs into the state’s REMOVE operation: a GDPR deletion request becomes a subtraction plus one solve, bit-identical to retraining without that data, instead of an actual retraining campaign.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Insertion 3 · It wraps the serving router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The edge model runs first; a verifier gates on confidence; failures escalate to the large model — a standard cascade so far. The new part is the return path: the teacher’s verified answer is folded into local state as residual evidence and the correction periodically rematerializes. The router becomes a learning router whose escalation rate is a declining curve, not a constant.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Where it lands first in a real stack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Not the LLM itself, but the constellation of small models around it — which are numerous, retrained constantly, and exactly head-and-adapter-shaped (RTLM-N’s exact regime):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82320"/>
          <w:sz w:val="21"/>
          <w:szCs w:val="21"/>
        </w:rPr>
        <w:t xml:space="preserve">retrieval scorers and rerankers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82320"/>
          <w:sz w:val="21"/>
          <w:szCs w:val="21"/>
        </w:rPr>
        <w:t xml:space="preserve">routing, classification, and confidence heads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82320"/>
          <w:sz w:val="21"/>
          <w:szCs w:val="21"/>
        </w:rPr>
        <w:t xml:space="preserve">reward and verifier models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82320"/>
          <w:sz w:val="21"/>
          <w:szCs w:val="21"/>
        </w:rPr>
        <w:t xml:space="preserve">tool-selection policies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82320"/>
          <w:sz w:val="21"/>
          <w:szCs w:val="21"/>
        </w:rPr>
        <w:t xml:space="preserve">per-tenant response-quality correctors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The second beachhead is edge fleets — devices, vehicles, hospitals, anywhere data cannot move — because what travels is a signed few-hundred-kilobyte state instead of raw records or checkpoints.</w:t>
      </w:r>
    </w:p>
    <w:p>
      <w:pPr>
        <w:pStyle w:val="Heading2"/>
        <w:spacing w:after="110" w:before="260"/>
      </w:pPr>
      <w:r>
        <w:rPr>
          <w:b/>
          <w:bCs/>
          <w:color w:val="0A8F72"/>
          <w:sz w:val="24"/>
          <w:szCs w:val="24"/>
        </w:rPr>
        <w:t xml:space="preserve">What each layer looks like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Stack layer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Today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shd w:fill="EDF3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560"/>
                <w:sz w:val="17"/>
                <w:szCs w:val="17"/>
              </w:rPr>
              <w:t xml:space="preserve">With RTLM-N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Foundation model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Trained, then fine-tuned per use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Frozen representation epoch; ships with a canonical adaptation basis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Adaptation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One training run per variant, per refresh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Evidence accumulates once; variants are solves against the state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Registry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Checkpoints are the asset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The state is the asset; checkpoints are materialized views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Serving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Static router pays a fixed large-model tax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Learning cascade; the tax declines as the state absorbs the teacher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Approximate unlearning or full retraining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Exact deletion by subtraction, with lineage and signatures for audit</w:t>
            </w:r>
          </w:p>
        </w:tc>
      </w:tr>
      <w:tr>
        <w:tc>
          <w:tcPr>
            <w:tcW w:type="dxa" w:w="234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Model upgrades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All downstream adaptation redone</w:t>
            </w:r>
          </w:p>
        </w:tc>
        <w:tc>
          <w:tcPr>
            <w:tcW w:type="dxa" w:w="3510"/>
            <w:tcBorders>
              <w:top w:val="single" w:color="D8E0DC" w:sz="4"/>
              <w:left w:val="none" w:color="FFFFFF" w:sz="0"/>
              <w:bottom w:val="single" w:color="D8E0DC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82320"/>
                <w:sz w:val="19"/>
                <w:szCs w:val="19"/>
              </w:rPr>
              <w:t xml:space="preserve">State transported across backbones (measured: 78% of skill preserved)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82320"/>
          <w:sz w:val="30"/>
          <w:szCs w:val="30"/>
        </w:rPr>
        <w:t xml:space="preserve">Evidence Grades and Open Items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Claim discipline is the project’s core rule — every number above belongs to one of three grades: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Measured: </w:t>
      </w:r>
      <w:r>
        <w:rPr>
          <w:color w:val="182320"/>
          <w:sz w:val="21"/>
          <w:szCs w:val="21"/>
        </w:rPr>
        <w:t xml:space="preserve">process CPU-seconds and exact-equivalence checks from committed, reproducible benchmarks against genuinely trained (Adam/backprop) competitors on real text data.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Simulated: </w:t>
      </w:r>
      <w:r>
        <w:rPr>
          <w:color w:val="182320"/>
          <w:sz w:val="21"/>
          <w:szCs w:val="21"/>
        </w:rPr>
        <w:t xml:space="preserve">the fleet projection — measured micro-costs composed with a declared workload model; every parameter printed with its provenance.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82320"/>
          <w:sz w:val="21"/>
          <w:szCs w:val="21"/>
        </w:rPr>
        <w:t xml:space="preserve">Extrapolated: </w:t>
      </w:r>
      <w:r>
        <w:rPr>
          <w:color w:val="182320"/>
          <w:sz w:val="21"/>
          <w:szCs w:val="21"/>
        </w:rPr>
        <w:t xml:space="preserve">trend statements (e.g., ~25× at weekly refresh cadence) that follow from a measured growth law.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Open items, in order of importance: (1) scale — all results use small transformers pretrained on the task corpus; the single highest-value next step is re-running the program on a real pretrained checkpoint (the HuggingFace wrapper is committed and ready); (2) generative tasks — all evidence is classification/scoring-shaped; (3) absolute wattage — requires a GPU pilot with wall-power measurement; (4) migration between real model generations; (5) Byzantine-robust aggregation.</w:t>
      </w:r>
    </w:p>
    <w:p>
      <w:pPr>
        <w:spacing w:after="160" w:line="276"/>
      </w:pPr>
      <w:r>
        <w:rPr>
          <w:color w:val="182320"/>
          <w:sz w:val="21"/>
          <w:szCs w:val="21"/>
        </w:rPr>
        <w:t xml:space="preserve">A favorable asymmetry is worth noting: the better the foundation model, the more of downstream adaptation is captured by corrections in its representation space — scale should help this thesis, not hurt it.</w:t>
      </w:r>
    </w:p>
    <w:p>
      <w:pPr>
        <w:pStyle w:val="Heading1"/>
        <w:spacing w:after="140" w:before="360"/>
      </w:pPr>
      <w:r>
        <w:rPr>
          <w:b/>
          <w:bCs/>
          <w:color w:val="182320"/>
          <w:sz w:val="30"/>
          <w:szCs w:val="30"/>
        </w:rPr>
        <w:t xml:space="preserve">Reproduce Every Number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pip install -e .[real,dev]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pytest                                   # 41 tests, the 15 pass gates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python -m rtlm_n.benchmarks.run_all      # reference program (8/8)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python -m rtlm_n.benchmarks.real_agnews  # real-data R0-R5 (6/6)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python -m rtlm_n.benchmarks.real_internal   # R6 iterated Gauss-Newton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python -m rtlm_n.benchmarks.real_continual  # R7 incrementality</w:t>
      </w:r>
    </w:p>
    <w:p>
      <w:pPr>
        <w:spacing w:after="20" w:line="240"/>
      </w:pPr>
      <w:r>
        <w:rPr>
          <w:rFonts w:ascii="Consolas" w:cs="Consolas" w:eastAsia="Consolas" w:hAnsi="Consolas"/>
          <w:color w:val="182320"/>
          <w:sz w:val="17"/>
          <w:szCs w:val="17"/>
        </w:rPr>
        <w:t xml:space="preserve">python -m rtlm_n.benchmarks.fleet_study     # fleet lifetime projection</w:t>
      </w:r>
    </w:p>
    <w:p>
      <w:pPr>
        <w:spacing w:before="260"/>
      </w:pPr>
      <w:r>
        <w:rPr>
          <w:rFonts w:ascii="Consolas" w:cs="Consolas" w:eastAsia="Consolas" w:hAnsi="Consolas"/>
          <w:color w:val="5A6560"/>
          <w:sz w:val="17"/>
          <w:szCs w:val="17"/>
        </w:rPr>
        <w:t xml:space="preserve">Prepared from the RTLM-N evidence ledger · branch claude/rtlm-n-neural-intelligence-kcoezs · dashboard: docs/dashboard.html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3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2026-07-19T22:56:57.168Z</dcterms:created>
  <dcterms:modified xsi:type="dcterms:W3CDTF">2026-07-19T22:56:57.168Z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