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Query 1 — no-rag</w:t>
      </w:r>
    </w:p>
    <w:p>
      <w:pPr>
        <w:spacing w:after="120" w:line="240" w:lineRule="auto"/>
      </w:pPr>
      <w:r>
        <w:t>Model: anthropic/claude-fable-5 | Retrieval: no-rag | System prompt: none</w:t>
      </w:r>
    </w:p>
    <w:p>
      <w:pPr>
        <w:spacing w:after="120" w:line="240" w:lineRule="auto"/>
      </w:pPr>
      <w:r>
        <w:t>Tool calls: none (plain model)</w:t>
      </w:r>
    </w:p>
    <w:p>
      <w:pPr>
        <w:spacing w:after="120" w:line="240" w:lineRule="auto"/>
      </w:pPr>
      <w:r>
        <w:rPr>
          <w:b/>
        </w:rPr>
        <w:t>Prompt:</w:t>
      </w:r>
      <w:r>
        <w:t xml:space="preserve"> A natural disaster caused large losses at a globally significant insurance company in your jurisdiction. The credit rating of this company has been downgraded, investors are fleeing, and it is facing a short-term liquidity crisis. The company has asked the government for help. What do you recommend?</w:t>
      </w:r>
    </w:p>
    <w:p>
      <w:pPr>
        <w:spacing w:before="120" w:after="120"/>
      </w:pPr>
      <w:r>
        <w:rPr>
          <w:sz w:val="16"/>
        </w:rPr>
        <w:t>────────────────────────────────────────</w:t>
      </w:r>
    </w:p>
    <w:p>
      <w:pPr>
        <w:pStyle w:val="Heading2"/>
        <w:spacing w:before="240" w:after="120"/>
      </w:pPr>
      <w:r>
        <w:t>Recommended Approach</w:t>
      </w:r>
    </w:p>
    <w:p>
      <w:pPr>
        <w:pStyle w:val="Heading3"/>
        <w:spacing w:before="160" w:after="120"/>
      </w:pPr>
      <w:r>
        <w:t>Step 1: Diagnose the actual problem first</w:t>
      </w:r>
    </w:p>
    <w:p>
      <w:pPr>
        <w:spacing w:after="120" w:line="240" w:lineRule="auto"/>
      </w:pPr>
      <w:r>
        <w:t xml:space="preserve">The single most important question: </w:t>
      </w:r>
      <w:r>
        <w:rPr>
          <w:b/>
        </w:rPr>
        <w:t>is this a liquidity problem or a solvency problem?</w:t>
      </w:r>
      <w:r>
        <w:t xml:space="preserve"> Your response should differ dramatically depending on the answer.</w:t>
      </w:r>
    </w:p>
    <w:p>
      <w:pPr>
        <w:pStyle w:val="ListBullet"/>
        <w:spacing w:after="60"/>
      </w:pPr>
      <w:r>
        <w:rPr>
          <w:b/>
        </w:rPr>
        <w:t>Liquidity crisis, fundamentally solvent:</w:t>
      </w:r>
      <w:r>
        <w:t xml:space="preserve"> The company has assets exceeding liabilities, but can't monetize them fast enough to pay claims and meet collateral calls. Government support is defensible here.</w:t>
      </w:r>
    </w:p>
    <w:p>
      <w:pPr>
        <w:pStyle w:val="ListBullet"/>
        <w:spacing w:after="60"/>
      </w:pPr>
      <w:r>
        <w:rPr>
          <w:b/>
        </w:rPr>
        <w:t>Solvency crisis:</w:t>
      </w:r>
      <w:r>
        <w:t xml:space="preserve"> Losses exceed capital. "Liquidity support" would just delay recognition and transfer losses to taxpayers. Here you need resolution, not rescue.</w:t>
      </w:r>
    </w:p>
    <w:p>
      <w:pPr>
        <w:spacing w:after="120" w:line="240" w:lineRule="auto"/>
      </w:pPr>
      <w:r>
        <w:t>Commission an immediate independent assessment (regulator + external actuaries) of claims reserves, reinsurance recoverables, and asset quality. Insurers' loss estimates after major catastrophes are notoriously uncertain in the first weeks.</w:t>
      </w:r>
    </w:p>
    <w:p>
      <w:pPr>
        <w:pStyle w:val="Heading3"/>
        <w:spacing w:before="160" w:after="120"/>
      </w:pPr>
      <w:r>
        <w:t>Step 2: Assess systemic importance honestly</w:t>
      </w:r>
    </w:p>
    <w:p>
      <w:pPr>
        <w:spacing w:after="120" w:line="240" w:lineRule="auto"/>
      </w:pPr>
      <w:r>
        <w:t xml:space="preserve">Insurance failures are usually </w:t>
      </w:r>
      <w:r>
        <w:rPr>
          <w:i/>
        </w:rPr>
        <w:t>less</w:t>
      </w:r>
      <w:r>
        <w:t xml:space="preserve"> systemic than bank failures—insurers don't face classic runs, and liabilities pay out slowly. But intervention may be justified if:</w:t>
      </w:r>
    </w:p>
    <w:p>
      <w:pPr>
        <w:pStyle w:val="ListBullet"/>
        <w:spacing w:after="60"/>
      </w:pPr>
      <w:r>
        <w:t>The company is a major counterparty in derivatives or securities lending markets (the AIG problem in 2008)</w:t>
      </w:r>
    </w:p>
    <w:p>
      <w:pPr>
        <w:pStyle w:val="ListBullet"/>
        <w:spacing w:after="60"/>
      </w:pPr>
      <w:r>
        <w:t>Its failure would leave millions of disaster victims with unpaid claims, amplifying the economic shock</w:t>
      </w:r>
    </w:p>
    <w:p>
      <w:pPr>
        <w:pStyle w:val="ListBullet"/>
        <w:spacing w:after="60"/>
      </w:pPr>
      <w:r>
        <w:t>Its collapse would trigger contagion to other insurers or a collapse of insurance availability in the affected region</w:t>
      </w:r>
    </w:p>
    <w:p>
      <w:pPr>
        <w:pStyle w:val="ListBullet"/>
        <w:spacing w:after="60"/>
      </w:pPr>
      <w:r>
        <w:t>Fire-sale liquidation of its asset portfolio would destabilize bond/equity markets</w:t>
      </w:r>
    </w:p>
    <w:p>
      <w:pPr>
        <w:spacing w:after="120" w:line="240" w:lineRule="auto"/>
      </w:pPr>
      <w:r>
        <w:t>If none of these apply, an orderly resolution or run-off with policyholder protection may be preferable to a bailout.</w:t>
      </w:r>
    </w:p>
    <w:p>
      <w:pPr>
        <w:pStyle w:val="Heading3"/>
        <w:spacing w:before="160" w:after="120"/>
      </w:pPr>
      <w:r>
        <w:t>Step 3: Exhaust private solutions first</w:t>
      </w:r>
    </w:p>
    <w:p>
      <w:pPr>
        <w:spacing w:after="120" w:line="240" w:lineRule="auto"/>
      </w:pPr>
      <w:r>
        <w:t>Before public money:</w:t>
      </w:r>
    </w:p>
    <w:p>
      <w:pPr>
        <w:pStyle w:val="ListBullet"/>
        <w:spacing w:after="60"/>
      </w:pPr>
      <w:r>
        <w:rPr>
          <w:b/>
        </w:rPr>
        <w:t>Emergency capital raise or strategic investor</w:t>
      </w:r>
      <w:r>
        <w:t xml:space="preserve"> (another insurer, private equity)</w:t>
      </w:r>
    </w:p>
    <w:p>
      <w:pPr>
        <w:pStyle w:val="ListBullet"/>
        <w:spacing w:after="60"/>
      </w:pPr>
      <w:r>
        <w:rPr>
          <w:b/>
        </w:rPr>
        <w:t>Reinsurance recoveries</w:t>
      </w:r>
      <w:r>
        <w:t xml:space="preserve"> — accelerate collection; verify reinsurers will pay</w:t>
      </w:r>
    </w:p>
    <w:p>
      <w:pPr>
        <w:pStyle w:val="ListBullet"/>
        <w:spacing w:after="60"/>
      </w:pPr>
      <w:r>
        <w:rPr>
          <w:b/>
        </w:rPr>
        <w:t>Asset sales or repo of high-quality assets</w:t>
      </w:r>
    </w:p>
    <w:p>
      <w:pPr>
        <w:pStyle w:val="ListBullet"/>
        <w:spacing w:after="60"/>
      </w:pPr>
      <w:r>
        <w:rPr>
          <w:b/>
        </w:rPr>
        <w:t>Sale of healthy business units</w:t>
      </w:r>
    </w:p>
    <w:p>
      <w:pPr>
        <w:pStyle w:val="ListBullet"/>
        <w:spacing w:after="60"/>
      </w:pPr>
      <w:r>
        <w:rPr>
          <w:b/>
        </w:rPr>
        <w:t>Regulatory forbearance tools</w:t>
      </w:r>
      <w:r>
        <w:t>: temporary stays on policy surrenders, dividend suspension, temporary capital requirement flexibility</w:t>
      </w:r>
    </w:p>
    <w:p>
      <w:pPr>
        <w:pStyle w:val="Heading3"/>
        <w:spacing w:before="160" w:after="120"/>
      </w:pPr>
      <w:r>
        <w:t>Step 4: If public support is warranted, follow Bagehot principles</w:t>
      </w:r>
    </w:p>
    <w:p>
      <w:pPr>
        <w:spacing w:after="120" w:line="240" w:lineRule="auto"/>
      </w:pPr>
      <w:r>
        <w:t xml:space="preserve">Lend </w:t>
      </w:r>
      <w:r>
        <w:rPr>
          <w:b/>
        </w:rPr>
        <w:t>freely, against good collateral, at a penalty rate</w:t>
      </w:r>
      <w:r>
        <w:t>, with strict conditions:</w:t>
      </w:r>
    </w:p>
    <w:p>
      <w:pPr>
        <w:pStyle w:val="ListNumber"/>
        <w:spacing w:after="60"/>
      </w:pPr>
      <w:r>
        <w:rPr>
          <w:b/>
        </w:rPr>
        <w:t>Liquidity facility, not a gift</w:t>
      </w:r>
      <w:r>
        <w:t xml:space="preserve"> — secured lending or guarantees, priced to be unattractive except in emergency, senior in the capital structure</w:t>
      </w:r>
    </w:p>
    <w:p>
      <w:pPr>
        <w:pStyle w:val="ListNumber"/>
        <w:spacing w:after="60"/>
      </w:pPr>
      <w:r>
        <w:rPr>
          <w:b/>
        </w:rPr>
        <w:t>Shareholders take losses first</w:t>
      </w:r>
      <w:r>
        <w:t xml:space="preserve"> — the state should receive equity, warrants, or preferred shares so taxpayers share upside; existing shareholders should be heavily diluted</w:t>
      </w:r>
    </w:p>
    <w:p>
      <w:pPr>
        <w:pStyle w:val="ListNumber"/>
        <w:spacing w:after="60"/>
      </w:pPr>
      <w:r>
        <w:rPr>
          <w:b/>
        </w:rPr>
        <w:t>Conditionality</w:t>
      </w:r>
      <w:r>
        <w:t>: suspend dividends and buybacks, replace management if failures contributed, cap executive compensation, require a credible restructuring plan</w:t>
      </w:r>
    </w:p>
    <w:p>
      <w:pPr>
        <w:pStyle w:val="ListNumber"/>
        <w:spacing w:after="60"/>
      </w:pPr>
      <w:r>
        <w:rPr>
          <w:b/>
        </w:rPr>
        <w:t>Time limits and exit strategy</w:t>
      </w:r>
      <w:r>
        <w:t xml:space="preserve"> defined upfront</w:t>
      </w:r>
    </w:p>
    <w:p>
      <w:pPr>
        <w:pStyle w:val="ListNumber"/>
        <w:spacing w:after="60"/>
      </w:pPr>
      <w:r>
        <w:rPr>
          <w:b/>
        </w:rPr>
        <w:t>Protect policyholders, not investors</w:t>
      </w:r>
      <w:r>
        <w:t xml:space="preserve"> — the public interest is in claims being paid, not in bondholders and shareholders being made whole</w:t>
      </w:r>
    </w:p>
    <w:p>
      <w:pPr>
        <w:pStyle w:val="Heading3"/>
        <w:spacing w:before="160" w:after="120"/>
      </w:pPr>
      <w:r>
        <w:t>Step 5: If insolvent, use resolution instead</w:t>
      </w:r>
    </w:p>
    <w:p>
      <w:pPr>
        <w:spacing w:after="120" w:line="240" w:lineRule="auto"/>
      </w:pPr>
      <w:r>
        <w:t>Transfer the policy book to a solvent carrier or a bridge institution, activate the policyholder guarantee scheme (if one exists), and wind down the shell. Policyholders—especially disaster victims—get priority; shareholders are wiped out; creditors take haircuts per the legal hierarchy.</w:t>
      </w:r>
    </w:p>
    <w:p>
      <w:pPr>
        <w:pStyle w:val="Heading3"/>
        <w:spacing w:before="160" w:after="120"/>
      </w:pPr>
      <w:r>
        <w:t>Step 6: Manage communication and moral hazard</w:t>
      </w:r>
    </w:p>
    <w:p>
      <w:pPr>
        <w:pStyle w:val="ListBullet"/>
        <w:spacing w:after="60"/>
      </w:pPr>
      <w:r>
        <w:t>Coordinate messaging between the government, central bank, and regulator to prevent a panic-driven surrender wave—but do not misrepresent the company's condition</w:t>
      </w:r>
    </w:p>
    <w:p>
      <w:pPr>
        <w:pStyle w:val="ListBullet"/>
        <w:spacing w:after="60"/>
      </w:pPr>
      <w:r>
        <w:t>Coordinate with foreign regulators, since the company is globally significant</w:t>
      </w:r>
    </w:p>
    <w:p>
      <w:pPr>
        <w:pStyle w:val="ListBullet"/>
        <w:spacing w:after="60"/>
      </w:pPr>
      <w:r>
        <w:t>Be explicit that support is exceptional and conditional, to limit moral hazard across the industry</w:t>
      </w:r>
    </w:p>
    <w:p>
      <w:pPr>
        <w:pStyle w:val="Heading3"/>
        <w:spacing w:before="160" w:after="120"/>
      </w:pPr>
      <w:r>
        <w:t>Longer-term follow-up</w:t>
      </w:r>
    </w:p>
    <w:p>
      <w:pPr>
        <w:pStyle w:val="ListBullet"/>
        <w:spacing w:after="60"/>
      </w:pPr>
      <w:r>
        <w:t>Review whether catastrophe risk was adequately capitalized and reinsured industry-wide</w:t>
      </w:r>
    </w:p>
    <w:p>
      <w:pPr>
        <w:pStyle w:val="ListBullet"/>
        <w:spacing w:after="60"/>
      </w:pPr>
      <w:r>
        <w:t>Consider a public-private catastrophe risk pool (like Florida's or France's CCR) if the underlying exposure is uninsurable at market prices</w:t>
      </w:r>
    </w:p>
    <w:p>
      <w:pPr>
        <w:pStyle w:val="ListBullet"/>
        <w:spacing w:after="60"/>
      </w:pPr>
      <w:r>
        <w:t>Strengthen the insurance resolution regime so the next crisis has a clear playbook</w:t>
      </w:r>
    </w:p>
    <w:p>
      <w:pPr>
        <w:spacing w:after="120" w:line="240" w:lineRule="auto"/>
      </w:pPr>
      <w:r>
        <w:rPr>
          <w:b/>
        </w:rPr>
        <w:t>Bottom line:</w:t>
      </w:r>
      <w:r>
        <w:t xml:space="preserve"> Verify solvency, force private solutions first, and if you intervene, do it as a secured lender with tough conditions that protect policyholders and taxpayers—never as a rescuer of shareholders.</w:t>
      </w:r>
    </w:p>
    <w:p>
      <w:r>
        <w:br w:type="page"/>
      </w:r>
    </w:p>
    <w:p>
      <w:pPr>
        <w:pStyle w:val="Heading1"/>
        <w:spacing w:before="240" w:after="120"/>
      </w:pPr>
      <w:r>
        <w:t>Query 1 — mcp</w:t>
      </w:r>
    </w:p>
    <w:p>
      <w:pPr>
        <w:spacing w:after="120" w:line="240" w:lineRule="auto"/>
      </w:pPr>
      <w:r>
        <w:t>Model: anthropic/claude-fable-5 | Retrieval: mcp | System prompt: none</w:t>
      </w:r>
    </w:p>
    <w:p>
      <w:pPr>
        <w:spacing w:after="120" w:line="240" w:lineRule="auto"/>
      </w:pPr>
      <w:r>
        <w:t>Tool calls: {"search_corpus": 6}</w:t>
      </w:r>
    </w:p>
    <w:p>
      <w:pPr>
        <w:spacing w:after="120" w:line="240" w:lineRule="auto"/>
      </w:pPr>
      <w:r>
        <w:rPr>
          <w:b/>
        </w:rPr>
        <w:t>Prompt:</w:t>
      </w:r>
      <w:r>
        <w:t xml:space="preserve"> A natural disaster caused large losses at a globally significant insurance company in your jurisdiction. The credit rating of this company has been downgraded, investors are fleeing, and it is facing a short-term liquidity crisis. The company has asked the government for help. What do you recommend?</w:t>
      </w:r>
    </w:p>
    <w:p>
      <w:pPr>
        <w:spacing w:before="120" w:after="120"/>
      </w:pPr>
      <w:r>
        <w:rPr>
          <w:sz w:val="16"/>
        </w:rPr>
        <w:t>────────────────────────────────────────</w:t>
      </w:r>
    </w:p>
    <w:p>
      <w:pPr>
        <w:spacing w:after="120" w:line="240" w:lineRule="auto"/>
      </w:pPr>
      <w:r>
        <w:t>Based on the corpus—particularly the Yale Program on Financial Stability's survey of 22 ad hoc emergency liquidity (AHEL) interventions and the AIG rescue case studies, which are the closest analogue to your situation—here is my recommendation.</w:t>
      </w:r>
    </w:p>
    <w:p>
      <w:pPr>
        <w:pStyle w:val="Heading2"/>
        <w:spacing w:before="240" w:after="120"/>
      </w:pPr>
      <w:r>
        <w:t>1. First, diagnose correctly: this is probably not "just" a liquidity problem</w:t>
      </w:r>
    </w:p>
    <w:p>
      <w:pPr>
        <w:spacing w:after="120" w:line="240" w:lineRule="auto"/>
      </w:pPr>
      <w:r>
        <w:t>The most important lesson from the AHEL survey (</w:t>
      </w:r>
      <w:r>
        <w:rPr>
          <w:i/>
        </w:rPr>
        <w:t>Ad Hoc Emergency Liquidity Programs in the 21st Century</w:t>
      </w:r>
      <w:r>
        <w:t xml:space="preserve">, 2025) is that when markets run on a specific institution, </w:t>
      </w:r>
      <w:r>
        <w:rPr>
          <w:b/>
        </w:rPr>
        <w:t>the liquidity crisis is usually the symptom, not the cause</w:t>
      </w:r>
      <w:r>
        <w:t xml:space="preserve">. The market is signaling doubt about the firm's </w:t>
      </w:r>
      <w:r>
        <w:rPr>
          <w:i/>
        </w:rPr>
        <w:t>viability as a going concern</w:t>
      </w:r>
      <w:r>
        <w:t xml:space="preserve">. As Paul Volcker put it: "there are very few liquidity crises that aren't related to a solvency question." In </w:t>
      </w:r>
      <w:r>
        <w:rPr>
          <w:b/>
        </w:rPr>
        <w:t>none of the 22 surveyed cases did liquidity provision alone stop the run</w:t>
      </w:r>
      <w:r>
        <w:t>—even when assistance was sized to cover all possible outflows.</w:t>
      </w:r>
    </w:p>
    <w:p>
      <w:pPr>
        <w:spacing w:after="120" w:line="240" w:lineRule="auto"/>
      </w:pPr>
      <w:r>
        <w:t>A cautionary tale directly on point: in September 2008, New York's insurance regulator arranged for AIG's parent to borrow $20 billion of excess assets from its insurance subsidiaries—a plan "based on the false belief that AIG was experiencing a brief cash flow problem." It collapsed within days once the true scale of the problem emerged.</w:t>
      </w:r>
    </w:p>
    <w:p>
      <w:pPr>
        <w:spacing w:after="120" w:line="240" w:lineRule="auto"/>
      </w:pPr>
      <w:r>
        <w:rPr>
          <w:b/>
        </w:rPr>
        <w:t>So before committing anything, your authorities must rapidly assess:</w:t>
      </w:r>
    </w:p>
    <w:p>
      <w:pPr>
        <w:pStyle w:val="ListBullet"/>
        <w:spacing w:after="60"/>
      </w:pPr>
      <w:r>
        <w:t>Are the disaster losses a genuine one-off against an otherwise sound business model, or do they expose chronic under-reserving, underpricing, or balance-sheet weakness?</w:t>
      </w:r>
    </w:p>
    <w:p>
      <w:pPr>
        <w:pStyle w:val="ListBullet"/>
        <w:spacing w:after="60"/>
      </w:pPr>
      <w:r>
        <w:t xml:space="preserve">Is the company </w:t>
      </w:r>
      <w:r>
        <w:rPr>
          <w:b/>
        </w:rPr>
        <w:t>viable</w:t>
      </w:r>
      <w:r>
        <w:t xml:space="preserve">—either now, or with the interventions you're prepared to make? Note that modern crisis-fighters assess </w:t>
      </w:r>
      <w:r>
        <w:rPr>
          <w:i/>
        </w:rPr>
        <w:t>viability</w:t>
      </w:r>
      <w:r>
        <w:t>, not point-in-time accounting solvency, which is nearly impossible to measure mid-crisis anyway.</w:t>
      </w:r>
    </w:p>
    <w:p>
      <w:pPr>
        <w:pStyle w:val="ListBullet"/>
        <w:spacing w:after="60"/>
      </w:pPr>
      <w:r>
        <w:t xml:space="preserve">Is it truly </w:t>
      </w:r>
      <w:r>
        <w:rPr>
          <w:b/>
        </w:rPr>
        <w:t>systemically important</w:t>
      </w:r>
      <w:r>
        <w:t>? Size is not the only test—interconnectedness (reinsurance chains, derivatives, securities lending, guarantees to pension products) and contagion risk matter. This was always a necessary condition for AHEL support in the cases surveyed.</w:t>
      </w:r>
    </w:p>
    <w:p>
      <w:pPr>
        <w:pStyle w:val="ListBullet"/>
        <w:spacing w:after="60"/>
      </w:pPr>
      <w:r>
        <w:t>Do not take the company's own numbers at face value. Don Kohn's lesson from AIG: management "didn't have a very good sense of their own liquidity needs." Embed supervisors immediately and build your own picture, including insurance-specific channels (policyholder surrenders, collateral calls triggered by the downgrade, securities lending programs run out of the subsidiaries—the AIG sec-lending program was a major hidden drain).</w:t>
      </w:r>
    </w:p>
    <w:p>
      <w:pPr>
        <w:pStyle w:val="Heading2"/>
        <w:spacing w:before="240" w:after="120"/>
      </w:pPr>
      <w:r>
        <w:t xml:space="preserve">2. If systemic and viable (or you can make it viable): provide liquidity </w:t>
      </w:r>
      <w:r>
        <w:rPr>
          <w:b/>
        </w:rPr>
        <w:t>as a bridge, announced as part of a package</w:t>
      </w:r>
    </w:p>
    <w:p>
      <w:pPr>
        <w:spacing w:after="120" w:line="240" w:lineRule="auto"/>
      </w:pPr>
      <w:r>
        <w:t xml:space="preserve">Emergency liquidity should be extended only if you have deemed the firm viable </w:t>
      </w:r>
      <w:r>
        <w:rPr>
          <w:b/>
        </w:rPr>
        <w:t>or you are committed to making it viable</w:t>
      </w:r>
      <w:r>
        <w:t xml:space="preserve"> through follow-on measures—most commonly a government capital injection, or a merger with a stronger institution. The Ad Hoc Capital Injections survey confirms the pattern in reverse: essentially every ad hoc capital injection studied was accompanied by liquidity support; liquidity buys time, capital or a merger cures.</w:t>
      </w:r>
    </w:p>
    <w:p>
      <w:pPr>
        <w:spacing w:after="120" w:line="240" w:lineRule="auto"/>
      </w:pPr>
      <w:r>
        <w:t>Design lessons for the liquidity facility itself:</w:t>
      </w:r>
    </w:p>
    <w:p>
      <w:pPr>
        <w:pStyle w:val="ListBullet"/>
        <w:spacing w:after="60"/>
      </w:pPr>
      <w:r>
        <w:rPr>
          <w:b/>
        </w:rPr>
        <w:t>Lend freely; don't try to manage moral hazard through the facility's terms.</w:t>
      </w:r>
      <w:r>
        <w:t xml:space="preserve"> Punitive rates and steep haircuts accelerate the firm's deterioration, worry rating agencies, and often have to be loosened later (as happened with AIG's Revolving Credit Facility, which was restructured within weeks). Save the tough terms for the structural phase.</w:t>
      </w:r>
    </w:p>
    <w:p>
      <w:pPr>
        <w:pStyle w:val="ListBullet"/>
        <w:spacing w:after="60"/>
      </w:pPr>
      <w:r>
        <w:rPr>
          <w:b/>
        </w:rPr>
        <w:t>Be flexible on collateral</w:t>
      </w:r>
      <w:r>
        <w:t>, and count forthcoming measures as protection—e.g., the Bank of England lent to HBOS/RBS against the impending Lloyds merger and recapitalization; the SNB's Credit Suisse loans were de-risked by the UBS takeover.</w:t>
      </w:r>
    </w:p>
    <w:p>
      <w:pPr>
        <w:pStyle w:val="ListBullet"/>
        <w:spacing w:after="60"/>
      </w:pPr>
      <w:r>
        <w:rPr>
          <w:b/>
        </w:rPr>
        <w:t>Tie duration to outcomes, not arbitrary dates.</w:t>
      </w:r>
      <w:r>
        <w:t xml:space="preserve"> The AIG facility's initial two-year term had to be extended to five years to allow orderly asset sales. Communicate that support will remain until the firm is stabilized—premature expiry reignites the run. (But note the Cyprus/Laiki caution: don't lend against a rescue package that isn't actually agreed.)</w:t>
      </w:r>
    </w:p>
    <w:p>
      <w:pPr>
        <w:pStyle w:val="ListBullet"/>
        <w:spacing w:after="60"/>
      </w:pPr>
      <w:r>
        <w:rPr>
          <w:b/>
        </w:rPr>
        <w:t>Confirm legal authority early.</w:t>
      </w:r>
      <w:r>
        <w:t xml:space="preserve"> In AIG's case, only the Fed's emergency authority could reach a nonbank; your central bank's standing facilities likely exclude insurers, so identify now which entity (central bank, treasury, or both) can lend, inject capital, or guarantee.</w:t>
      </w:r>
    </w:p>
    <w:p>
      <w:pPr>
        <w:pStyle w:val="Heading2"/>
        <w:spacing w:before="240" w:after="120"/>
      </w:pPr>
      <w:r>
        <w:t>3. Move quickly to the structural fix—and put the moral-hazard terms there</w:t>
      </w:r>
    </w:p>
    <w:p>
      <w:pPr>
        <w:spacing w:after="120" w:line="240" w:lineRule="auto"/>
      </w:pPr>
      <w:r>
        <w:t>This is where taxpayers are protected and shareholders bear the cost:</w:t>
      </w:r>
    </w:p>
    <w:p>
      <w:pPr>
        <w:pStyle w:val="ListBullet"/>
        <w:spacing w:after="60"/>
      </w:pPr>
      <w:r>
        <w:rPr>
          <w:b/>
        </w:rPr>
        <w:t>Take substantial equity and impose dilution.</w:t>
      </w:r>
      <w:r>
        <w:t xml:space="preserve"> The government took a 79.9% stake in AIG; as trustee Chester Feldberg noted, shareholders "may have lost 80 percent of the value, but if the government hadn't stepped in, they would have lost 100 percent," and the stake gave government the leverage to protect the taxpayer investment and discourage future firms from seeking help except in dire circumstances.</w:t>
      </w:r>
    </w:p>
    <w:p>
      <w:pPr>
        <w:pStyle w:val="ListBullet"/>
        <w:spacing w:after="60"/>
      </w:pPr>
      <w:r>
        <w:rPr>
          <w:b/>
        </w:rPr>
        <w:t>Replace management</w:t>
      </w:r>
      <w:r>
        <w:t xml:space="preserve"> if warranted (AIG's CEO was required to step down) and require a credible restructuring plan—asset sales, exit from the problem business lines, de-risking.</w:t>
      </w:r>
    </w:p>
    <w:p>
      <w:pPr>
        <w:pStyle w:val="ListBullet"/>
        <w:spacing w:after="60"/>
      </w:pPr>
      <w:r>
        <w:rPr>
          <w:b/>
        </w:rPr>
        <w:t>Explore a private solution or merger first and in parallel</w:t>
      </w:r>
      <w:r>
        <w:t>—but move fast if it fails, as the private consortium for AIG did within 24 hours.</w:t>
      </w:r>
    </w:p>
    <w:p>
      <w:pPr>
        <w:pStyle w:val="Heading2"/>
        <w:spacing w:before="240" w:after="120"/>
      </w:pPr>
      <w:r>
        <w:t>4. Insurance-specific safeguards</w:t>
      </w:r>
    </w:p>
    <w:p>
      <w:pPr>
        <w:pStyle w:val="ListBullet"/>
        <w:spacing w:after="60"/>
      </w:pPr>
      <w:r>
        <w:rPr>
          <w:b/>
        </w:rPr>
        <w:t>Ring-fence the regulated insurance subsidiaries and protect policyholders.</w:t>
      </w:r>
      <w:r>
        <w:t xml:space="preserve"> Structure support at the holding-company level where possible, and coordinate closely with the insurance regulator(s)—in AIG's case, fragmented oversight (state regulators plus a holding-company regulator that admitted it was "wholly unprepared") let risks build unseen. Millions of retail policyholders were a key reason bankruptcy was deemed more systemic than Lehman.</w:t>
      </w:r>
    </w:p>
    <w:p>
      <w:pPr>
        <w:pStyle w:val="ListBullet"/>
        <w:spacing w:after="60"/>
      </w:pPr>
      <w:r>
        <w:rPr>
          <w:b/>
        </w:rPr>
        <w:t>Resist the temptation to strip subsidiary assets to fund the parent</w:t>
      </w:r>
      <w:r>
        <w:t xml:space="preserve"> (the failed NY plan) unless you are certain the problem is small and temporary.</w:t>
      </w:r>
    </w:p>
    <w:p>
      <w:pPr>
        <w:pStyle w:val="Heading2"/>
        <w:spacing w:before="240" w:after="120"/>
      </w:pPr>
      <w:r>
        <w:t xml:space="preserve">5. If the firm is </w:t>
      </w:r>
      <w:r>
        <w:rPr>
          <w:i/>
        </w:rPr>
        <w:t>not</w:t>
      </w:r>
      <w:r>
        <w:t xml:space="preserve"> viable or not systemic: don't lend</w:t>
      </w:r>
    </w:p>
    <w:p>
      <w:pPr>
        <w:spacing w:after="120" w:line="240" w:lineRule="auto"/>
      </w:pPr>
      <w:r>
        <w:t xml:space="preserve">Lending to a nonviable firm risks losses, stigma, drift into fiscal policy, and lost credibility. In that case, use (or improvise) an orderly resolution: protect policyholders through guarantee schemes and portfolio transfers, impose losses on shareholders and subordinated creditors, and consider a good-firm/bad-firm split. The post-GFC resolution survey emphasizes that resolution must </w:t>
      </w:r>
      <w:r>
        <w:rPr>
          <w:i/>
        </w:rPr>
        <w:t>eliminate</w:t>
      </w:r>
      <w:r>
        <w:t xml:space="preserve"> uncertainty—by closing, recapitalizing, or merging the institution.</w:t>
      </w:r>
    </w:p>
    <w:p>
      <w:pPr>
        <w:pStyle w:val="Heading2"/>
        <w:spacing w:before="240" w:after="120"/>
      </w:pPr>
      <w:r>
        <w:t>6. Communicate deliberately</w:t>
      </w:r>
    </w:p>
    <w:p>
      <w:pPr>
        <w:spacing w:after="120" w:line="240" w:lineRule="auto"/>
      </w:pPr>
      <w:r>
        <w:t>Sarah Dahlgren's lesson from AIG: the authorities "completely underestimated" the public backlash. Announce the liquidity support and the path to the structural solution together, explain why the firm is systemic, be transparent about terms and taxpayer protections, and never assume the public understands your motives. Also guard against leaks—in the Swiss Volksbank case, a leak the day before the announcement triggered a deposit run.</w:t>
      </w:r>
    </w:p>
    <w:p>
      <w:pPr>
        <w:spacing w:after="120" w:line="240" w:lineRule="auto"/>
      </w:pPr>
      <w:r>
        <w:rPr>
          <w:b/>
        </w:rPr>
        <w:t>Bottom line:</w:t>
      </w:r>
      <w:r>
        <w:t xml:space="preserve"> Agree to help only if the company is systemically important and viable (or can be made so). Provide generous, flexible liquidity immediately—but only as an explicit bridge to a capital injection, restructuring, or merger announced as quickly as possible, with shareholders diluted, management accountable, policyholders ring-fenced, and the taxpayer holding equity upside. Liquidity alone will not stop this run.</w:t>
      </w:r>
    </w:p>
    <w:p>
      <w:r>
        <w:br w:type="page"/>
      </w:r>
    </w:p>
    <w:p>
      <w:pPr>
        <w:pStyle w:val="Heading1"/>
        <w:spacing w:before="240" w:after="120"/>
      </w:pPr>
      <w:r>
        <w:t>Query 1 — rag</w:t>
      </w:r>
    </w:p>
    <w:p>
      <w:pPr>
        <w:spacing w:after="120" w:line="240" w:lineRule="auto"/>
      </w:pPr>
      <w:r>
        <w:t>Model: anthropic/claude-fable-5 | Retrieval: rag | System prompt: none</w:t>
      </w:r>
    </w:p>
    <w:p>
      <w:pPr>
        <w:spacing w:after="120" w:line="240" w:lineRule="auto"/>
      </w:pPr>
      <w:r>
        <w:t>Tool calls: {"search_corpus": 6}</w:t>
      </w:r>
    </w:p>
    <w:p>
      <w:pPr>
        <w:spacing w:after="120" w:line="240" w:lineRule="auto"/>
      </w:pPr>
      <w:r>
        <w:rPr>
          <w:b/>
        </w:rPr>
        <w:t>Prompt:</w:t>
      </w:r>
      <w:r>
        <w:t xml:space="preserve"> A natural disaster caused large losses at a globally significant insurance company in your jurisdiction. The credit rating of this company has been downgraded, investors are fleeing, and it is facing a short-term liquidity crisis. The company has asked the government for help. What do you recommend?</w:t>
      </w:r>
    </w:p>
    <w:p>
      <w:pPr>
        <w:spacing w:before="120" w:after="120"/>
      </w:pPr>
      <w:r>
        <w:rPr>
          <w:sz w:val="16"/>
        </w:rPr>
        <w:t>────────────────────────────────────────</w:t>
      </w:r>
    </w:p>
    <w:p>
      <w:pPr>
        <w:pStyle w:val="Heading2"/>
        <w:spacing w:before="240" w:after="120"/>
      </w:pPr>
      <w:r>
        <w:t>Recommendation</w:t>
      </w:r>
    </w:p>
    <w:p>
      <w:pPr>
        <w:spacing w:after="120" w:line="240" w:lineRule="auto"/>
      </w:pPr>
      <w:r>
        <w:t>Your scenario closely parallels the most instructive case in the corpus: the 2008 rescue of American International Group (AIG)—a globally significant insurer whose credit downgrades triggered cascading liquidity demands and a near-bankruptcy that the US government judged too dangerous for the financial system to absorb. Drawing on that case and on the cross-country surveys of emergency lending, here is what I recommend.</w:t>
      </w:r>
    </w:p>
    <w:p>
      <w:pPr>
        <w:pStyle w:val="Heading3"/>
        <w:spacing w:before="160" w:after="120"/>
      </w:pPr>
      <w:r>
        <w:t>1. First, diagnose the problem precisely — and quickly</w:t>
      </w:r>
    </w:p>
    <w:p>
      <w:pPr>
        <w:pStyle w:val="ListBullet"/>
        <w:spacing w:after="60"/>
      </w:pPr>
      <w:r>
        <w:rPr>
          <w:b/>
        </w:rPr>
        <w:t>Distinguish liquidity from solvency, but don't expect a clean answer.</w:t>
      </w:r>
      <w:r>
        <w:t xml:space="preserve"> A natural-disaster loss is a genuine </w:t>
      </w:r>
      <w:r>
        <w:rPr>
          <w:i/>
        </w:rPr>
        <w:t>capital</w:t>
      </w:r>
      <w:r>
        <w:t xml:space="preserve"> event, not just a funding squeeze. The AIG experience warns that the initial diagnosis is often wrong: the Fed's $85 billion Revolving Credit Facility (RCF) "proved insufficient to meet AIG's needs" because "the firm's problems were not only liquidity constraints but also issues such as devaluation of assets that weakened it and risked downgrades." Central bankers surveyed also concede that "distinguishing illiquid from insolvent institutions is not easy and may be impossible in times of crisis" — and that illiquidity tends to become insolvency the longer a crisis lasts.</w:t>
      </w:r>
    </w:p>
    <w:p>
      <w:pPr>
        <w:pStyle w:val="ListBullet"/>
        <w:spacing w:after="60"/>
      </w:pPr>
      <w:r>
        <w:rPr>
          <w:b/>
        </w:rPr>
        <w:t>Map every channel of cash drain.</w:t>
      </w:r>
      <w:r>
        <w:t xml:space="preserve"> At AIG, the downgrade itself was the accelerant: it triggered ~$20–32 billion in collateral calls on derivatives </w:t>
      </w:r>
      <w:r>
        <w:rPr>
          <w:i/>
        </w:rPr>
        <w:t>and</w:t>
      </w:r>
      <w:r>
        <w:t xml:space="preserve"> a run by securities-lending counterparties demanding their cash collateral back. Ask: what claims, collateral triggers, policyholder surrenders, commercial paper rollovers, or counterparty terminations does </w:t>
      </w:r>
      <w:r>
        <w:rPr>
          <w:i/>
        </w:rPr>
        <w:t>this</w:t>
      </w:r>
      <w:r>
        <w:t xml:space="preserve"> downgrade set off? Size the hole before committing — AIG's projected shortfall grew "from $20 billion to $40 billion and eventually close to $80 billion" in a single week.</w:t>
      </w:r>
    </w:p>
    <w:p>
      <w:pPr>
        <w:pStyle w:val="ListBullet"/>
        <w:spacing w:after="60"/>
      </w:pPr>
      <w:r>
        <w:rPr>
          <w:b/>
        </w:rPr>
        <w:t>Embed a monitoring team.</w:t>
      </w:r>
      <w:r>
        <w:t xml:space="preserve"> The FRBNY "had little information about AIG's true financial situation" at the outset and later stationed roughly 15 officials at the firm full-time. Do this from day one.</w:t>
      </w:r>
    </w:p>
    <w:p>
      <w:pPr>
        <w:pStyle w:val="Heading3"/>
        <w:spacing w:before="160" w:after="120"/>
      </w:pPr>
      <w:r>
        <w:t>2. Test whether intervention is warranted at all</w:t>
      </w:r>
    </w:p>
    <w:p>
      <w:pPr>
        <w:pStyle w:val="ListBullet"/>
        <w:spacing w:after="60"/>
      </w:pPr>
      <w:r>
        <w:rPr>
          <w:b/>
        </w:rPr>
        <w:t>Confirm systemic significance, not just size.</w:t>
      </w:r>
      <w:r>
        <w:t xml:space="preserve"> The Fed justified acting because "a disorderly failure of AIG could add to already significant levels of financial market fragility and lead to substantially higher borrowing costs, reduced household wealth, and materially weaker economic performance." If a disorderly failure of this insurer would </w:t>
      </w:r>
      <w:r>
        <w:rPr>
          <w:i/>
        </w:rPr>
        <w:t>not</w:t>
      </w:r>
      <w:r>
        <w:t xml:space="preserve"> propagate through counterparties, funding markets, or policyholder confidence, the right answer is the normal insurance resolution/guaranty framework, not a rescue.</w:t>
      </w:r>
    </w:p>
    <w:p>
      <w:pPr>
        <w:pStyle w:val="ListBullet"/>
        <w:spacing w:after="60"/>
      </w:pPr>
      <w:r>
        <w:rPr>
          <w:b/>
        </w:rPr>
        <w:t>Exhaust private options first — but with a public backstop ready.</w:t>
      </w:r>
      <w:r>
        <w:t xml:space="preserve"> The Fed initially tried to arrange a $75 billion private syndicated loan for AIG; Lehman's bankruptcy that same morning made it impossible. Pursue private capital raises, reinsurance and catastrophe-bond recoveries, asset sales, or a merger — but have the public option prepared in parallel, because private solutions collapse fast in stressed markets.</w:t>
      </w:r>
    </w:p>
    <w:p>
      <w:pPr>
        <w:pStyle w:val="ListBullet"/>
        <w:spacing w:after="60"/>
      </w:pPr>
      <w:r>
        <w:rPr>
          <w:b/>
        </w:rPr>
        <w:t>Be transparent about *why* you act.</w:t>
      </w:r>
      <w:r>
        <w:t xml:space="preserve"> Studies of the AIG decision scored the Fed's transparency poorly, finding that unclear rationales "contributed to market destabilization" and public distrust. Publish your systemic-risk rationale.</w:t>
      </w:r>
    </w:p>
    <w:p>
      <w:pPr>
        <w:pStyle w:val="Heading3"/>
        <w:spacing w:before="160" w:after="120"/>
      </w:pPr>
      <w:r>
        <w:t>3. If you lend: lend freely, take security creatively, but do not over-punish</w:t>
      </w:r>
    </w:p>
    <w:p>
      <w:pPr>
        <w:pStyle w:val="ListBullet"/>
        <w:spacing w:after="60"/>
      </w:pPr>
      <w:r>
        <w:rPr>
          <w:b/>
        </w:rPr>
        <w:t>Take the whole business as collateral if needed.</w:t>
      </w:r>
      <w:r>
        <w:t xml:space="preserve"> When conventional collateral is insufficient, ad hoc lenders have taken equity in operating subsidiaries (the Fed with AIG, the Riksbank with Carnegie) or all assets "right down to the paper clips" (Bank of England–Northern Rock), or seniority in bankruptcy (SNB–Credit Suisse). An insurer with sound underlying subsidiaries is well suited to this approach.</w:t>
      </w:r>
    </w:p>
    <w:p>
      <w:pPr>
        <w:pStyle w:val="ListBullet"/>
        <w:spacing w:after="60"/>
      </w:pPr>
      <w:r>
        <w:rPr>
          <w:b/>
        </w:rPr>
        <w:t>Avoid a punitive rate — this is the clearest lesson in the corpus.</w:t>
      </w:r>
      <w:r>
        <w:t xml:space="preserve"> The AIG RCF's initial LIBOR + 850bps pricing was described as "harsh," "onerous," and "punitive"; it threatened further downgrades and had to be cut by 550bps within two months. The ad hoc lending survey concludes that a penalty rate on a targeted institution "is liable to instead accelerate the drain on the affected institution's financial resources (and be disfavored by the market and the rating agencies)." Price above market norms but below the level that makes recovery impossible — moral hazard is better managed through later restructuring terms. This is doubly true here: a natural disaster is an exogenous shock, not reckless risk-taking, so the moral-hazard case for punitive terms is weaker than it was for AIG.</w:t>
      </w:r>
    </w:p>
    <w:p>
      <w:pPr>
        <w:pStyle w:val="ListBullet"/>
        <w:spacing w:after="60"/>
      </w:pPr>
      <w:r>
        <w:rPr>
          <w:b/>
        </w:rPr>
        <w:t>Design with the rating agencies explicitly in mind.</w:t>
      </w:r>
      <w:r>
        <w:t xml:space="preserve"> Ratings are the trigger mechanism in your scenario. Both TARP investments in AIG succeeded partly because Moody's and S&amp;P responded by maintaining ratings, saying the support "improves capital adequacy and reduces pressure on debt holders." Size and structure the package so agencies can affirm the rating; an underpowered facility invites further downgrades and a second, larger rescue.</w:t>
      </w:r>
    </w:p>
    <w:p>
      <w:pPr>
        <w:pStyle w:val="Heading3"/>
        <w:spacing w:before="160" w:after="120"/>
      </w:pPr>
      <w:r>
        <w:t>4. Treat liquidity support as a bridge, not the destination</w:t>
      </w:r>
    </w:p>
    <w:p>
      <w:pPr>
        <w:pStyle w:val="ListBullet"/>
        <w:spacing w:after="60"/>
      </w:pPr>
      <w:r>
        <w:rPr>
          <w:b/>
        </w:rPr>
        <w:t>Plan the structural solution now.</w:t>
      </w:r>
      <w:r>
        <w:t xml:space="preserve"> The survey evidence is emphatic: ad hoc liquidity "almost always" works only as a bridge to more structural responses — capital injections, asset sales, restructuring, or merger. AIG ultimately required the RCF, a securities borrowing facility, two asset-purchase vehicles (Maiden Lanes II and III), ~$70 billion of Treasury capital, two restructurings, and a recapitalization. If disaster losses have impaired capital, a fiscal capital injection (with the legislature involved) will likely be needed alongside central bank liquidity — and forthcoming capital can itself serve as part of the lender's security.</w:t>
      </w:r>
    </w:p>
    <w:p>
      <w:pPr>
        <w:pStyle w:val="ListBullet"/>
        <w:spacing w:after="60"/>
      </w:pPr>
      <w:r>
        <w:rPr>
          <w:b/>
        </w:rPr>
        <w:t>Require an orderly divestiture/de-risking plan,</w:t>
      </w:r>
      <w:r>
        <w:t xml:space="preserve"> as with AIG, which shrank from $1.02 trillion to $551 billion in assets — but calibrate the timeline. Overly tight deadlines force fire sales into weak markets.</w:t>
      </w:r>
    </w:p>
    <w:p>
      <w:pPr>
        <w:pStyle w:val="Heading3"/>
        <w:spacing w:before="160" w:after="120"/>
      </w:pPr>
      <w:r>
        <w:t>5. Protect taxpayers — carefully</w:t>
      </w:r>
    </w:p>
    <w:p>
      <w:pPr>
        <w:pStyle w:val="ListBullet"/>
        <w:spacing w:after="60"/>
      </w:pPr>
      <w:r>
        <w:rPr>
          <w:b/>
        </w:rPr>
        <w:t>Take upside compensation (equity/warrants) for the risk assumed,</w:t>
      </w:r>
      <w:r>
        <w:t xml:space="preserve"> as the government's ~79.9% AIG stake did — the overall AIG rescue ultimately returned a net gain of about $22.7 billion. But heed the legal lessons: verify your statutory authority to take equity and structure any shareholding vehicle for genuine independence, since the AIG trust arrangement spawned years of litigation (the </w:t>
      </w:r>
      <w:r>
        <w:rPr>
          <w:i/>
        </w:rPr>
        <w:t>Starr</w:t>
      </w:r>
      <w:r>
        <w:t xml:space="preserve"> case) and congressional criticism.</w:t>
      </w:r>
    </w:p>
    <w:p>
      <w:pPr>
        <w:pStyle w:val="ListBullet"/>
        <w:spacing w:after="60"/>
      </w:pPr>
      <w:r>
        <w:rPr>
          <w:b/>
        </w:rPr>
        <w:t>Impose governance conditions:</w:t>
      </w:r>
      <w:r>
        <w:t xml:space="preserve"> board/management accountability (the AIG trust replaced the board), dividend restrictions, and—critically—</w:t>
      </w:r>
      <w:r>
        <w:rPr>
          <w:b/>
        </w:rPr>
        <w:t>compensation controls up front.</w:t>
      </w:r>
      <w:r>
        <w:t xml:space="preserve"> The $165 million in retention bonuses paid to the very division that caused AIG's losses generated enormous public outrage and nearly derailed political support. Do not let a similar oversight poison your program.</w:t>
      </w:r>
    </w:p>
    <w:p>
      <w:pPr>
        <w:pStyle w:val="ListBullet"/>
        <w:spacing w:after="60"/>
      </w:pPr>
      <w:r>
        <w:rPr>
          <w:b/>
        </w:rPr>
        <w:t>Consider counterparty/creditor burden-sharing.</w:t>
      </w:r>
      <w:r>
        <w:t xml:space="preserve"> A persistent criticism of AIG is that counterparties were paid at full face value with no concessions, leaving the entire cost on shareholders and taxpayers. Where feasible, negotiate haircuts or contributions from those who benefit from the rescue.</w:t>
      </w:r>
    </w:p>
    <w:p>
      <w:pPr>
        <w:pStyle w:val="Heading3"/>
        <w:spacing w:before="160" w:after="120"/>
      </w:pPr>
      <w:r>
        <w:t>Bottom line</w:t>
      </w:r>
    </w:p>
    <w:p>
      <w:pPr>
        <w:spacing w:after="120" w:line="240" w:lineRule="auto"/>
      </w:pPr>
      <w:r>
        <w:t>Intervene only if failure is genuinely systemic; move fast with a fully secured, adequately sized liquidity facility priced firmly but not punitively; design it to stabilize the credit rating; and treat it explicitly as a bridge to a capital-and-restructuring solution with equity upside, governance conditions, and clear public communication. The AIG record shows this can end with the firm stabilized, the system protected, and taxpayers repaid with a profit — but only if the government commits sufficient resources early, expects surprises, and avoids terms so harsh they defeat the rescue's own purpose.</w:t>
      </w:r>
    </w:p>
    <w:p>
      <w:r>
        <w:br w:type="page"/>
      </w:r>
    </w:p>
    <w:p>
      <w:pPr>
        <w:pStyle w:val="Heading1"/>
        <w:spacing w:before="240" w:after="120"/>
      </w:pPr>
      <w:r>
        <w:t>Query 1 — mcp</w:t>
      </w:r>
    </w:p>
    <w:p>
      <w:pPr>
        <w:spacing w:after="120" w:line="240" w:lineRule="auto"/>
      </w:pPr>
      <w:r>
        <w:t>Model: anthropic/claude-fable-5 | Retrieval: mcp | System prompt: agent/system_prompt.md</w:t>
      </w:r>
    </w:p>
    <w:p>
      <w:pPr>
        <w:spacing w:after="120" w:line="240" w:lineRule="auto"/>
      </w:pPr>
      <w:r>
        <w:t>Tool calls: {"search_corpus": 4}</w:t>
      </w:r>
    </w:p>
    <w:p>
      <w:pPr>
        <w:spacing w:after="120" w:line="240" w:lineRule="auto"/>
      </w:pPr>
      <w:r>
        <w:rPr>
          <w:b/>
        </w:rPr>
        <w:t>Prompt:</w:t>
      </w:r>
      <w:r>
        <w:t xml:space="preserve"> A natural disaster caused large losses at a globally significant insurance company in your jurisdiction. The credit rating of this company has been downgraded, investors are fleeing, and it is facing a short-term liquidity crisis. The company has asked the government for help. What do you recommend?</w:t>
      </w:r>
    </w:p>
    <w:p>
      <w:pPr>
        <w:spacing w:before="120" w:after="120"/>
      </w:pPr>
      <w:r>
        <w:rPr>
          <w:sz w:val="16"/>
        </w:rPr>
        <w:t>────────────────────────────────────────</w:t>
      </w:r>
    </w:p>
    <w:p>
      <w:pPr>
        <w:spacing w:after="120" w:line="240" w:lineRule="auto"/>
      </w:pPr>
      <w:r>
        <w:t xml:space="preserve">Before designing anything, one reframing is essential: what you are seeing is not a "liquidity problem" that can be cured with cash alone. A run by investors and counterparties is the market's verdict that it doubts the firm's </w:t>
      </w:r>
      <w:r>
        <w:rPr>
          <w:b/>
        </w:rPr>
        <w:t>viability</w:t>
      </w:r>
      <w:r>
        <w:t xml:space="preserve"> — its ability to continue as a going concern, inclusive of expected official support. Across modern targeted emergency-liquidity interventions, liquidity provision alone has </w:t>
      </w:r>
      <w:r>
        <w:rPr>
          <w:i/>
        </w:rPr>
        <w:t>never</w:t>
      </w:r>
      <w:r>
        <w:t xml:space="preserve"> by itself stopped a run; it works only as a bridge to a more structural response (capital, guarantee, merger, or asset carve-out) that restores the market's viability judgment. So the threshold question for your principal is: </w:t>
      </w:r>
      <w:r>
        <w:rPr>
          <w:b/>
        </w:rPr>
        <w:t>is this insurer viable, or are you prepared to commit to making it viable?</w:t>
      </w:r>
      <w:r>
        <w:t xml:space="preserve"> If neither, emergency lending merely finances the exit of fleeing creditors.</w:t>
      </w:r>
    </w:p>
    <w:p>
      <w:pPr>
        <w:spacing w:after="120" w:line="240" w:lineRule="auto"/>
      </w:pPr>
      <w:r>
        <w:t xml:space="preserve">Notably, your fact pattern has a favorable feature relative to the worst historical analogues: a natural-disaster loss is a large but </w:t>
      </w:r>
      <w:r>
        <w:rPr>
          <w:i/>
        </w:rPr>
        <w:t>estimable, one-off</w:t>
      </w:r>
      <w:r>
        <w:t xml:space="preserve"> hit. That is very different from open-ended, market-linked exposures — AIG's crisis was driven by collateral calls on credit default swaps and securities-lending reinvestment losses that kept growing as markets fell ([vol3_iss1_3][The Rescue of American International Group Module B: The Securities Borrowing Facility][case_study][2021-04-16]). If the disaster loss can be bounded and the underlying underwriting franchise remains profitable, the firm may well be viable with a bridge — which strengthens the case for intervention.</w:t>
      </w:r>
    </w:p>
    <w:p>
      <w:pPr>
        <w:pStyle w:val="Heading1"/>
        <w:spacing w:before="240" w:after="120"/>
      </w:pPr>
      <w:r>
        <w:t>Summary of core design dimensions</w:t>
      </w:r>
    </w:p>
    <w:p>
      <w:pPr>
        <w:pStyle w:val="ListNumber"/>
        <w:spacing w:after="60"/>
      </w:pPr>
      <w:r>
        <w:rPr>
          <w:b/>
        </w:rPr>
        <w:t>Viability determination first.</w:t>
      </w:r>
      <w:r>
        <w:t xml:space="preserve"> Establish, with the insurance supervisor, whether post-loss the franchise is viable given credible loss estimates. If yes, lend; if only conditionally, pair the loan with a committed structural follow-on.</w:t>
      </w:r>
    </w:p>
    <w:p>
      <w:pPr>
        <w:pStyle w:val="ListNumber"/>
        <w:spacing w:after="60"/>
      </w:pPr>
      <w:r>
        <w:rPr>
          <w:b/>
        </w:rPr>
        <w:t>Size to the full run, not the expected need.</w:t>
      </w:r>
      <w:r>
        <w:t xml:space="preserve"> Undersized facilities invite the market to test them. Note that a downgrade for an insurer mechanically triggers collateral calls and can accelerate policyholder surrenders — size against those triggers. AIG was downgraded 2–3 notches in a single day, triggering the cascade ([vol3_iss1_2][The Rescue of American International Group Module A: The Revolving Credit Facility][case_study][2021-04-16]).</w:t>
      </w:r>
    </w:p>
    <w:p>
      <w:pPr>
        <w:pStyle w:val="ListNumber"/>
        <w:spacing w:after="60"/>
      </w:pPr>
      <w:r>
        <w:rPr>
          <w:b/>
        </w:rPr>
        <w:t>Do not price punitively.</w:t>
      </w:r>
      <w:r>
        <w:t xml:space="preserve"> Penalty rates drain the borrower faster, are disfavored by rating agencies (whose ratings are the very thing you are trying to stabilize), and brand the borrower as desperate. The initial AIG facility terms were aggressive and had to be restructured within two months, contingent on a capital injection, precisely because they undermined the rescue ([vol3_iss1_4][The Rescue of American International Group Module C: AIG Investment Program][case_study][2021-04-16]).</w:t>
      </w:r>
    </w:p>
    <w:p>
      <w:pPr>
        <w:pStyle w:val="ListNumber"/>
        <w:spacing w:after="60"/>
      </w:pPr>
      <w:r>
        <w:rPr>
          <w:b/>
        </w:rPr>
        <w:t>Collateral flexibility, secured by the whole enterprise and the follow-on plan.</w:t>
      </w:r>
      <w:r>
        <w:t xml:space="preserve"> Insurers hold subsidiary equity and long-dated assets rather than central-bank-standard collateral; security can include equity in regulated subsidiaries and can take account of committed future interventions.</w:t>
      </w:r>
    </w:p>
    <w:p>
      <w:pPr>
        <w:pStyle w:val="ListNumber"/>
        <w:spacing w:after="60"/>
      </w:pPr>
      <w:r>
        <w:rPr>
          <w:b/>
        </w:rPr>
        <w:t>Taxpayer compensation via upside, not rate.</w:t>
      </w:r>
      <w:r>
        <w:t xml:space="preserve"> Equity participation (as with the 79.9% stake taken in AIG) compensates the public and addresses fairness concerns without draining the borrower day-to-day.</w:t>
      </w:r>
    </w:p>
    <w:p>
      <w:pPr>
        <w:pStyle w:val="ListNumber"/>
        <w:spacing w:after="60"/>
      </w:pPr>
      <w:r>
        <w:rPr>
          <w:b/>
        </w:rPr>
        <w:t>Handle moral hazard in the follow-on, not the loan.</w:t>
      </w:r>
      <w:r>
        <w:t xml:space="preserve"> Shareholder dilution, management replacement, divestitures, and restructuring conditions belong to the structural phase. Moral hazard here is an incentive-design issue — post-lending behavior — not a judgment on whether the firm "deserves" help; and a disaster loss is in any case not a behavior you are trying to deter.</w:t>
      </w:r>
    </w:p>
    <w:p>
      <w:pPr>
        <w:pStyle w:val="Heading1"/>
        <w:spacing w:before="240" w:after="120"/>
      </w:pPr>
      <w:r>
        <w:t>Program Archetypes</w:t>
      </w:r>
    </w:p>
    <w:p>
      <w:pPr>
        <w:pStyle w:val="Heading2"/>
        <w:spacing w:before="240" w:after="120"/>
      </w:pPr>
      <w:r>
        <w:t>Option 1: Enterprise-wide secured revolving credit facility (bridge loan)</w:t>
      </w:r>
    </w:p>
    <w:p>
      <w:pPr>
        <w:spacing w:after="120" w:line="240" w:lineRule="auto"/>
      </w:pPr>
      <w:r>
        <w:t>A large committed line at the holding-company level, secured by pledges of assets and subsidiary equity, sized to cover all foreseeable outflows (collateral calls, maturing obligations, surrender activity). This is the fastest way to halt the immediate cash race. Design cautions from the closest precedent: the AIG Revolving Credit Facility's initially punitive rate and short tenor had to be loosened and paired with Treasury capital to work ([vol3_iss1_2][The Rescue of American International Group Module A: The Revolving Credit Facility][case_study][2021-04-16]). Pair with meaningful equity participation for the government rather than a "sting" rate.</w:t>
      </w:r>
    </w:p>
    <w:p>
      <w:pPr>
        <w:pStyle w:val="Heading2"/>
        <w:spacing w:before="240" w:after="120"/>
      </w:pPr>
      <w:r>
        <w:t>Option 2: Targeted facility aimed at the specific liquidity drain</w:t>
      </w:r>
    </w:p>
    <w:p>
      <w:pPr>
        <w:spacing w:after="120" w:line="240" w:lineRule="auto"/>
      </w:pPr>
      <w:r>
        <w:t>If the outflows are concentrated in an identifiable channel (e.g., collateral posting under reinsurance or derivative contracts, securities lending, or funding-agreement redemptions), a narrower facility that funds that channel directly can be quicker and smaller. The Securities Borrowing Facility that lent up to $37.8 billion against securities to unwind AIG's sec-lending drain is the template ([vol3_iss1_3][The Rescue of American International Group Module B: The Securities Borrowing Facility][case_study][2021-04-16]). Caution: targeted lines stop the symptom but not the viability question; expect to supplement.</w:t>
      </w:r>
    </w:p>
    <w:p>
      <w:pPr>
        <w:pStyle w:val="Heading2"/>
        <w:spacing w:before="240" w:after="120"/>
      </w:pPr>
      <w:r>
        <w:t>Option 3: Asset carve-out / ring-fence via special-purpose vehicle</w:t>
      </w:r>
    </w:p>
    <w:p>
      <w:pPr>
        <w:spacing w:after="120" w:line="240" w:lineRule="auto"/>
      </w:pPr>
      <w:r>
        <w:t xml:space="preserve">If specific asset pools or contracts are the source of recurring, unpredictable cash calls, purchase them into an SPV to </w:t>
      </w:r>
      <w:r>
        <w:rPr>
          <w:i/>
        </w:rPr>
        <w:t>permanently terminate</w:t>
      </w:r>
      <w:r>
        <w:t xml:space="preserve"> the drain rather than repeatedly funding it. Maiden Lane III bought the CDOs underlying AIG's CDS and extinguished the collateral-call exposure outright; the vehicles ultimately repaid with a net gain to the public ([vol3_iss1_6][The Rescue of American International Group Module E: Maiden Lane III][case_study][2021-04-16]). For your insurer, an analogue could be carving out the catastrophe-affected book or disputed reinsurance recoverables.</w:t>
      </w:r>
    </w:p>
    <w:p>
      <w:pPr>
        <w:pStyle w:val="Heading2"/>
        <w:spacing w:before="240" w:after="120"/>
      </w:pPr>
      <w:r>
        <w:t>Option 4: Committed structural follow-on — capital injection, guarantee, or merger</w:t>
      </w:r>
    </w:p>
    <w:p>
      <w:pPr>
        <w:spacing w:after="120" w:line="240" w:lineRule="auto"/>
      </w:pPr>
      <w:r>
        <w:t>Whichever liquidity option you choose, announce (or credibly signal) the structural endgame early: a government preferred-equity injection, a state guarantee of specific obligations, or a supervised sale/merger. The November 2008 AIG restructuring — a $40 billion preferred-stock injection paired with softened loan terms and the Maiden Lane vehicles — is what finally stabilized ratings and the run, after liquidity alone had not ([vol3_iss1_8][The Rescue of American International Group Module Z: Overview][case_study][2021-04-16]; [vol3_iss1_4][The Rescue of American International Group Module C: AIG Investment Program][case_study][2021-04-16]). This is also where the moral-hazard terms belong: dilution, dividends restrictions, management accountability, divestiture plans.</w:t>
      </w:r>
    </w:p>
    <w:p>
      <w:pPr>
        <w:pStyle w:val="Heading1"/>
        <w:spacing w:before="240" w:after="120"/>
      </w:pPr>
      <w:r>
        <w:t>Complementary Considerations</w:t>
      </w:r>
    </w:p>
    <w:p>
      <w:pPr>
        <w:pStyle w:val="ListBullet"/>
        <w:spacing w:after="60"/>
      </w:pPr>
      <w:r>
        <w:rPr>
          <w:b/>
        </w:rPr>
        <w:t>Rating-agency engagement is a design constraint, not an afterthought.</w:t>
      </w:r>
      <w:r>
        <w:t xml:space="preserve"> For an insurer, the rating </w:t>
      </w:r>
      <w:r>
        <w:rPr>
          <w:i/>
        </w:rPr>
        <w:t>is</w:t>
      </w:r>
      <w:r>
        <w:t xml:space="preserve"> the franchise (it determines whether counterparties and commercial policyholders will deal with it). Terms of the rescue must be structured so agencies view them as credit-positive; in AIG's case, contract terms had to be renegotiated repeatedly under rating-agency pressure ([vol1_iss1_10][Yale Program on Financial Stability Lessons Learned: Scott Alvarez, Esq.][lesson_learned][2019-03-20]).</w:t>
      </w:r>
    </w:p>
    <w:p>
      <w:pPr>
        <w:pStyle w:val="ListBullet"/>
        <w:spacing w:after="60"/>
      </w:pPr>
      <w:r>
        <w:rPr>
          <w:b/>
        </w:rPr>
        <w:t>Put the insurance supervisor at the table.</w:t>
      </w:r>
      <w:r>
        <w:t xml:space="preserve"> Insurance liabilities are long-dated and policyholder confidence is the core asset; a regulator who understands the sector should shape the intervention and communicate it — a central lesson from the AIG episode, where holding-company supervision by a non-insurance regulator hampered the response ([vol3_iss1_16][Lessons Learned: Eric Dinallo][lesson_learned][2021-04-16]).</w:t>
      </w:r>
    </w:p>
    <w:p>
      <w:pPr>
        <w:pStyle w:val="ListBullet"/>
        <w:spacing w:after="60"/>
      </w:pPr>
      <w:r>
        <w:rPr>
          <w:b/>
        </w:rPr>
        <w:t>Cross-border coordination.</w:t>
      </w:r>
      <w:r>
        <w:t xml:space="preserve"> A globally significant insurer means foreign supervisors may ring-fence local subsidiaries' assets if they lose confidence — pre-empt with early, coordinated communication.</w:t>
      </w:r>
    </w:p>
    <w:p>
      <w:pPr>
        <w:pStyle w:val="ListBullet"/>
        <w:spacing w:after="60"/>
      </w:pPr>
      <w:r>
        <w:rPr>
          <w:b/>
        </w:rPr>
        <w:t>Explore a private solution in parallel, but don't let it delay you.</w:t>
      </w:r>
      <w:r>
        <w:t xml:space="preserve"> A capital raise, catastrophe-bond recovery, reinsurance commutation, or acquirer may reduce the public commitment — but the clock set by collateral triggers and surrender windows governs.</w:t>
      </w:r>
    </w:p>
    <w:p>
      <w:pPr>
        <w:pStyle w:val="ListBullet"/>
        <w:spacing w:after="60"/>
      </w:pPr>
      <w:r>
        <w:rPr>
          <w:b/>
        </w:rPr>
        <w:t>Operational capacity.</w:t>
      </w:r>
      <w:r>
        <w:t xml:space="preserve"> Rescuing a large, complex non-bank requires specialized legal, valuation, and accounting muscle that agencies rarely have in-house; plan to retain outside firms immediately ([vol1_iss1_10][Yale Program on Financial Stability Lessons Learned: Scott Alvarez, Esq.][lesson_learned][2019-03-20]).</w:t>
      </w:r>
    </w:p>
    <w:p>
      <w:pPr>
        <w:pStyle w:val="ListBullet"/>
        <w:spacing w:after="60"/>
      </w:pPr>
      <w:r>
        <w:rPr>
          <w:b/>
        </w:rPr>
        <w:t>Verify legal authority now</w:t>
      </w:r>
      <w:r>
        <w:t xml:space="preserve"> — whether your central bank can lend to a non-bank, on what security standard, and who bears any loss (fiscal indemnity may be needed).</w:t>
      </w:r>
    </w:p>
    <w:p>
      <w:pPr>
        <w:pStyle w:val="Heading1"/>
        <w:spacing w:before="240" w:after="120"/>
      </w:pPr>
      <w:r>
        <w:t>Suggested Framing</w:t>
      </w:r>
    </w:p>
    <w:p>
      <w:pPr>
        <w:spacing w:after="120" w:line="240" w:lineRule="auto"/>
      </w:pPr>
      <w:r>
        <w:t xml:space="preserve">Recommend to the principal: </w:t>
      </w:r>
      <w:r>
        <w:rPr>
          <w:b/>
        </w:rPr>
        <w:t>conditional support</w:t>
      </w:r>
      <w:r>
        <w:t xml:space="preserve"> — a large, committed, non-punitive secured facility (Option 1, possibly with a targeted Option 2 component), announced </w:t>
      </w:r>
      <w:r>
        <w:rPr>
          <w:i/>
        </w:rPr>
        <w:t>simultaneously</w:t>
      </w:r>
      <w:r>
        <w:t xml:space="preserve"> with a stated commitment to a structural solution (Option 4), with any carve-out (Option 3) deployed if a specific asset pool proves to be a recurring drain. Publicly, frame the firm as </w:t>
      </w:r>
      <w:r>
        <w:rPr>
          <w:i/>
        </w:rPr>
        <w:t>viable but hit by an exogenous, quantifiable catastrophe</w:t>
      </w:r>
      <w:r>
        <w:t xml:space="preserve"> — this is both accurate and stabilizing. Avoid the word "insolvent" entirely: post-disaster accounting positions are hard to measure in real time, asset and franchise values are endogenous to your own response, and the label itself can trigger the surrenders and collateral calls you are trying to prevent. Reserve all "tough" terms — dilution, governance changes, divestitures, repayment of public support with upside — for the structural phase, where they discipline incentives without accelerating the run.</w:t>
      </w:r>
    </w:p>
    <w:p>
      <w:r>
        <w:br w:type="page"/>
      </w:r>
    </w:p>
    <w:p>
      <w:pPr>
        <w:pStyle w:val="Heading1"/>
        <w:spacing w:before="240" w:after="120"/>
      </w:pPr>
      <w:r>
        <w:t>Query 1 — rag</w:t>
      </w:r>
    </w:p>
    <w:p>
      <w:pPr>
        <w:spacing w:after="120" w:line="240" w:lineRule="auto"/>
      </w:pPr>
      <w:r>
        <w:t>Model: anthropic/claude-fable-5 | Retrieval: rag | System prompt: agent/system_prompt.md</w:t>
      </w:r>
    </w:p>
    <w:p>
      <w:pPr>
        <w:spacing w:after="120" w:line="240" w:lineRule="auto"/>
      </w:pPr>
      <w:r>
        <w:t>Tool calls: {"search_corpus": 6}</w:t>
      </w:r>
    </w:p>
    <w:p>
      <w:pPr>
        <w:spacing w:after="120" w:line="240" w:lineRule="auto"/>
      </w:pPr>
      <w:r>
        <w:rPr>
          <w:b/>
        </w:rPr>
        <w:t>Prompt:</w:t>
      </w:r>
      <w:r>
        <w:t xml:space="preserve"> A natural disaster caused large losses at a globally significant insurance company in your jurisdiction. The credit rating of this company has been downgraded, investors are fleeing, and it is facing a short-term liquidity crisis. The company has asked the government for help. What do you recommend?</w:t>
      </w:r>
    </w:p>
    <w:p>
      <w:pPr>
        <w:spacing w:before="120" w:after="120"/>
      </w:pPr>
      <w:r>
        <w:rPr>
          <w:sz w:val="16"/>
        </w:rPr>
        <w:t>────────────────────────────────────────</w:t>
      </w:r>
    </w:p>
    <w:p>
      <w:pPr>
        <w:pStyle w:val="Heading1"/>
        <w:spacing w:before="240" w:after="120"/>
      </w:pPr>
      <w:r>
        <w:t>Summary of core design dimensions</w:t>
      </w:r>
    </w:p>
    <w:p>
      <w:pPr>
        <w:spacing w:after="120" w:line="240" w:lineRule="auto"/>
      </w:pPr>
      <w:r>
        <w:t xml:space="preserve">Before choosing an instrument, I'd urge one reframing: the question is not whether the insurer is "solvent" or merely "illiquid." Point-in-time solvency is nearly impossible to measure mid-crisis (asset and franchise values are endogenous to whatever you do next), and the investor flight you're seeing is best read as the market's judgment on the firm's </w:t>
      </w:r>
      <w:r>
        <w:rPr>
          <w:b/>
        </w:rPr>
        <w:t>viability as a going concern, inclusive of expected official support</w:t>
      </w:r>
      <w:r>
        <w:t>. A disaster-driven loss at an insurer with an otherwise sound underwriting franchise is actually a comparatively favorable fact pattern: the shock is exogenous and quantifiable, and the subsidiaries' businesses may remain fundamentally profitable — much as AIG's insurance subsidiaries were "believed to be relatively sound and could continue to provide strong cash flows or could be sold" even as the parent faced collapse ([vol3_iss1_2][The Rescue of American International Group Module A: The Revolving Credit Facility][case_study][2021-04-16]).</w:t>
      </w:r>
    </w:p>
    <w:p>
      <w:pPr>
        <w:spacing w:after="120" w:line="240" w:lineRule="auto"/>
      </w:pPr>
      <w:r>
        <w:t>The core design decisions on the table:</w:t>
      </w:r>
    </w:p>
    <w:p>
      <w:pPr>
        <w:pStyle w:val="ListNumber"/>
        <w:spacing w:after="60"/>
      </w:pPr>
      <w:r>
        <w:rPr>
          <w:b/>
        </w:rPr>
        <w:t>Purpose and honesty about what liquidity can do.</w:t>
      </w:r>
      <w:r>
        <w:t xml:space="preserve"> An ad hoc emergency loan addresses the acute "panic" phase only — it buys time. In essentially every modern targeted-liquidity episode, the borrower still required a structural fix (capital, guarantees, restructuring, or orderly resolution) afterward. Plan for the follow-on now.</w:t>
      </w:r>
    </w:p>
    <w:p>
      <w:pPr>
        <w:pStyle w:val="ListNumber"/>
        <w:spacing w:after="60"/>
      </w:pPr>
      <w:r>
        <w:rPr>
          <w:b/>
        </w:rPr>
        <w:t>Size: lend freely.</w:t>
      </w:r>
      <w:r>
        <w:t xml:space="preserve"> Undersized or drip-fed support fails. Latvia's initial LVL 200 million Treasury deposit to Parex did not stop the run — "deposit runs continued even after the announcement" of liquidity, recapitalization, and government takeover, forcing repeated expansions and a partial deposit freeze ([vol7_iss1_13][Latvia: Parex Bank Emergency Liquidity Program, 2008][case_study][2025-04-15]). Announce a facility sized to the worst plausible outflow scenario.</w:t>
      </w:r>
    </w:p>
    <w:p>
      <w:pPr>
        <w:pStyle w:val="ListNumber"/>
        <w:spacing w:after="60"/>
      </w:pPr>
      <w:r>
        <w:rPr>
          <w:b/>
        </w:rPr>
        <w:t>Collateral: secure the taxpayer against the whole enterprise, not just liquid assets.</w:t>
      </w:r>
      <w:r>
        <w:t xml:space="preserve"> The AIG RCF was collateralized "with all the assets of AIG," including equity in the insurance subsidiaries ([vol3_iss1_2][The Rescue of American International Group Module A: The Revolving Credit Facility][case_study][2021-04-16]).</w:t>
      </w:r>
    </w:p>
    <w:p>
      <w:pPr>
        <w:pStyle w:val="ListNumber"/>
        <w:spacing w:after="60"/>
      </w:pPr>
      <w:r>
        <w:rPr>
          <w:b/>
        </w:rPr>
        <w:t>Pricing: avoid punitive "make it sting" rates on targeted lending.</w:t>
      </w:r>
      <w:r>
        <w:t xml:space="preserve"> Penalty pricing deters use and brands the borrower as desperate — it can trigger the panic you're trying to stop. Latvia's 20.3% rate on the initial Parex deposit coincided with continuing runs and had to be revised within months ([vol7_iss1_13][Latvia: Parex Bank Emergency Liquidity Program, 2008][case_study][2025-04-15]). Compensate the taxpayer through security and upside (equity, fees), not stigma-inducing rates.</w:t>
      </w:r>
    </w:p>
    <w:p>
      <w:pPr>
        <w:pStyle w:val="ListNumber"/>
        <w:spacing w:after="60"/>
      </w:pPr>
      <w:r>
        <w:rPr>
          <w:b/>
        </w:rPr>
        <w:t>Duration: tie the term to outcomes, not the calendar.</w:t>
      </w:r>
      <w:r>
        <w:t xml:space="preserve"> The AIG RCF's original two-year term proved too short for orderly asset sales and had to be extended to five years ([vol3_iss1_2][The Rescue of American International Group Module A: The Revolving Credit Facility][case_study][2021-04-16]).</w:t>
      </w:r>
    </w:p>
    <w:p>
      <w:pPr>
        <w:pStyle w:val="ListNumber"/>
        <w:spacing w:after="60"/>
      </w:pPr>
      <w:r>
        <w:rPr>
          <w:b/>
        </w:rPr>
        <w:t>Moral hazard belongs in the follow-on interventions</w:t>
      </w:r>
      <w:r>
        <w:t>, not the emergency loan. Handle incentive discipline via equity dilution, management changes, and dividend restrictions in the structural phase; do not let it starve the liquidity response.</w:t>
      </w:r>
    </w:p>
    <w:p>
      <w:pPr>
        <w:pStyle w:val="Heading1"/>
        <w:spacing w:before="240" w:after="120"/>
      </w:pPr>
      <w:r>
        <w:t>Program Archetypes</w:t>
      </w:r>
    </w:p>
    <w:p>
      <w:pPr>
        <w:pStyle w:val="Heading2"/>
        <w:spacing w:before="240" w:after="120"/>
      </w:pPr>
      <w:r>
        <w:t>Option 1: Secured credit line to the holding company (AIG RCF model)</w:t>
      </w:r>
    </w:p>
    <w:p>
      <w:pPr>
        <w:spacing w:after="120" w:line="240" w:lineRule="auto"/>
      </w:pPr>
      <w:r>
        <w:t xml:space="preserve">A large, announced, revolving facility at the parent level, secured by substantially all group assets, with taxpayer protections built in as </w:t>
      </w:r>
      <w:r>
        <w:rPr>
          <w:i/>
        </w:rPr>
        <w:t>structural</w:t>
      </w:r>
      <w:r>
        <w:t xml:space="preserve"> terms rather than penalty pricing: in the AIG case, an $85 billion two-year line came with collateral over all assets, a 79.9% government equity interest, a dividend veto, and replacement of the CEO ([vol3_iss1_2][The Rescue of American International Group Module A: The Revolving Credit Facility][case_study][2021-04-16]). Best if the run is concentrated at the parent (debt rollovers, collateral calls triggered by the downgrade) and the operating subsidiaries are sound. Caveat: verify your central bank's legal authority to lend to a nonbank — the Fed needed its "unusual and exigent circumstances" emergency authority under Section 13(3) ([vol3_iss1_2][The Rescue of American International Group Module A: The Revolving Credit Facility][case_study][2021-04-16]).</w:t>
      </w:r>
    </w:p>
    <w:p>
      <w:pPr>
        <w:pStyle w:val="Heading2"/>
        <w:spacing w:before="240" w:after="120"/>
      </w:pPr>
      <w:r>
        <w:t>Option 2: Targeted facilities aimed at the specific run channel</w:t>
      </w:r>
    </w:p>
    <w:p>
      <w:pPr>
        <w:spacing w:after="120" w:line="240" w:lineRule="auto"/>
      </w:pPr>
      <w:r>
        <w:t xml:space="preserve">If the outflows are concentrated in a particular product — e.g., a securities-lending book, funding-agreement withdrawals, or reinsurance collateral calls — a bespoke facility that takes over counterparties' positions can be more surgical. The Fed's Securities Borrowing Facility made up to $37.8 billion available so AIG could return cash collateral to fleeing securities-lending counterparties, taking the returned securities as collateral, priced at only 100 bps over the overnight repo rate ([vol3_iss1_3][The Rescue of American International Group Module B: The Securities Borrowing Facility][case_study][2021-04-16]). Notably, the SBF became necessary </w:t>
      </w:r>
      <w:r>
        <w:rPr>
          <w:i/>
        </w:rPr>
        <w:t>because</w:t>
      </w:r>
      <w:r>
        <w:t xml:space="preserve"> the initial broad line was being drained by this channel — map the outflow channels before sizing anything.</w:t>
      </w:r>
    </w:p>
    <w:p>
      <w:pPr>
        <w:pStyle w:val="Heading2"/>
        <w:spacing w:before="240" w:after="120"/>
      </w:pPr>
      <w:r>
        <w:t>Option 3: Treasury-funded liquidity plus immediate control, as a bridge to restructuring</w:t>
      </w:r>
    </w:p>
    <w:p>
      <w:pPr>
        <w:spacing w:after="120" w:line="240" w:lineRule="auto"/>
      </w:pPr>
      <w:r>
        <w:t xml:space="preserve">Where the fiscal authority rather than the central bank must lead (or the firm lacks central-bank-eligible collateral), the state can place funds/securities with the firm that it can then mobilize for cash, paired with a government stake and management replacement, explicitly "keeping the bank afloat until the long-term restructuring (or liquidation) plan is drawn up" — the Parex approach, which culminated in a good-bank/bad-bank split (Citadele/Reverta) and partial conversion of liquidity support into capital ([vol7_iss1_13][Latvia: Parex Bank Emergency Liquidity Program, 2008][case_study][2025-04-15]; [vol6_iss3_16][Latvia: Parex Bank Capital Injection, 2008][case_study][2024-10-09]). Suitable if your assessment concludes the firm is </w:t>
      </w:r>
      <w:r>
        <w:rPr>
          <w:i/>
        </w:rPr>
        <w:t>not</w:t>
      </w:r>
      <w:r>
        <w:t xml:space="preserve"> viable without a deep restructuring. Avoid Parex's missteps: undersized initial support, punitive pricing, and reliance on withdrawal freezes that lingered until 2012.</w:t>
      </w:r>
    </w:p>
    <w:p>
      <w:pPr>
        <w:pStyle w:val="Heading2"/>
        <w:spacing w:before="240" w:after="120"/>
      </w:pPr>
      <w:r>
        <w:t>Option 4: Private-sector or intra-group solution first (with eyes open)</w:t>
      </w:r>
    </w:p>
    <w:p>
      <w:pPr>
        <w:spacing w:after="120" w:line="240" w:lineRule="auto"/>
      </w:pPr>
      <w:r>
        <w:t>Pursue a private consortium loan, asset sales, or regulatory relief allowing the parent to access excess subsidiary liquidity — but move on quickly if it stalls. Both the $75 billion private syndicate effort and the New York regulator's plan to let AIG borrow $20 billion of subsidiary assets collapsed within days, the latter because it "was based on the false belief that AIG was experiencing a brief cash flow problem" ([vol3_iss1_3][The Rescue of American International Group Module B: The Securities Borrowing Facility][case_study][2021-04-16]). Set a hard deadline (days, not weeks) for a private solution before triggering Option 1/2/3. Also note the cautionary AIG precedent on delay: officials initially refused liquidity access on the theory it would worsen investor concerns, and the firm nearly reached bankruptcy before terms were agreed ([vol3_iss1_2][The Rescue of American International Group Module A: The Revolving Credit Facility][case_study][2021-04-16]).</w:t>
      </w:r>
    </w:p>
    <w:p>
      <w:pPr>
        <w:pStyle w:val="Heading1"/>
        <w:spacing w:before="240" w:after="120"/>
      </w:pPr>
      <w:r>
        <w:t>Complementary Considerations</w:t>
      </w:r>
    </w:p>
    <w:p>
      <w:pPr>
        <w:pStyle w:val="ListBullet"/>
        <w:spacing w:after="60"/>
      </w:pPr>
      <w:r>
        <w:rPr>
          <w:b/>
        </w:rPr>
        <w:t>Sequence the structural fix now.</w:t>
      </w:r>
      <w:r>
        <w:t xml:space="preserve"> The liquidity line is a bridge; the destination must be defined quickly — capital raise (private if possible, public if not), disaster-loss reinsurance/guarantee, asset disposals, or orderly resolution. Every comparable case required such follow-on measures; announcing the path reduces the market's uncertainty about viability.</w:t>
      </w:r>
    </w:p>
    <w:p>
      <w:pPr>
        <w:pStyle w:val="ListBullet"/>
        <w:spacing w:after="60"/>
      </w:pPr>
      <w:r>
        <w:rPr>
          <w:b/>
        </w:rPr>
        <w:t>Policyholder protection and ring-fencing.</w:t>
      </w:r>
      <w:r>
        <w:t xml:space="preserve"> Coordinate with insurance supervisors (across jurisdictions — this firm is globally significant) so subsidiary assets backing policyholder claims aren't stripped to fund the parent; in AIG, this tension killed the intra-group liquidity plan ([vol3_iss1_3][The Rescue of American International Group Module B: The Securities Borrowing Facility][case_study][2021-04-16]).</w:t>
      </w:r>
    </w:p>
    <w:p>
      <w:pPr>
        <w:pStyle w:val="ListBullet"/>
        <w:spacing w:after="60"/>
      </w:pPr>
      <w:r>
        <w:rPr>
          <w:b/>
        </w:rPr>
        <w:t>Rating-agency dynamics.</w:t>
      </w:r>
      <w:r>
        <w:t xml:space="preserve"> Model downgrade-triggered collateral and termination cascades explicitly: AIG's two-to-three-notch downgrade alone generated ~$20 billion in immediate collateral demands ([vol3_iss1_3][The Rescue of American International Group Module B: The Securities Borrowing Facility][case_study][2021-04-16]). Size the facility to survive a further notch.</w:t>
      </w:r>
    </w:p>
    <w:p>
      <w:pPr>
        <w:pStyle w:val="ListBullet"/>
        <w:spacing w:after="60"/>
      </w:pPr>
      <w:r>
        <w:rPr>
          <w:b/>
        </w:rPr>
        <w:t>Taxpayer upside and governance conditions</w:t>
      </w:r>
      <w:r>
        <w:t xml:space="preserve"> (equity participation, dividend restrictions, management accountability) are the right place to address moral-hazard concerns — remembering that "moral hazard" is an incentive-design issue about post-lending behavior, not a moral verdict on the firm or a reason to withhold liquidity.</w:t>
      </w:r>
    </w:p>
    <w:p>
      <w:pPr>
        <w:pStyle w:val="ListBullet"/>
        <w:spacing w:after="60"/>
      </w:pPr>
      <w:r>
        <w:rPr>
          <w:b/>
        </w:rPr>
        <w:t>Legal authority check.</w:t>
      </w:r>
      <w:r>
        <w:t xml:space="preserve"> Confirm now whether the central bank can lend to an insurer, whether the treasury needs legislative or state-aid approval, and whether emergency findings are required — these were binding constraints in both the US and Latvian episodes.</w:t>
      </w:r>
    </w:p>
    <w:p>
      <w:pPr>
        <w:pStyle w:val="Heading1"/>
        <w:spacing w:before="240" w:after="120"/>
      </w:pPr>
      <w:r>
        <w:t>Suggested Framing</w:t>
      </w:r>
    </w:p>
    <w:p>
      <w:pPr>
        <w:spacing w:after="120" w:line="240" w:lineRule="auto"/>
      </w:pPr>
      <w:r>
        <w:t xml:space="preserve">Frame the decision for your principal as: </w:t>
      </w:r>
      <w:r>
        <w:rPr>
          <w:b/>
        </w:rPr>
        <w:t>"Is this firm viable as a going concern, given the interventions we are prepared to make?"</w:t>
      </w:r>
      <w:r>
        <w:t xml:space="preserve"> — not "is it solvent?" and not "does it deserve help?" A disaster loss is exactly the kind of one-off, quantifiable shock after which a franchise with strong underlying economics can remain viable if a credible official backstop halts the run; conversely, no amount of liquidity will save a firm the market judges nonviable, and you should pivot to Option 3's restructuring path. Publicly, avoid the vocabulary of insolvency entirely — the wrong word can itself accelerate the run. Announce something large, fully secured, outcome-linked in duration, and non-punitive in price, together with a stated commitment to a follow-on structural plan and taxpayer protections taken in equity and control rather than in penalty rates.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