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rFonts w:hint="eastAsia" w:ascii="宋体" w:hAnsi="宋体" w:eastAsia="宋体" w:cs="宋体"/>
          <w:b/>
          <w:bCs/>
          <w:sz w:val="28"/>
          <w:szCs w:val="28"/>
        </w:rPr>
      </w:pPr>
      <w:r>
        <w:rPr>
          <w:rFonts w:hint="eastAsia"/>
        </w:rPr>
        <w:t>--</w:t>
      </w:r>
      <w:r>
        <w:rPr>
          <w:rFonts w:hint="eastAsia"/>
          <w:lang w:val="en-US" w:eastAsia="zh-CN"/>
        </w:rPr>
        <w:t xml:space="preserve">                    </w:t>
      </w:r>
      <w:r>
        <w:rPr>
          <w:rFonts w:hint="eastAsia"/>
          <w:b/>
          <w:bCs/>
          <w:lang w:val="en-US" w:eastAsia="zh-CN"/>
        </w:rPr>
        <w:t xml:space="preserve">   </w:t>
      </w:r>
      <w:r>
        <w:rPr>
          <w:rFonts w:hint="eastAsia" w:ascii="宋体" w:hAnsi="宋体" w:eastAsia="宋体" w:cs="宋体"/>
          <w:b/>
          <w:bCs/>
          <w:sz w:val="28"/>
          <w:szCs w:val="28"/>
        </w:rPr>
        <w:t>金禾实业分析报告</w:t>
      </w:r>
    </w:p>
    <w:p>
      <w:pPr>
        <w:keepNext w:val="0"/>
        <w:keepLines w:val="0"/>
        <w:pageBreakBefore w:val="0"/>
        <w:widowControl w:val="0"/>
        <w:kinsoku/>
        <w:wordWrap/>
        <w:overflowPunct/>
        <w:topLinePunct w:val="0"/>
        <w:autoSpaceDE/>
        <w:autoSpaceDN/>
        <w:bidi w:val="0"/>
        <w:adjustRightInd/>
        <w:snapToGrid/>
        <w:spacing w:line="400" w:lineRule="exact"/>
        <w:ind w:firstLine="640" w:firstLineChars="200"/>
        <w:textAlignment w:val="auto"/>
        <w:rPr>
          <w:rFonts w:hint="eastAsia" w:ascii="宋体" w:hAnsi="宋体" w:eastAsia="宋体" w:cs="宋体"/>
          <w:b/>
          <w:bCs/>
          <w:sz w:val="24"/>
          <w:szCs w:val="24"/>
        </w:rPr>
      </w:pPr>
      <w:r>
        <w:rPr>
          <w:rFonts w:hint="eastAsia" w:asciiTheme="majorEastAsia" w:hAnsiTheme="majorEastAsia" w:eastAsiaTheme="majorEastAsia" w:cstheme="majorEastAsia"/>
          <w:sz w:val="32"/>
          <w:szCs w:val="32"/>
        </w:rPr>
        <w:t>1.</w:t>
      </w:r>
      <w:r>
        <w:rPr>
          <w:rFonts w:hint="eastAsia"/>
        </w:rPr>
        <w:t xml:space="preserve"> </w:t>
      </w:r>
      <w:r>
        <w:rPr>
          <w:rFonts w:hint="eastAsia"/>
          <w:b/>
          <w:bCs/>
        </w:rPr>
        <w:t>公</w:t>
      </w:r>
      <w:r>
        <w:rPr>
          <w:rFonts w:hint="eastAsia" w:ascii="宋体" w:hAnsi="宋体" w:eastAsia="宋体" w:cs="宋体"/>
          <w:b/>
          <w:bCs/>
          <w:sz w:val="24"/>
          <w:szCs w:val="24"/>
        </w:rPr>
        <w:t>司概况与主营业务</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金禾实业（002597.SZ）成立于2000年，是一家以绿色化工和精细化工为主的综合性化工企业，拥有完整的一体化产业链布局，致力于甜味剂、香精香料以及功能性化工品的研发、生产和销售。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 主营业务与核心产品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金禾的主营业务以甜味剂为核心，覆盖食品添加剂及相关化工领域，形成了独特的产品组合：</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 甜味剂产品：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三氯蔗糖：全球高端代糖市场的核心产品，甜度是蔗糖的600倍，零热量，广泛应用于食品、饮料、医药等领域。金禾在三氯蔗糖市场占有率达57%，是全球最大供应商。</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安赛蜜：甜度是蔗糖的200倍，价格相对低廉，常与其他甜味剂复配使用，广泛用于碳酸饮料、无糖食品及药品辅料中。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 香精香料：</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包括甲乙基麦芽酚等产品，主要用于食品调味，市场占有率领先。</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基础化工品：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生产双乙酯、氯化亚砜等重要化工原料，为甜味剂和香料业务提供一体化成本支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分析逻辑框架</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接下来的报告将从以下几个方面展开：</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1. </w:t>
      </w:r>
      <w:r>
        <w:rPr>
          <w:rFonts w:hint="eastAsia" w:ascii="宋体" w:hAnsi="宋体" w:cs="宋体"/>
          <w:sz w:val="24"/>
          <w:szCs w:val="24"/>
          <w:lang w:val="en-US" w:eastAsia="zh-CN"/>
        </w:rPr>
        <w:t>供给</w:t>
      </w:r>
      <w:r>
        <w:rPr>
          <w:rFonts w:hint="eastAsia" w:ascii="宋体" w:hAnsi="宋体" w:eastAsia="宋体" w:cs="宋体"/>
          <w:sz w:val="24"/>
          <w:szCs w:val="24"/>
        </w:rPr>
        <w:t>分析：探讨全球健康饮食趋势及无糖饮料市场的快速扩张对甜味剂需求的推动。</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2. </w:t>
      </w:r>
      <w:r>
        <w:rPr>
          <w:rFonts w:hint="eastAsia" w:ascii="宋体" w:hAnsi="宋体" w:cs="宋体"/>
          <w:sz w:val="24"/>
          <w:szCs w:val="24"/>
          <w:lang w:val="en-US" w:eastAsia="zh-CN"/>
        </w:rPr>
        <w:t>需求</w:t>
      </w:r>
      <w:r>
        <w:rPr>
          <w:rFonts w:hint="eastAsia" w:ascii="宋体" w:hAnsi="宋体" w:eastAsia="宋体" w:cs="宋体"/>
          <w:sz w:val="24"/>
          <w:szCs w:val="24"/>
        </w:rPr>
        <w:t>分析：梳理甜味剂行业的竞争格局与供需变化。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 金禾壁垒：剖析金禾的低成本护城河、技术积累和市场优势。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 总结与展望：讨论金禾未来的成长逻辑和潜在投资价值。</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从邓晓峰认为如果企业产品处于</w:t>
      </w:r>
      <w:r>
        <w:rPr>
          <w:rFonts w:hint="default" w:ascii="宋体" w:hAnsi="宋体" w:eastAsia="宋体" w:cs="宋体"/>
          <w:sz w:val="24"/>
          <w:szCs w:val="24"/>
          <w:lang w:val="en-US" w:eastAsia="zh-CN"/>
        </w:rPr>
        <w:t>需求驱动阶段，又处于供给结构清晰、壁垒高的阶段，</w:t>
      </w:r>
      <w:r>
        <w:rPr>
          <w:rFonts w:hint="eastAsia" w:ascii="宋体" w:hAnsi="宋体" w:eastAsia="宋体" w:cs="宋体"/>
          <w:sz w:val="24"/>
          <w:szCs w:val="24"/>
          <w:lang w:val="en-US" w:eastAsia="zh-CN"/>
        </w:rPr>
        <w:t>那么</w:t>
      </w:r>
      <w:r>
        <w:rPr>
          <w:rFonts w:hint="default" w:ascii="宋体" w:hAnsi="宋体" w:eastAsia="宋体" w:cs="宋体"/>
          <w:sz w:val="24"/>
          <w:szCs w:val="24"/>
          <w:lang w:val="en-US" w:eastAsia="zh-CN"/>
        </w:rPr>
        <w:t>这种行业既有增长的“长长雪道”，</w:t>
      </w:r>
      <w:r>
        <w:rPr>
          <w:rFonts w:hint="eastAsia" w:ascii="宋体" w:hAnsi="宋体" w:eastAsia="宋体" w:cs="宋体"/>
          <w:sz w:val="24"/>
          <w:szCs w:val="24"/>
          <w:lang w:val="en-US" w:eastAsia="zh-CN"/>
        </w:rPr>
        <w:t>就会有</w:t>
      </w:r>
      <w:r>
        <w:rPr>
          <w:rFonts w:hint="default" w:ascii="宋体" w:hAnsi="宋体" w:eastAsia="宋体" w:cs="宋体"/>
          <w:sz w:val="24"/>
          <w:szCs w:val="24"/>
          <w:lang w:val="en-US" w:eastAsia="zh-CN"/>
        </w:rPr>
        <w:t>盈利的“厚厚的坡”。</w:t>
      </w:r>
    </w:p>
    <w:p>
      <w:pPr>
        <w:keepNext w:val="0"/>
        <w:keepLines w:val="0"/>
        <w:pageBreakBefore w:val="0"/>
        <w:widowControl w:val="0"/>
        <w:kinsoku/>
        <w:wordWrap/>
        <w:overflowPunct/>
        <w:topLinePunct w:val="0"/>
        <w:autoSpaceDE/>
        <w:autoSpaceDN/>
        <w:bidi w:val="0"/>
        <w:adjustRightInd/>
        <w:snapToGrid/>
        <w:spacing w:line="400" w:lineRule="exact"/>
        <w:ind w:firstLine="643" w:firstLineChars="200"/>
        <w:textAlignment w:val="auto"/>
        <w:rPr>
          <w:rFonts w:hint="eastAsia" w:asciiTheme="majorEastAsia" w:hAnsiTheme="majorEastAsia" w:eastAsiaTheme="majorEastAsia" w:cstheme="majorEastAsia"/>
          <w:b/>
          <w:bCs/>
          <w:sz w:val="32"/>
          <w:szCs w:val="32"/>
          <w:lang w:val="en-US" w:eastAsia="zh-CN"/>
        </w:rPr>
      </w:pPr>
      <w:r>
        <w:rPr>
          <w:rFonts w:hint="eastAsia" w:asciiTheme="majorEastAsia" w:hAnsiTheme="majorEastAsia" w:eastAsiaTheme="majorEastAsia" w:cstheme="majorEastAsia"/>
          <w:b/>
          <w:bCs/>
          <w:sz w:val="32"/>
          <w:szCs w:val="32"/>
          <w:lang w:val="en-US" w:eastAsia="zh-CN"/>
        </w:rPr>
        <w:t>供给分析：</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（1）供给出清：行业进入寡头垄断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高成本产能退出：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甜味剂行业（特别是三氯蔗糖、安赛蜜）在经历多轮价格战后，形成了高度集中的市场格局。</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根据国信证券的报告，TOP4企业控制了95%以上的市场份额，包括金禾、山东康宝等。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高环保要求、技术壁垒和资本投入，导致新增高成本产能难以进入市场。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行业竞争格局优化：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供给端的优化使得价格波动减弱，市场定价权逐步向头部企业倾斜。</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例如，三氯蔗糖价格从10万元/吨反弹至24万元/吨，反映出供需平衡正在改善。</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总结：金禾所在的甜味剂行业已完成供给出清，格局清晰，剩余玩家（如金禾）正从行业稳定性中受益。</w:t>
      </w:r>
    </w:p>
    <w:p>
      <w:pPr>
        <w:keepNext w:val="0"/>
        <w:keepLines w:val="0"/>
        <w:pageBreakBefore w:val="0"/>
        <w:widowControl w:val="0"/>
        <w:kinsoku/>
        <w:wordWrap/>
        <w:overflowPunct/>
        <w:topLinePunct w:val="0"/>
        <w:autoSpaceDE/>
        <w:autoSpaceDN/>
        <w:bidi w:val="0"/>
        <w:adjustRightInd/>
        <w:snapToGrid/>
        <w:spacing w:line="400" w:lineRule="exact"/>
        <w:ind w:firstLine="643" w:firstLineChars="200"/>
        <w:textAlignment w:val="auto"/>
        <w:rPr>
          <w:rFonts w:hint="eastAsia" w:asciiTheme="majorEastAsia" w:hAnsiTheme="majorEastAsia" w:eastAsiaTheme="majorEastAsia" w:cstheme="majorEastAsia"/>
          <w:b/>
          <w:bCs/>
          <w:sz w:val="32"/>
          <w:szCs w:val="32"/>
          <w:lang w:val="en-US" w:eastAsia="zh-CN"/>
        </w:rPr>
      </w:pPr>
      <w:r>
        <w:rPr>
          <w:rFonts w:hint="default" w:asciiTheme="majorEastAsia" w:hAnsiTheme="majorEastAsia" w:eastAsiaTheme="majorEastAsia" w:cstheme="majorEastAsia"/>
          <w:b/>
          <w:bCs/>
          <w:sz w:val="32"/>
          <w:szCs w:val="32"/>
          <w:lang w:val="en-US" w:eastAsia="zh-CN"/>
        </w:rPr>
        <w:t>需</w:t>
      </w:r>
      <w:r>
        <w:rPr>
          <w:rFonts w:hint="eastAsia" w:asciiTheme="majorEastAsia" w:hAnsiTheme="majorEastAsia" w:eastAsiaTheme="majorEastAsia" w:cstheme="majorEastAsia"/>
          <w:b/>
          <w:bCs/>
          <w:sz w:val="32"/>
          <w:szCs w:val="32"/>
          <w:lang w:val="en-US" w:eastAsia="zh-CN"/>
        </w:rPr>
        <w:t>求分析：</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稳定增长：全球低糖健康趋势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渗透率提升：</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甜味剂在全球糖市场的渗透率仅为10%-20%，而随着健康饮食理念普及和无糖饮品需求增长，这一比例有望提升至30%-40%（国信证券、东北证券数据）。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特别是中国市场，目前渗透率仅约10%，远低于欧美发达市场的20%-30%。</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核心驱动因素：</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健康饮食：消费者对低热量、无糖产品的偏好推动需求快速扩张。</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应用场景：甜味剂被广泛用于功能性饮料、无糖食品和制药行业，市场需求更广泛。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总结：甜味剂的需求增长确定性强，市场规模扩张和渗透率</w:t>
      </w:r>
      <w:r>
        <w:rPr>
          <w:rFonts w:hint="eastAsia" w:ascii="宋体" w:hAnsi="宋体" w:eastAsia="宋体" w:cs="宋体"/>
          <w:sz w:val="24"/>
          <w:szCs w:val="24"/>
          <w:lang w:val="en-US" w:eastAsia="zh-CN"/>
        </w:rPr>
        <w:t>还有很大的提升空间，从确信度角度而言处于需求扩张阶段。</w:t>
      </w:r>
    </w:p>
    <w:p>
      <w:pPr>
        <w:keepNext w:val="0"/>
        <w:keepLines w:val="0"/>
        <w:pageBreakBefore w:val="0"/>
        <w:widowControl w:val="0"/>
        <w:kinsoku/>
        <w:wordWrap/>
        <w:overflowPunct/>
        <w:topLinePunct w:val="0"/>
        <w:autoSpaceDE/>
        <w:autoSpaceDN/>
        <w:bidi w:val="0"/>
        <w:adjustRightInd/>
        <w:snapToGrid/>
        <w:spacing w:line="400" w:lineRule="exact"/>
        <w:ind w:firstLine="643" w:firstLineChars="200"/>
        <w:textAlignment w:val="auto"/>
        <w:rPr>
          <w:rFonts w:hint="eastAsia" w:asciiTheme="majorEastAsia" w:hAnsiTheme="majorEastAsia" w:eastAsiaTheme="majorEastAsia" w:cstheme="majorEastAsia"/>
          <w:b/>
          <w:bCs/>
          <w:sz w:val="32"/>
          <w:szCs w:val="32"/>
          <w:lang w:val="en-US" w:eastAsia="zh-CN"/>
        </w:rPr>
      </w:pPr>
      <w:r>
        <w:rPr>
          <w:rFonts w:hint="default" w:asciiTheme="majorEastAsia" w:hAnsiTheme="majorEastAsia" w:eastAsiaTheme="majorEastAsia" w:cstheme="majorEastAsia"/>
          <w:b/>
          <w:bCs/>
          <w:sz w:val="32"/>
          <w:szCs w:val="32"/>
          <w:lang w:val="en-US" w:eastAsia="zh-CN"/>
        </w:rPr>
        <w:t>金禾的壁垒</w:t>
      </w:r>
      <w:r>
        <w:rPr>
          <w:rFonts w:hint="eastAsia" w:asciiTheme="majorEastAsia" w:hAnsiTheme="majorEastAsia" w:eastAsiaTheme="majorEastAsia" w:cstheme="majorEastAsia"/>
          <w:b/>
          <w:bCs/>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产业链一体化：低成本护城河</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1.1. 一体化生产带来的成本优势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自产原材料：</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金禾通过自建原材料生产线（如双乙酯、氯化亚砜），实现了核心原料的内部供应，大幅降低了生产成本。</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数据显示，金禾的三氯蔗糖生产成本约为9.5万元/吨，远低于行业平均水平（12-13万元/吨）。</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核心优势：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在甜味剂价格战或周期底部，金禾依然具备盈利能力，而高成本企业可能亏损甚至退出市场。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1.2. 环保与技术壁垒</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环保压力：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三氯蔗糖和安赛蜜的生产过程中涉及大量化工环节，对环保和技术要求极高。</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金禾拥有自建废气废液处理设施，符合严格的环保标准，形成了行业准入壁垒。</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技术积累：</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长期积累的生产工艺优化（如能耗降低、原料利用率提升），进一步强化了成本优势，难以被新进入者模仿。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总结：金禾的一体化生产体系和环保技术壁垒，是其保持行业领先的重要基础，也是难以复制的成本护城河。</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行业格局：寡头垄断与市场主导权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2.1. 市场集中度提升</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甜味剂行业经过多轮洗牌和价格战，目前形成TOP4寡头垄断格局：</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金禾的三氯蔗糖市场份额为57%，安赛蜜市场份额为41.79%。</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高集中度确保了剩余企业在价格和产能上的主导权。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2.2. 寡头地位的优势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定价权增强：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行业中小企业的退出使得价格战的可能性下降，寡头企业（如金禾）更容易维护价格稳定。</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例如，三氯蔗糖价格从低点的10万元/吨反弹至24万元/吨，金禾作为龙头受益显著。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产能扩张能力：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定远二期项目的投产将进一步提升金禾的市场占有率和生产能力，巩固其龙头地位。</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总结：金禾在供给出清后的行业格局中，凭借龙头地位享有更高</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产品壁垒：技术与应用多样化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3.1. 核心甜味剂产品的技术门槛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高端甜味剂市场主导：</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三氯蔗糖和安赛蜜是高端甜味剂，具有更高的甜度和更低的热量，广泛应用于食品、饮料和药品中。</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金禾长期专注于工艺改进，形成了专利和技术优势，确保其产品在稳定性和性价比上的领先地位。</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 高进入门槛：资本、环保与规模效应</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5.1. 高资本投入</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甜味剂的生产涉及复杂的化工设备与工艺，一次性投入成本极高。</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新进入者面临高昂的资本开支，难以与现有龙头企业竞争。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5.2. 环保门槛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行业的环保要求越来越高，过去几年多家中小企业因无法满足环保标准而被迫退出。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金禾拥有完善的环保设施，符合国家和国际标准，确保其在行业中的可持续性。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5.3. 规模效应</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金禾通过规模化生产降低了单位成本，同时提高了市场议价能力。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总结：资本壁垒、环保要求和规模效应共同构成了金禾的高进入门槛，进一步巩固其行业地位。</w:t>
      </w:r>
    </w:p>
    <w:p>
      <w:pPr>
        <w:keepNext w:val="0"/>
        <w:keepLines w:val="0"/>
        <w:pageBreakBefore w:val="0"/>
        <w:widowControl w:val="0"/>
        <w:kinsoku/>
        <w:wordWrap/>
        <w:overflowPunct/>
        <w:topLinePunct w:val="0"/>
        <w:autoSpaceDE/>
        <w:autoSpaceDN/>
        <w:bidi w:val="0"/>
        <w:adjustRightInd/>
        <w:snapToGrid/>
        <w:spacing w:line="400" w:lineRule="exact"/>
        <w:ind w:firstLine="643" w:firstLineChars="200"/>
        <w:textAlignment w:val="auto"/>
        <w:rPr>
          <w:rFonts w:hint="default" w:asciiTheme="majorEastAsia" w:hAnsiTheme="majorEastAsia" w:eastAsiaTheme="majorEastAsia" w:cstheme="majorEastAsia"/>
          <w:b/>
          <w:bCs/>
          <w:sz w:val="32"/>
          <w:szCs w:val="32"/>
          <w:lang w:val="en-US" w:eastAsia="zh-CN"/>
        </w:rPr>
      </w:pPr>
      <w:r>
        <w:rPr>
          <w:rFonts w:hint="eastAsia" w:asciiTheme="majorEastAsia" w:hAnsiTheme="majorEastAsia" w:eastAsiaTheme="majorEastAsia" w:cstheme="majorEastAsia"/>
          <w:b/>
          <w:bCs/>
          <w:sz w:val="32"/>
          <w:szCs w:val="32"/>
          <w:lang w:val="en-US" w:eastAsia="zh-CN"/>
        </w:rPr>
        <w:t>投资总结：</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1. 增长型行业+明确需求驱动力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邓晓峰提到，“将时间更多花在增长型行业上，投入产出比相对高。”甜味剂行业正符合这一特性，其全球市场需求由健康饮食趋势推动，渗透率提升空间巨大。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金禾实业的体现：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全球代糖市场年均复合增长率达6.6%，中国市场增速更高（10%-15%）。</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无糖饮料市场快速扩张，甜味剂需求持续增长。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2. 高壁垒构建竞争优势</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邓晓峰强调，“供给结构清晰、壁垒非常高的阶段是可以重仓的机会。”壁垒既体现在技术、成本，也体现在客户粘性和环保合规上。</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金禾实业的体现：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成本护城河：三氯蔗糖的生产成本为9.5万元/吨，显著低于行业平均。</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环保技术优势：自主研发的废气废液处理技术，符合高标准环保要求。</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客户粘性：长期与可口可乐等国际巨头合作，形成稳定供应链。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3. 行业供给出清</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邓晓峰指出，“最好的行业是供给出清、需求驱动的阶段。”甜味剂行业的供给端在环保政策和竞争中完成出清，市场集中度大幅提升。</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金禾实业的体现：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行业TOP4企业控制95%以上市场份额。</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三氯蔗糖价格从10万元/吨反弹至24万元/吨，供需改善使得金禾盈利弹性显著。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4. 盈利模式稳定与高弹性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“长期持有需要关注企业盈利结构的延续性和增长质量的稳定性。”邓晓峰认为企业的盈利能力需要具备可持续性。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金禾实业的体现：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甜味剂占公司收入54%，为核心利润来源。</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产品价格上涨对净利润有高弹性：三氯蔗糖每上涨1万元/吨，增厚净利润8000万元。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5. 渗透率视角与长期确定性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“渗透率是判断行业生命周期的重要指标。”邓晓峰认为，关注渗透率提升空间有助于识别行业的长期增长潜力。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金禾实业的体现：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当前国内甜味剂渗透率仅10%，远低于欧美国家的20%-30%，未来提升空间大。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无糖饮料和低糖食品趋势是行业的长期确定性驱动力。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6. 投资核心逻辑总结</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邓晓峰在文中多次提到，优质的投资标的需要同时具备“长长的雪道”和“厚厚的坡”。</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金禾实业符合的特性：</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1. 行业需求增长驱动明确，是“长长的雪道”。</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2. 公司成本优势、环保技术和全球市场地位构建了“厚厚的坡”。</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heme="majorEastAsia" w:hAnsiTheme="majorEastAsia" w:eastAsiaTheme="majorEastAsia" w:cstheme="majorEastAsia"/>
          <w:b/>
          <w:bCs/>
          <w:sz w:val="32"/>
          <w:szCs w:val="32"/>
          <w:lang w:val="en-US" w:eastAsia="zh-CN"/>
        </w:rPr>
      </w:pPr>
      <w:bookmarkStart w:id="0" w:name="_GoBack"/>
      <w:bookmarkEnd w:id="0"/>
      <w:r>
        <w:rPr>
          <w:rFonts w:hint="default" w:asciiTheme="majorEastAsia" w:hAnsiTheme="majorEastAsia" w:eastAsiaTheme="majorEastAsia" w:cstheme="majorEastAsia"/>
          <w:b/>
          <w:bCs/>
          <w:sz w:val="32"/>
          <w:szCs w:val="32"/>
          <w:lang w:val="en-US" w:eastAsia="zh-CN"/>
        </w:rPr>
        <w:t>七、估值</w:t>
      </w:r>
    </w:p>
    <w:p>
      <w:pPr>
        <w:pStyle w:val="3"/>
        <w:keepNext w:val="0"/>
        <w:keepLines w:val="0"/>
        <w:widowControl/>
        <w:suppressLineNumbers w:val="0"/>
        <w:shd w:val="clear" w:color="auto" w:fill="FFFFFF"/>
        <w:spacing w:before="0" w:beforeAutospacing="0" w:after="0" w:afterAutospacing="0"/>
        <w:ind w:left="0" w:right="0" w:firstLine="220" w:firstLineChars="100"/>
        <w:rPr>
          <w:rFonts w:hint="default" w:ascii="Helvetica" w:hAnsi="Helvetica" w:eastAsia="Helvetica" w:cs="Helvetica"/>
          <w:i w:val="0"/>
          <w:iCs w:val="0"/>
          <w:caps w:val="0"/>
          <w:color w:val="101423"/>
          <w:spacing w:val="0"/>
          <w:sz w:val="22"/>
          <w:szCs w:val="22"/>
        </w:rPr>
      </w:pPr>
      <w:r>
        <w:rPr>
          <w:rFonts w:hint="default" w:ascii="Helvetica" w:hAnsi="Helvetica" w:eastAsia="Helvetica" w:cs="Helvetica"/>
          <w:i w:val="0"/>
          <w:iCs w:val="0"/>
          <w:caps w:val="0"/>
          <w:color w:val="101423"/>
          <w:spacing w:val="0"/>
          <w:sz w:val="22"/>
          <w:szCs w:val="22"/>
          <w:shd w:val="clear" w:color="auto" w:fill="FFFFFF"/>
        </w:rPr>
        <w:t>目前PB 1.8处于历史8.93%的分位，在历史低位。</w:t>
      </w:r>
    </w:p>
    <w:p>
      <w:pPr>
        <w:pStyle w:val="3"/>
        <w:keepNext w:val="0"/>
        <w:keepLines w:val="0"/>
        <w:widowControl/>
        <w:suppressLineNumbers w:val="0"/>
        <w:shd w:val="clear" w:color="auto" w:fill="FFFFFF"/>
        <w:spacing w:before="0" w:beforeAutospacing="0" w:after="0" w:afterAutospacing="0"/>
        <w:ind w:left="0" w:right="0" w:firstLine="0"/>
        <w:rPr>
          <w:rFonts w:hint="default" w:ascii="Helvetica" w:hAnsi="Helvetica" w:eastAsia="Helvetica" w:cs="Helvetica"/>
          <w:i w:val="0"/>
          <w:iCs w:val="0"/>
          <w:caps w:val="0"/>
          <w:color w:val="101423"/>
          <w:spacing w:val="0"/>
          <w:sz w:val="22"/>
          <w:szCs w:val="22"/>
        </w:rPr>
      </w:pPr>
      <w:r>
        <w:rPr>
          <w:rFonts w:hint="default" w:ascii="Helvetica" w:hAnsi="Helvetica" w:eastAsia="Helvetica" w:cs="Helvetica"/>
          <w:i w:val="0"/>
          <w:iCs w:val="0"/>
          <w:caps w:val="0"/>
          <w:color w:val="101423"/>
          <w:spacing w:val="0"/>
          <w:sz w:val="22"/>
          <w:szCs w:val="22"/>
          <w:shd w:val="clear" w:color="auto" w:fill="FFFFFF"/>
        </w:rPr>
        <w:t>目前PE24、处于历史的75%分位，市盈率处于历史上较高水平的分位，因为这是周期底部的位置，产品价格均近几个月才上行，预计后期会快速下行，周期股本身也就是逆市盈率买卖。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sz w:val="24"/>
          <w:szCs w:val="24"/>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D92923"/>
    <w:rsid w:val="3FE95BE6"/>
    <w:rsid w:val="7A9E66D8"/>
    <w:rsid w:val="7B5E7B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2024-12-19T03:40:09Z</dcterms:created>
  <dc:creator>Administrator</dc:creator>
  <cp:lastModifiedBy>Administrator</cp:lastModifiedBy>
  <cp:lastPrinted>2024-12-19T08:27:51Z</cp:lastPrinted>
  <dcterms:modified xsi:type="dcterms:W3CDTF">2024-12-19T08:40:15Z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3B98D2EEF8594C5EAA328520E56D78EC_13</vt:lpwstr>
  </property>
</Properties>
</file>