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0D" w:rsidRPr="00D71C69" w:rsidRDefault="00D71C69" w:rsidP="00D71C69">
      <w:r>
        <w:rPr>
          <w:rFonts w:ascii="Verdana" w:hAnsi="Verdana"/>
          <w:b/>
          <w:bCs/>
          <w:color w:val="333333"/>
          <w:shd w:val="clear" w:color="auto" w:fill="F7F6F3"/>
        </w:rPr>
        <w:t>We thank the reviewers for their comments and analysis.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R1.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1&gt; Intro is short/broader coverage of the related work required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:</w:t>
      </w:r>
      <w:proofErr w:type="gramEnd"/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Symbolic pre-computation of Gibbs is completely novel and we have not found any related work for this part.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We have already covered a brief literature related to piecewise distributions (In section 7 that can be moved to intro).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In light of the reviewers comments we are also happy to expand the literature review with the existing works that attempt to address the observed determinism as follows: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Observed determinism, can appear in applications such as failure detection (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Huseby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et al. 2004) where random variables are not directly observable but a function of them may be observed (indirect measurement).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The following families of densities are closed under linear transformations and consequently allow linear determinism: piecewise polynomials with hyper-rhombus/linear partitioning constraints and conditional linear Gaussians (CLGs) (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Lauritzen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&amp; Jensen 2001).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In (Li et al. 2013) the restriction is imposed on the network topology rather than the densities. They can only handle the observed summation of variables on a very simple network. The generalization of this technique does not seem straight-forward (if possible).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Handling nonlinear determinism is much trickier. Methods based on Hamiltonian MC are used for sampling under particular constraints (Hartmann 2008) but they cannot be used in piecewise models.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Cobb &amp;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Shenoy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(2005) approximate non-linear determinism with piecewise linear constraints via dividing the space into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hypercubes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>. This method can hardly be used in dimensions more than 2 or 3 since the number of partitions required to preserve approximation accuracy is exponential in dimensionality.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The solution often suggested by probabilistic programming languages is to approximate the observed determinism via adding noise to the observation (hard to soft constraint conversion via measurement error). 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But in practice if the added noise is large, the approximation bounds may become arbitrarily large and if the noise is small, the mixing rate may become extremely slow (near-deterministic problem) (Chin &amp; Cooper, 1987).</w:t>
      </w:r>
      <w:proofErr w:type="gramEnd"/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In short, inference conditioned on nonlinear determinism is still an open problem (Li et al., 2013) and even for linear constraints, the existing works are too restrictive.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lastRenderedPageBreak/>
        <w:t>NEW REFERENCES: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* Chin &amp; Cooper. 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Bayesian belief network inference using simulation.</w:t>
      </w:r>
      <w:proofErr w:type="gram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UAI 87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* Cobb &amp;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Shenoy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>.</w:t>
      </w:r>
      <w:proofErr w:type="gram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Nonlinear deterministic relationships in BNs. Springer 2005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* Hartmann "An ergodic sampling scheme for constrained Hamiltonian systems with applications to molecular dynamics."</w:t>
      </w:r>
      <w:proofErr w:type="gram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J. Stat. Physics 2008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*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Huseby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et al. System reliability evaluation using conditional MC. Stat. Res. 2004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*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Lauritzen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&amp; Jensen.</w:t>
      </w:r>
      <w:proofErr w:type="gram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Stable local computation with conditional Gaussian distributions.</w:t>
      </w:r>
      <w:proofErr w:type="gram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Stat. &amp; Comp. 2001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* Li et al. Dynamic scaled sampling for deterministic constraints.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AIStat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2013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R2.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1&gt; Existing attempts to address nonlinear constraints &amp; piecewise distributions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:</w:t>
      </w:r>
      <w:proofErr w:type="gramEnd"/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Please see R1.1.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2&gt; 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Is</w:t>
      </w:r>
      <w:proofErr w:type="gram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the performance of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SymGibbs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significantly better than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BaseGibbs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>?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In Figures 5(a), 6(a) and 6(b), for a given time e.g. 0.5, the absolute errors of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BaseGibbs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is about 9, 2 and 3 times more than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SymGibbs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>, respectively.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R3.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1&gt; Lack of large model sizes makes one suspect that the method is perhaps not scalable for a large number of variables: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Manual computations show that the 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number of PPF partitions do</w:t>
      </w:r>
      <w:proofErr w:type="gram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not grow significantly in the model size. So, model size should not considerably affect the results (except that all Gibbs samplers grow linearly in dimension).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Since we substantially outperform existing state-of-the-art MCMC methods for the current range of model sizes, it is not clear to us that additional experiments would alter the conclusions from our empirical comparison.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2&gt; Short sampling time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:</w:t>
      </w:r>
      <w:proofErr w:type="gramEnd"/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In our experiments, sampling for 2 seconds is sufficient to show that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SymGibbs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consistently performs the best.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Sampling for a longer period would not affect this conclusion (since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SymGibbs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has already been converged); however, it would make the </w:t>
      </w:r>
      <w:r>
        <w:rPr>
          <w:rFonts w:ascii="Verdana" w:hAnsi="Verdana"/>
          <w:b/>
          <w:bCs/>
          <w:color w:val="333333"/>
          <w:shd w:val="clear" w:color="auto" w:fill="F7F6F3"/>
        </w:rPr>
        <w:lastRenderedPageBreak/>
        <w:t xml:space="preserve">plots hardly distinguishable. For instance, if Figure 6b was plotted for an hour then it would be quite hard to see the difference between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SymGibbs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and the second best algorithm (i.e.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BaseGibbs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>) by looking at the plots.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3&gt; 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The</w:t>
      </w:r>
      <w:proofErr w:type="gram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experiments are simple collisions and trivial wiring models: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The collisions &amp; wiring models are not trivial in terms of the posterior densities that arise in these models with nonlinear determinism. They are already difficult enough to cause the state-of-the-art inference methods to perform poorly as shown in the experiments. In the case of the wiring model,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SymGibbs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and to a lesser degree,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BaseGibbs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(which is also based on the collapsing determinism and therefore, ours) outperform the state-of-the-art methods (HMC and SMC) so distinctly that we can claim that for the first time, we have introduced an effective &amp; automated solution for handling ‘reduced mass’ deterministic relationships.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4&gt; Growth in the size of PPFs as variables are eliminated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:</w:t>
      </w:r>
      <w:proofErr w:type="gramEnd"/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The growth can be exponential (due to operations such as absolute value) though in practice many pieces may be infeasible (empty) and therefore removed.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5&gt; Most Bayesian models incorporate observation error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:</w:t>
      </w:r>
      <w:proofErr w:type="gramEnd"/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Consider a case with small observation error (i.e. a near-deterministic constraint, as mentioned in your review). The performance of MCMC methods on such models is typically very poor due to the "near-deterministic problem" (see R1.1).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Interestingly, provided with our framework, for the first time we can suggest exactly the opposite of what probabilistic programing languages often do: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 xml:space="preserve">To avoid the near-deterministic problem in models with small incorporated noise, approximate the noisy observation with a deterministic observation and reduce the dimensionality by </w:t>
      </w:r>
      <w:proofErr w:type="spellStart"/>
      <w:r>
        <w:rPr>
          <w:rFonts w:ascii="Verdana" w:hAnsi="Verdana"/>
          <w:b/>
          <w:bCs/>
          <w:color w:val="333333"/>
          <w:shd w:val="clear" w:color="auto" w:fill="F7F6F3"/>
        </w:rPr>
        <w:t>Alg</w:t>
      </w:r>
      <w:proofErr w:type="spellEnd"/>
      <w:r>
        <w:rPr>
          <w:rFonts w:ascii="Verdana" w:hAnsi="Verdana"/>
          <w:b/>
          <w:bCs/>
          <w:color w:val="333333"/>
          <w:shd w:val="clear" w:color="auto" w:fill="F7F6F3"/>
        </w:rPr>
        <w:t xml:space="preserve"> 1.</w:t>
      </w:r>
      <w:r>
        <w:rPr>
          <w:rStyle w:val="apple-converted-space"/>
          <w:rFonts w:ascii="Verdana" w:hAnsi="Verdana"/>
          <w:b/>
          <w:bCs/>
          <w:color w:val="333333"/>
          <w:shd w:val="clear" w:color="auto" w:fill="F7F6F3"/>
        </w:rPr>
        <w:t> </w:t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6&gt; RE introduction</w:t>
      </w:r>
      <w:proofErr w:type="gramStart"/>
      <w:r>
        <w:rPr>
          <w:rFonts w:ascii="Verdana" w:hAnsi="Verdana"/>
          <w:b/>
          <w:bCs/>
          <w:color w:val="333333"/>
          <w:shd w:val="clear" w:color="auto" w:fill="F7F6F3"/>
        </w:rPr>
        <w:t>:</w:t>
      </w:r>
      <w:proofErr w:type="gramEnd"/>
      <w:r>
        <w:rPr>
          <w:rFonts w:ascii="Verdana" w:hAnsi="Verdana"/>
          <w:b/>
          <w:bCs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7F6F3"/>
        </w:rPr>
        <w:t>Please see R1.1.</w:t>
      </w:r>
      <w:bookmarkStart w:id="0" w:name="_GoBack"/>
      <w:bookmarkEnd w:id="0"/>
    </w:p>
    <w:sectPr w:rsidR="006F530D" w:rsidRPr="00D7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08"/>
    <w:rsid w:val="008F5425"/>
    <w:rsid w:val="00CD0108"/>
    <w:rsid w:val="00D71C69"/>
    <w:rsid w:val="00E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895</Words>
  <Characters>5035</Characters>
  <Application>Microsoft Office Word</Application>
  <DocSecurity>0</DocSecurity>
  <Lines>93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National University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 Afshar</dc:creator>
  <cp:lastModifiedBy>Hadi Afshar</cp:lastModifiedBy>
  <cp:revision>1</cp:revision>
  <dcterms:created xsi:type="dcterms:W3CDTF">2015-04-24T04:24:00Z</dcterms:created>
  <dcterms:modified xsi:type="dcterms:W3CDTF">2015-04-24T05:29:00Z</dcterms:modified>
</cp:coreProperties>
</file>