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Hello, World</w:t>
      </w:r>
    </w:p>
    <w:p>
      <w:r>
        <w:t xml:space="preserve">This is a simple paragraph for the docx-to-pdf engine test fixture.</w:t>
      </w:r>
    </w:p>
    <w:p>
      <w:pPr>
        <w:pStyle w:val="Heading2"/>
      </w:pPr>
      <w:r>
        <w:t xml:space="preserve">Section heading</w:t>
      </w:r>
    </w:p>
    <w:p>
      <w:r>
        <w:rPr>
          <w:b/>
          <w:bCs/>
        </w:rPr>
        <w:t xml:space="preserve">Bold </w:t>
      </w:r>
      <w:r>
        <w:t xml:space="preserve">normal </w:t>
      </w:r>
      <w:r>
        <w:rPr>
          <w:i/>
          <w:iCs/>
        </w:rPr>
        <w:t xml:space="preserve">italic</w:t>
      </w:r>
    </w:p>
    <w:p>
      <w:r>
        <w:t xml:space="preserve">Tony Yu — fixture identifier for searchable-text assertion.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2026-05-02T23:19:45.869Z</dcterms:created>
  <dcterms:modified xsi:type="dcterms:W3CDTF">2026-05-02T23:19:45.877Z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