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bookmarkStart w:id="0" w:name="_Toc18426"/>
      <w:r>
        <w:rPr>
          <w:rStyle w:val="9"/>
          <w:rFonts w:hint="eastAsia"/>
          <w:lang w:val="en-US" w:eastAsia="zh-CN"/>
        </w:rPr>
        <w:t xml:space="preserve"> 包赔系统策划案</w:t>
      </w:r>
    </w:p>
    <w:bookmarkEnd w:id="0"/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创建（修改）人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2017.7.7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_Toc18426 </w:instrText>
      </w:r>
      <w:r>
        <w:fldChar w:fldCharType="separate"/>
      </w:r>
      <w:r>
        <w:rPr>
          <w:rFonts w:hint="eastAsia"/>
          <w:lang w:val="en-US" w:eastAsia="zh-CN"/>
        </w:rPr>
        <w:t xml:space="preserve"> 包赔系统策划案</w:t>
      </w:r>
      <w:r>
        <w:tab/>
      </w:r>
      <w:r>
        <w:fldChar w:fldCharType="begin"/>
      </w:r>
      <w:r>
        <w:instrText xml:space="preserve"> PAGEREF _Toc18426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_Toc11326 </w:instrText>
      </w:r>
      <w:r>
        <w:fldChar w:fldCharType="separate"/>
      </w:r>
      <w:r>
        <w:rPr>
          <w:rFonts w:hint="eastAsia"/>
          <w:lang w:val="en-US" w:eastAsia="zh-CN"/>
        </w:rPr>
        <w:t>1 系统简介</w:t>
      </w:r>
      <w:r>
        <w:tab/>
      </w:r>
      <w:r>
        <w:fldChar w:fldCharType="begin"/>
      </w:r>
      <w:r>
        <w:instrText xml:space="preserve"> PAGEREF _Toc11326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_Toc18421 </w:instrText>
      </w:r>
      <w:r>
        <w:fldChar w:fldCharType="separate"/>
      </w:r>
      <w:r>
        <w:rPr>
          <w:rFonts w:hint="eastAsia"/>
          <w:lang w:val="en-US" w:eastAsia="zh-CN"/>
        </w:rPr>
        <w:t>2 系统界面及功能</w:t>
      </w:r>
      <w:r>
        <w:tab/>
      </w:r>
      <w:r>
        <w:fldChar w:fldCharType="begin"/>
      </w:r>
      <w:r>
        <w:instrText xml:space="preserve"> PAGEREF _Toc18421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>
      <w:pPr>
        <w:pStyle w:val="3"/>
        <w:rPr>
          <w:rFonts w:hint="eastAsia"/>
          <w:lang w:val="en-US" w:eastAsia="zh-CN"/>
        </w:rPr>
      </w:pPr>
      <w:bookmarkStart w:id="1" w:name="_Toc11326"/>
      <w:r>
        <w:rPr>
          <w:rFonts w:hint="eastAsia"/>
          <w:lang w:val="en-US" w:eastAsia="zh-CN"/>
        </w:rPr>
        <w:t>1 系统简介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每一个首次充值的玩家都能获得一次购买 不中包赔的机会， 当玩家购买后会自动下注10次，在10次内没有拍中该商品时，将返回10拍币给玩家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8421"/>
      <w:r>
        <w:rPr>
          <w:rFonts w:hint="eastAsia"/>
          <w:lang w:val="en-US" w:eastAsia="zh-CN"/>
        </w:rPr>
        <w:t>2 系统界面及功能</w:t>
      </w:r>
      <w:bookmarkEnd w:id="2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85515" cy="47618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玩家点击主界面的</w:t>
      </w:r>
      <w:r>
        <w:rPr>
          <w:rFonts w:hint="eastAsia"/>
          <w:lang w:val="en-US" w:eastAsia="zh-CN"/>
        </w:rPr>
        <w:t>快捷菜单“包赔”按钮进入上图界面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包赔的物品由后台配置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玩家如果购买 连拍10次后，未拍到改商品则 直接返还10拍币到玩家账户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如果拍中，则扣除已消耗的拍币，将剩余的返还到玩家账号中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当玩家已经购买过 一次“包赔”后，则再点击“包赔”按钮弹出文字提示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“你已经购买过包赔了，无法再购买了”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（5）支付方式为 支付宝、微信支付、第三方支付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3855"/>
    <w:multiLevelType w:val="singleLevel"/>
    <w:tmpl w:val="5960385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51D63"/>
    <w:rsid w:val="039F6CBD"/>
    <w:rsid w:val="15CF56C8"/>
    <w:rsid w:val="185E7B56"/>
    <w:rsid w:val="4FFE056E"/>
    <w:rsid w:val="5BB67206"/>
    <w:rsid w:val="76AD0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2017-07-08T09:48:10Z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