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AE29F" w14:textId="69C5D1EC" w:rsidR="001A4A32" w:rsidRDefault="001A4A32" w:rsidP="006414F4">
      <w:pPr>
        <w:jc w:val="center"/>
      </w:pPr>
    </w:p>
    <w:p w14:paraId="2EB09E90" w14:textId="77777777" w:rsidR="006414F4" w:rsidRDefault="006414F4" w:rsidP="006414F4">
      <w:pPr>
        <w:jc w:val="center"/>
      </w:pPr>
    </w:p>
    <w:p w14:paraId="00C4FEA8" w14:textId="77777777" w:rsidR="006414F4" w:rsidRDefault="006414F4" w:rsidP="006414F4">
      <w:pPr>
        <w:jc w:val="center"/>
      </w:pPr>
    </w:p>
    <w:p w14:paraId="63B65738" w14:textId="77777777" w:rsidR="006414F4" w:rsidRDefault="006414F4" w:rsidP="006414F4">
      <w:pPr>
        <w:pStyle w:val="Title"/>
        <w:jc w:val="center"/>
        <w:rPr>
          <w:i/>
          <w:iCs/>
        </w:rPr>
      </w:pPr>
    </w:p>
    <w:p w14:paraId="72F0E4D6" w14:textId="653CFAE6" w:rsidR="006414F4" w:rsidRPr="00495318" w:rsidRDefault="006414F4" w:rsidP="006414F4">
      <w:pPr>
        <w:pStyle w:val="Title"/>
        <w:jc w:val="center"/>
      </w:pPr>
      <w:r w:rsidRPr="00495318">
        <w:t>Grocery Greedflation</w:t>
      </w:r>
    </w:p>
    <w:p w14:paraId="3A0A6935" w14:textId="40419459" w:rsidR="006414F4" w:rsidRDefault="00A13506" w:rsidP="006414F4">
      <w:pPr>
        <w:pStyle w:val="Heading1"/>
        <w:jc w:val="center"/>
      </w:pPr>
      <w:r>
        <w:t xml:space="preserve">Price gouging and </w:t>
      </w:r>
      <w:r w:rsidR="006414F4">
        <w:t>‘Covid-Collusion</w:t>
      </w:r>
      <w:r>
        <w:t xml:space="preserve">’ </w:t>
      </w:r>
      <w:r w:rsidR="006414F4" w:rsidRPr="006414F4">
        <w:t>in the food industr</w:t>
      </w:r>
      <w:r w:rsidR="006414F4">
        <w:t xml:space="preserve">y </w:t>
      </w:r>
    </w:p>
    <w:p w14:paraId="0D639C69" w14:textId="77777777" w:rsidR="006414F4" w:rsidRPr="006414F4" w:rsidRDefault="006414F4" w:rsidP="006414F4">
      <w:pPr>
        <w:pStyle w:val="Heading2"/>
      </w:pPr>
    </w:p>
    <w:p w14:paraId="51A07647" w14:textId="49DB9930" w:rsidR="006414F4" w:rsidRDefault="006414F4" w:rsidP="006414F4">
      <w:pPr>
        <w:pStyle w:val="Heading3"/>
        <w:jc w:val="center"/>
      </w:pPr>
      <w:r>
        <w:t>By Sam Toole</w:t>
      </w:r>
    </w:p>
    <w:p w14:paraId="2F927345" w14:textId="0B6D7ABF" w:rsidR="006414F4" w:rsidRDefault="006414F4" w:rsidP="006414F4">
      <w:pPr>
        <w:pStyle w:val="Heading3"/>
        <w:jc w:val="center"/>
      </w:pPr>
      <w:r>
        <w:t>ECON 6760 – Causal inference in time series models</w:t>
      </w:r>
    </w:p>
    <w:p w14:paraId="6F57AD74" w14:textId="2FADC106" w:rsidR="006414F4" w:rsidRDefault="006414F4" w:rsidP="006414F4">
      <w:pPr>
        <w:pStyle w:val="Heading3"/>
        <w:jc w:val="center"/>
      </w:pPr>
      <w:r>
        <w:t>May 8</w:t>
      </w:r>
      <w:r w:rsidRPr="006414F4">
        <w:rPr>
          <w:vertAlign w:val="superscript"/>
        </w:rPr>
        <w:t>th</w:t>
      </w:r>
      <w:r>
        <w:t>, 2024</w:t>
      </w:r>
    </w:p>
    <w:p w14:paraId="044B9EC6" w14:textId="77777777" w:rsidR="006414F4" w:rsidRDefault="006414F4" w:rsidP="006414F4"/>
    <w:p w14:paraId="284FE6D1" w14:textId="77777777" w:rsidR="006414F4" w:rsidRDefault="006414F4" w:rsidP="006414F4"/>
    <w:p w14:paraId="44F67353" w14:textId="71085556" w:rsidR="006414F4" w:rsidRDefault="006414F4" w:rsidP="006414F4"/>
    <w:p w14:paraId="67BEB130" w14:textId="77777777" w:rsidR="006414F4" w:rsidRDefault="006414F4">
      <w:pPr>
        <w:spacing w:after="200" w:line="276" w:lineRule="auto"/>
      </w:pPr>
      <w:r>
        <w:br w:type="page"/>
      </w:r>
    </w:p>
    <w:p w14:paraId="1A8B6758" w14:textId="409417A7" w:rsidR="006414F4" w:rsidRDefault="0087420E" w:rsidP="0087420E">
      <w:pPr>
        <w:pStyle w:val="Heading1"/>
      </w:pPr>
      <w:r>
        <w:lastRenderedPageBreak/>
        <w:t>Motivation and Data</w:t>
      </w:r>
    </w:p>
    <w:p w14:paraId="47D14E01" w14:textId="77777777" w:rsidR="0087420E" w:rsidRDefault="0087420E" w:rsidP="0087420E"/>
    <w:p w14:paraId="6DB9F05F" w14:textId="45AEDF8C" w:rsidR="004B0AC8" w:rsidRDefault="0087420E" w:rsidP="0087420E">
      <w:pPr>
        <w:rPr>
          <w:sz w:val="22"/>
          <w:szCs w:val="24"/>
        </w:rPr>
      </w:pPr>
      <w:r w:rsidRPr="0087420E">
        <w:rPr>
          <w:sz w:val="22"/>
          <w:szCs w:val="24"/>
        </w:rPr>
        <w:t xml:space="preserve">In the wake of the COVID-19 pandemic, the world witnessed an unprecedented upheaval in various sectors, </w:t>
      </w:r>
      <w:r w:rsidR="005F4A34">
        <w:rPr>
          <w:sz w:val="22"/>
          <w:szCs w:val="24"/>
        </w:rPr>
        <w:t>a</w:t>
      </w:r>
      <w:r w:rsidR="004F528C">
        <w:rPr>
          <w:sz w:val="22"/>
          <w:szCs w:val="24"/>
        </w:rPr>
        <w:t>nd</w:t>
      </w:r>
      <w:r>
        <w:rPr>
          <w:sz w:val="22"/>
          <w:szCs w:val="24"/>
        </w:rPr>
        <w:t xml:space="preserve"> many previously accepted theories of economics </w:t>
      </w:r>
      <w:r w:rsidR="005F4A34">
        <w:rPr>
          <w:sz w:val="22"/>
          <w:szCs w:val="24"/>
        </w:rPr>
        <w:t xml:space="preserve">began to unravel. </w:t>
      </w:r>
      <w:r w:rsidR="004F528C">
        <w:rPr>
          <w:sz w:val="22"/>
          <w:szCs w:val="24"/>
        </w:rPr>
        <w:t>Supply chains collapsed</w:t>
      </w:r>
      <w:r w:rsidR="005F4A34">
        <w:rPr>
          <w:sz w:val="22"/>
          <w:szCs w:val="24"/>
        </w:rPr>
        <w:t xml:space="preserve">, money was pumped into the economy, and </w:t>
      </w:r>
      <w:r w:rsidR="004F528C">
        <w:rPr>
          <w:sz w:val="22"/>
          <w:szCs w:val="24"/>
        </w:rPr>
        <w:t xml:space="preserve">inflation </w:t>
      </w:r>
      <w:r w:rsidR="004B0AC8">
        <w:rPr>
          <w:sz w:val="22"/>
          <w:szCs w:val="24"/>
        </w:rPr>
        <w:t xml:space="preserve">soared. These factors </w:t>
      </w:r>
      <w:r w:rsidR="005F4A34">
        <w:rPr>
          <w:sz w:val="22"/>
          <w:szCs w:val="24"/>
        </w:rPr>
        <w:t xml:space="preserve">all </w:t>
      </w:r>
      <w:r w:rsidR="004B0AC8">
        <w:rPr>
          <w:sz w:val="22"/>
          <w:szCs w:val="24"/>
        </w:rPr>
        <w:t>helped</w:t>
      </w:r>
      <w:r w:rsidR="005F4A34">
        <w:rPr>
          <w:sz w:val="22"/>
          <w:szCs w:val="24"/>
        </w:rPr>
        <w:t xml:space="preserve"> to </w:t>
      </w:r>
      <w:r w:rsidR="004B0AC8">
        <w:rPr>
          <w:sz w:val="22"/>
          <w:szCs w:val="24"/>
        </w:rPr>
        <w:t xml:space="preserve">contribute to </w:t>
      </w:r>
      <w:r w:rsidR="005F4A34">
        <w:rPr>
          <w:sz w:val="22"/>
          <w:szCs w:val="24"/>
        </w:rPr>
        <w:t>rising prices across the board. The effects were felt by all consumers, but nowhere was it more obvious than in the grocery store. In the last four years, grocery prices are up a</w:t>
      </w:r>
      <w:r w:rsidR="004B0AC8">
        <w:rPr>
          <w:sz w:val="22"/>
          <w:szCs w:val="24"/>
        </w:rPr>
        <w:t xml:space="preserve"> </w:t>
      </w:r>
      <w:r w:rsidR="005F4A34">
        <w:rPr>
          <w:sz w:val="22"/>
          <w:szCs w:val="24"/>
        </w:rPr>
        <w:t>staggering 30% from pre-pandemic levels, outpacing both the growth of real wages and the increase</w:t>
      </w:r>
      <w:r w:rsidR="004B0AC8">
        <w:rPr>
          <w:sz w:val="22"/>
          <w:szCs w:val="24"/>
        </w:rPr>
        <w:t xml:space="preserve"> in input costs for</w:t>
      </w:r>
      <w:r w:rsidR="005F4A34">
        <w:rPr>
          <w:sz w:val="22"/>
          <w:szCs w:val="24"/>
        </w:rPr>
        <w:t xml:space="preserve"> food manufactures. </w:t>
      </w:r>
      <w:r w:rsidR="004B0AC8">
        <w:rPr>
          <w:sz w:val="22"/>
          <w:szCs w:val="24"/>
        </w:rPr>
        <w:t>These heightened prices had a</w:t>
      </w:r>
      <w:r w:rsidR="00682A2D">
        <w:rPr>
          <w:sz w:val="22"/>
          <w:szCs w:val="24"/>
        </w:rPr>
        <w:t xml:space="preserve">n immediate effect on the public, with food insecurity </w:t>
      </w:r>
      <w:hyperlink r:id="rId7" w:history="1">
        <w:r w:rsidR="00682A2D" w:rsidRPr="003B6E06">
          <w:rPr>
            <w:rStyle w:val="Hyperlink"/>
            <w:sz w:val="22"/>
            <w:szCs w:val="24"/>
          </w:rPr>
          <w:t>rising 12%</w:t>
        </w:r>
      </w:hyperlink>
      <w:r w:rsidR="00682A2D">
        <w:rPr>
          <w:sz w:val="22"/>
          <w:szCs w:val="24"/>
        </w:rPr>
        <w:t xml:space="preserve"> in the last year</w:t>
      </w:r>
      <w:r w:rsidR="004322A6">
        <w:rPr>
          <w:sz w:val="22"/>
          <w:szCs w:val="24"/>
        </w:rPr>
        <w:t xml:space="preserve"> alone</w:t>
      </w:r>
      <w:r w:rsidR="00682A2D">
        <w:rPr>
          <w:sz w:val="22"/>
          <w:szCs w:val="24"/>
        </w:rPr>
        <w:t xml:space="preserve">, and food prices being cited as consumers </w:t>
      </w:r>
      <w:hyperlink r:id="rId8" w:history="1">
        <w:r w:rsidR="00682A2D" w:rsidRPr="003B6E06">
          <w:rPr>
            <w:rStyle w:val="Hyperlink"/>
            <w:sz w:val="22"/>
            <w:szCs w:val="24"/>
          </w:rPr>
          <w:t>number one economic concern.</w:t>
        </w:r>
      </w:hyperlink>
    </w:p>
    <w:p w14:paraId="387D9893" w14:textId="6B5D9690" w:rsidR="00682A2D" w:rsidRDefault="00944B33" w:rsidP="0087420E">
      <w:pPr>
        <w:rPr>
          <w:sz w:val="22"/>
          <w:szCs w:val="24"/>
        </w:rPr>
      </w:pPr>
      <w:r>
        <w:rPr>
          <w:sz w:val="22"/>
          <w:szCs w:val="24"/>
        </w:rPr>
        <w:t xml:space="preserve">As </w:t>
      </w:r>
      <w:r w:rsidR="00682A2D" w:rsidRPr="004409BF">
        <w:rPr>
          <w:sz w:val="22"/>
          <w:szCs w:val="24"/>
        </w:rPr>
        <w:t>household budgets</w:t>
      </w:r>
      <w:r>
        <w:rPr>
          <w:sz w:val="22"/>
          <w:szCs w:val="24"/>
        </w:rPr>
        <w:t xml:space="preserve"> become more and more strained</w:t>
      </w:r>
      <w:r w:rsidR="00682A2D" w:rsidRPr="004409BF">
        <w:rPr>
          <w:sz w:val="22"/>
          <w:szCs w:val="24"/>
        </w:rPr>
        <w:t xml:space="preserve">, the </w:t>
      </w:r>
      <w:r w:rsidR="00682A2D">
        <w:rPr>
          <w:sz w:val="22"/>
          <w:szCs w:val="24"/>
        </w:rPr>
        <w:t>relationship</w:t>
      </w:r>
      <w:r w:rsidR="00682A2D" w:rsidRPr="004409BF">
        <w:rPr>
          <w:sz w:val="22"/>
          <w:szCs w:val="24"/>
        </w:rPr>
        <w:t xml:space="preserve"> between the rising cost of groceries and the </w:t>
      </w:r>
      <w:hyperlink r:id="rId9" w:history="1">
        <w:r w:rsidR="00682A2D" w:rsidRPr="003B6E06">
          <w:rPr>
            <w:rStyle w:val="Hyperlink"/>
            <w:sz w:val="22"/>
            <w:szCs w:val="24"/>
          </w:rPr>
          <w:t>soaring profits</w:t>
        </w:r>
      </w:hyperlink>
      <w:r w:rsidR="00682A2D" w:rsidRPr="004409BF">
        <w:rPr>
          <w:sz w:val="22"/>
          <w:szCs w:val="24"/>
        </w:rPr>
        <w:t xml:space="preserve"> of grocery corporations becomes a focal point of concern. As consumers grapple with the reality of shrinking purchasing power, questions </w:t>
      </w:r>
      <w:r w:rsidR="0081586F">
        <w:rPr>
          <w:sz w:val="22"/>
          <w:szCs w:val="24"/>
        </w:rPr>
        <w:t xml:space="preserve">have </w:t>
      </w:r>
      <w:r w:rsidR="00682A2D" w:rsidRPr="004409BF">
        <w:rPr>
          <w:sz w:val="22"/>
          <w:szCs w:val="24"/>
        </w:rPr>
        <w:t>arise</w:t>
      </w:r>
      <w:r w:rsidR="0081586F">
        <w:rPr>
          <w:sz w:val="22"/>
          <w:szCs w:val="24"/>
        </w:rPr>
        <w:t>n</w:t>
      </w:r>
      <w:r w:rsidR="00682A2D" w:rsidRPr="004409BF">
        <w:rPr>
          <w:sz w:val="22"/>
          <w:szCs w:val="24"/>
        </w:rPr>
        <w:t xml:space="preserve"> regarding the ethical implications of profit-maximizing strategies employed by </w:t>
      </w:r>
      <w:r w:rsidR="009A1F6C" w:rsidRPr="004409BF">
        <w:rPr>
          <w:sz w:val="22"/>
          <w:szCs w:val="24"/>
        </w:rPr>
        <w:t>corporations</w:t>
      </w:r>
      <w:r w:rsidR="009A1F6C">
        <w:rPr>
          <w:sz w:val="22"/>
          <w:szCs w:val="24"/>
        </w:rPr>
        <w:t>, especially</w:t>
      </w:r>
      <w:r w:rsidR="00682A2D" w:rsidRPr="004409BF">
        <w:rPr>
          <w:sz w:val="22"/>
          <w:szCs w:val="24"/>
        </w:rPr>
        <w:t xml:space="preserve"> in times of crisis. Moreover, the widening gap between corporate gains and consumer hardships underscores broader systemic issues of income inequality and corporate responsibility.</w:t>
      </w:r>
    </w:p>
    <w:p w14:paraId="6AD662DA" w14:textId="6428312E" w:rsidR="004409BF" w:rsidRDefault="004409BF" w:rsidP="0087420E">
      <w:pPr>
        <w:rPr>
          <w:sz w:val="22"/>
          <w:szCs w:val="24"/>
        </w:rPr>
      </w:pPr>
      <w:r w:rsidRPr="004409BF">
        <w:rPr>
          <w:sz w:val="22"/>
          <w:szCs w:val="24"/>
        </w:rPr>
        <w:t>The theory of seller's inflation encapsulates the dynamic where firms increase prices at a rate faster than their costs are rising, leading to a net increase in profits. In essence, it represents a scenario where sellers hold significant pricing power in the market, allowing them to capitalize on increased demand or reduced competition to bolster their bottom line.</w:t>
      </w:r>
      <w:r w:rsidR="003B6E06">
        <w:rPr>
          <w:sz w:val="22"/>
          <w:szCs w:val="24"/>
        </w:rPr>
        <w:t xml:space="preserve"> The food industry is a highly concentrated market, and thus has a high potential for tactics such as seller’s inflation and </w:t>
      </w:r>
      <w:r w:rsidR="00F17656">
        <w:rPr>
          <w:sz w:val="22"/>
          <w:szCs w:val="24"/>
        </w:rPr>
        <w:t>price gouging, especially in the wake of an event like a pandemic</w:t>
      </w:r>
      <w:r w:rsidR="003B6E06">
        <w:rPr>
          <w:sz w:val="22"/>
          <w:szCs w:val="24"/>
        </w:rPr>
        <w:t xml:space="preserve">. </w:t>
      </w:r>
    </w:p>
    <w:p w14:paraId="66C5C842" w14:textId="512A4BD7" w:rsidR="008E4C95" w:rsidRDefault="00B92779" w:rsidP="0087420E">
      <w:pPr>
        <w:rPr>
          <w:sz w:val="22"/>
          <w:szCs w:val="24"/>
        </w:rPr>
      </w:pPr>
      <w:r w:rsidRPr="00B92779">
        <w:rPr>
          <w:sz w:val="22"/>
          <w:szCs w:val="24"/>
        </w:rPr>
        <w:t xml:space="preserve">The variables in this analysis are the Consumer Price Index (CPI) </w:t>
      </w:r>
      <w:hyperlink r:id="rId10" w:history="1">
        <w:r w:rsidRPr="00B92779">
          <w:rPr>
            <w:rStyle w:val="Hyperlink"/>
            <w:sz w:val="22"/>
            <w:szCs w:val="24"/>
          </w:rPr>
          <w:t>for food</w:t>
        </w:r>
      </w:hyperlink>
      <w:r w:rsidR="0045257A">
        <w:rPr>
          <w:sz w:val="22"/>
          <w:szCs w:val="24"/>
        </w:rPr>
        <w:t>,</w:t>
      </w:r>
      <w:r w:rsidRPr="00B92779">
        <w:rPr>
          <w:sz w:val="22"/>
          <w:szCs w:val="24"/>
        </w:rPr>
        <w:t xml:space="preserve"> and the Producer Price Index (PPI) </w:t>
      </w:r>
      <w:hyperlink r:id="rId11" w:history="1">
        <w:r w:rsidRPr="00B92779">
          <w:rPr>
            <w:rStyle w:val="Hyperlink"/>
            <w:sz w:val="22"/>
            <w:szCs w:val="24"/>
          </w:rPr>
          <w:t>for food manufacturers</w:t>
        </w:r>
      </w:hyperlink>
      <w:r w:rsidRPr="00B92779">
        <w:rPr>
          <w:sz w:val="22"/>
          <w:szCs w:val="24"/>
        </w:rPr>
        <w:t xml:space="preserve"> in the United States. The CPI </w:t>
      </w:r>
      <w:r w:rsidR="00944B33">
        <w:rPr>
          <w:sz w:val="22"/>
          <w:szCs w:val="24"/>
        </w:rPr>
        <w:t xml:space="preserve">for food </w:t>
      </w:r>
      <w:r w:rsidRPr="00B92779">
        <w:rPr>
          <w:sz w:val="22"/>
          <w:szCs w:val="24"/>
        </w:rPr>
        <w:t>measures the average change over time in the prices paid by consumers for a market basket of</w:t>
      </w:r>
      <w:r w:rsidR="00944B33">
        <w:rPr>
          <w:sz w:val="22"/>
          <w:szCs w:val="24"/>
        </w:rPr>
        <w:t xml:space="preserve"> </w:t>
      </w:r>
      <w:r w:rsidRPr="00B92779">
        <w:rPr>
          <w:sz w:val="22"/>
          <w:szCs w:val="24"/>
        </w:rPr>
        <w:t>food</w:t>
      </w:r>
      <w:r w:rsidR="00944B33">
        <w:rPr>
          <w:sz w:val="22"/>
          <w:szCs w:val="24"/>
        </w:rPr>
        <w:t xml:space="preserve"> and other necessities that may be purchased at a grocery store</w:t>
      </w:r>
      <w:r w:rsidRPr="00B92779">
        <w:rPr>
          <w:sz w:val="22"/>
          <w:szCs w:val="24"/>
        </w:rPr>
        <w:t>. The PPI for food manufacturers, on the other hand, measures the average change over time in the selling prices received by domestic producers for their output of food products.</w:t>
      </w:r>
      <w:r>
        <w:rPr>
          <w:sz w:val="22"/>
          <w:szCs w:val="24"/>
        </w:rPr>
        <w:t xml:space="preserve"> </w:t>
      </w:r>
      <w:r w:rsidR="008E4C95">
        <w:rPr>
          <w:sz w:val="22"/>
          <w:szCs w:val="24"/>
        </w:rPr>
        <w:t xml:space="preserve">I pulled data directly from the FRED website </w:t>
      </w:r>
      <w:r w:rsidR="008E6D95">
        <w:rPr>
          <w:sz w:val="22"/>
          <w:szCs w:val="24"/>
        </w:rPr>
        <w:t xml:space="preserve">for my analysis. </w:t>
      </w:r>
      <w:r w:rsidR="00AF12FA">
        <w:rPr>
          <w:sz w:val="22"/>
          <w:szCs w:val="24"/>
        </w:rPr>
        <w:t xml:space="preserve">The data sample is from November </w:t>
      </w:r>
      <w:r w:rsidR="008E6D95">
        <w:rPr>
          <w:sz w:val="22"/>
          <w:szCs w:val="24"/>
        </w:rPr>
        <w:t>1997 through March of 2024</w:t>
      </w:r>
      <w:r w:rsidR="00AF12FA">
        <w:rPr>
          <w:sz w:val="22"/>
          <w:szCs w:val="24"/>
        </w:rPr>
        <w:t>, with a base year of with 1984</w:t>
      </w:r>
      <w:r w:rsidR="008E6D95">
        <w:rPr>
          <w:sz w:val="22"/>
          <w:szCs w:val="24"/>
        </w:rPr>
        <w:t xml:space="preserve">. </w:t>
      </w:r>
    </w:p>
    <w:p w14:paraId="43144A61" w14:textId="1806F733" w:rsidR="00AF12FA" w:rsidRDefault="00B92779" w:rsidP="0087420E">
      <w:pPr>
        <w:rPr>
          <w:sz w:val="22"/>
          <w:szCs w:val="24"/>
        </w:rPr>
      </w:pPr>
      <w:r>
        <w:rPr>
          <w:sz w:val="22"/>
          <w:szCs w:val="24"/>
        </w:rPr>
        <w:t xml:space="preserve">The relationship between these variables is intuitive, as higher costs facing producers will no doubt drive prices up for consumers. </w:t>
      </w:r>
      <w:r w:rsidR="009D70FD">
        <w:rPr>
          <w:sz w:val="22"/>
          <w:szCs w:val="24"/>
        </w:rPr>
        <w:t>S</w:t>
      </w:r>
      <w:r>
        <w:rPr>
          <w:sz w:val="22"/>
          <w:szCs w:val="24"/>
        </w:rPr>
        <w:t>ince the pandemic,</w:t>
      </w:r>
      <w:r w:rsidR="009D70FD">
        <w:rPr>
          <w:sz w:val="22"/>
          <w:szCs w:val="24"/>
        </w:rPr>
        <w:t xml:space="preserve"> however,</w:t>
      </w:r>
      <w:r>
        <w:rPr>
          <w:sz w:val="22"/>
          <w:szCs w:val="24"/>
        </w:rPr>
        <w:t xml:space="preserve"> different trends have been emerging in this relationship that suggest manufactures may have altered their typical strategies.</w:t>
      </w:r>
      <w:r w:rsidR="009D70FD">
        <w:rPr>
          <w:sz w:val="22"/>
          <w:szCs w:val="24"/>
        </w:rPr>
        <w:t xml:space="preserve"> As input prices have leveled out, the CPI continues to rise, suggesting manufactures are passing higher prices onto consumers simply because they can. Increasing prices faster than costs are rising is the essence of sellers’ inflation, and this practice can be harmful to the American consumer and disproportionately affect lower income populations. </w:t>
      </w:r>
    </w:p>
    <w:p w14:paraId="5E46273B" w14:textId="77777777" w:rsidR="00AF12FA" w:rsidRDefault="00AF12FA">
      <w:pPr>
        <w:spacing w:after="200" w:line="276" w:lineRule="auto"/>
        <w:rPr>
          <w:sz w:val="22"/>
          <w:szCs w:val="24"/>
        </w:rPr>
      </w:pPr>
      <w:r>
        <w:rPr>
          <w:sz w:val="22"/>
          <w:szCs w:val="24"/>
        </w:rPr>
        <w:br w:type="page"/>
      </w:r>
    </w:p>
    <w:p w14:paraId="06FE4729" w14:textId="63FC9129" w:rsidR="00A238A2" w:rsidRDefault="004C722B" w:rsidP="004C722B">
      <w:pPr>
        <w:pStyle w:val="Heading1"/>
      </w:pPr>
      <w:r>
        <w:lastRenderedPageBreak/>
        <w:t>Data</w:t>
      </w:r>
      <w:r w:rsidR="00A238A2">
        <w:t>set</w:t>
      </w:r>
    </w:p>
    <w:p w14:paraId="6DD87208" w14:textId="77777777" w:rsidR="00A238A2" w:rsidRPr="00A238A2" w:rsidRDefault="00A238A2" w:rsidP="00A238A2"/>
    <w:p w14:paraId="63C858E3" w14:textId="194E3E84" w:rsidR="00AF12FA" w:rsidRDefault="00F5376F" w:rsidP="004C722B">
      <w:pPr>
        <w:pStyle w:val="Heading1"/>
      </w:pPr>
      <w:r>
        <w:rPr>
          <w:noProof/>
          <w:sz w:val="22"/>
          <w:szCs w:val="24"/>
        </w:rPr>
        <mc:AlternateContent>
          <mc:Choice Requires="wps">
            <w:drawing>
              <wp:anchor distT="0" distB="0" distL="114300" distR="114300" simplePos="0" relativeHeight="251659266" behindDoc="0" locked="0" layoutInCell="1" allowOverlap="1" wp14:anchorId="69C1131C" wp14:editId="0AEECEF1">
                <wp:simplePos x="0" y="0"/>
                <wp:positionH relativeFrom="column">
                  <wp:posOffset>5332730</wp:posOffset>
                </wp:positionH>
                <wp:positionV relativeFrom="paragraph">
                  <wp:posOffset>1493210</wp:posOffset>
                </wp:positionV>
                <wp:extent cx="480592" cy="119085"/>
                <wp:effectExtent l="0" t="0" r="15240" b="8255"/>
                <wp:wrapNone/>
                <wp:docPr id="1931195848" name="Rectangle 3"/>
                <wp:cNvGraphicFramePr/>
                <a:graphic xmlns:a="http://schemas.openxmlformats.org/drawingml/2006/main">
                  <a:graphicData uri="http://schemas.microsoft.com/office/word/2010/wordprocessingShape">
                    <wps:wsp>
                      <wps:cNvSpPr/>
                      <wps:spPr>
                        <a:xfrm>
                          <a:off x="0" y="0"/>
                          <a:ext cx="480592" cy="11908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5D699" id="Rectangle 3" o:spid="_x0000_s1026" style="position:absolute;margin-left:419.9pt;margin-top:117.6pt;width:37.85pt;height:9.4pt;z-index:251659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" fillcolor="white [3212]" strokecolor="white [3212]" strokeweight="1pt"/>
            </w:pict>
          </mc:Fallback>
        </mc:AlternateContent>
      </w:r>
      <w:r w:rsidR="00A238A2">
        <w:rPr>
          <w:noProof/>
          <w:sz w:val="22"/>
          <w:szCs w:val="24"/>
        </w:rPr>
        <w:drawing>
          <wp:inline distT="0" distB="0" distL="0" distR="0" wp14:anchorId="573DA7C7" wp14:editId="70712483">
            <wp:extent cx="5943600" cy="3402330"/>
            <wp:effectExtent l="12700" t="12700" r="12700" b="13970"/>
            <wp:docPr id="1333404629" name="Picture 8" descr="A graph of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04629" name="Picture 8" descr="A graph of a pri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02330"/>
                    </a:xfrm>
                    <a:prstGeom prst="rect">
                      <a:avLst/>
                    </a:prstGeom>
                    <a:ln>
                      <a:solidFill>
                        <a:schemeClr val="tx2"/>
                      </a:solidFill>
                    </a:ln>
                    <a:effectLst>
                      <a:softEdge rad="0"/>
                    </a:effectLst>
                  </pic:spPr>
                </pic:pic>
              </a:graphicData>
            </a:graphic>
          </wp:inline>
        </w:drawing>
      </w:r>
      <w:r w:rsidR="00AF12FA">
        <w:br w:type="page"/>
      </w:r>
    </w:p>
    <w:p w14:paraId="039B39E9" w14:textId="52AC389E" w:rsidR="00C43B7B" w:rsidRPr="00F73ED2" w:rsidRDefault="00C43B7B" w:rsidP="00F73ED2">
      <w:pPr>
        <w:pStyle w:val="Heading1"/>
      </w:pPr>
      <w:r>
        <w:lastRenderedPageBreak/>
        <w:t xml:space="preserve">ARDL Model </w:t>
      </w:r>
    </w:p>
    <w:p w14:paraId="29633CFD" w14:textId="77777777" w:rsidR="00AF6D73" w:rsidRDefault="00AF6D73" w:rsidP="00AF6D73">
      <w:pPr>
        <w:rPr>
          <w:sz w:val="22"/>
          <w:szCs w:val="24"/>
        </w:rPr>
      </w:pPr>
    </w:p>
    <w:p w14:paraId="097824CF" w14:textId="06B3132B" w:rsidR="00AF6D73" w:rsidRPr="00705FFF" w:rsidRDefault="00AF6D73" w:rsidP="00C43B7B">
      <w:pPr>
        <w:rPr>
          <w:sz w:val="22"/>
        </w:rPr>
      </w:pPr>
      <w:r w:rsidRPr="00705FFF">
        <w:rPr>
          <w:sz w:val="22"/>
        </w:rPr>
        <w:t xml:space="preserve">I chose to examine the effect of prices facing manufacturers on the prices consumers receive in the grocery store, thus the PPI is my </w:t>
      </w:r>
      <w:r w:rsidRPr="00705FFF">
        <w:rPr>
          <w:i/>
          <w:iCs/>
          <w:sz w:val="22"/>
        </w:rPr>
        <w:t>x</w:t>
      </w:r>
      <w:r w:rsidRPr="00705FFF">
        <w:rPr>
          <w:i/>
          <w:iCs/>
          <w:sz w:val="22"/>
          <w:vertAlign w:val="subscript"/>
        </w:rPr>
        <w:t xml:space="preserve">T  </w:t>
      </w:r>
      <w:r w:rsidRPr="00705FFF">
        <w:rPr>
          <w:sz w:val="22"/>
        </w:rPr>
        <w:t xml:space="preserve">and </w:t>
      </w:r>
      <w:r w:rsidR="00944B33">
        <w:rPr>
          <w:sz w:val="22"/>
        </w:rPr>
        <w:t xml:space="preserve">the </w:t>
      </w:r>
      <w:r w:rsidRPr="00705FFF">
        <w:rPr>
          <w:sz w:val="22"/>
        </w:rPr>
        <w:t xml:space="preserve">CPI is my </w:t>
      </w:r>
      <w:r w:rsidRPr="00705FFF">
        <w:rPr>
          <w:i/>
          <w:iCs/>
          <w:sz w:val="22"/>
        </w:rPr>
        <w:t>y</w:t>
      </w:r>
      <w:r w:rsidRPr="00705FFF">
        <w:rPr>
          <w:i/>
          <w:iCs/>
          <w:sz w:val="22"/>
          <w:vertAlign w:val="subscript"/>
        </w:rPr>
        <w:t>t</w:t>
      </w:r>
      <w:r w:rsidRPr="00705FFF">
        <w:rPr>
          <w:sz w:val="22"/>
        </w:rPr>
        <w:t xml:space="preserve">. </w:t>
      </w:r>
      <w:r w:rsidR="008E3338" w:rsidRPr="00705FFF">
        <w:rPr>
          <w:sz w:val="22"/>
        </w:rPr>
        <w:t>I also include a single lag on each variable,</w:t>
      </w:r>
      <w:r w:rsidR="001D587C" w:rsidRPr="00705FFF">
        <w:rPr>
          <w:sz w:val="22"/>
        </w:rPr>
        <w:t xml:space="preserve"> and a constant and error term. M</w:t>
      </w:r>
      <w:r w:rsidR="008E3338" w:rsidRPr="00705FFF">
        <w:rPr>
          <w:sz w:val="22"/>
        </w:rPr>
        <w:t>y model is as follows:</w:t>
      </w:r>
    </w:p>
    <w:p w14:paraId="0F3EF33F" w14:textId="1E480A84" w:rsidR="008E3338" w:rsidRDefault="008E3338" w:rsidP="008E3338">
      <w:pPr>
        <w:jc w:val="center"/>
        <w:rPr>
          <w:rFonts w:ascii="Times" w:hAnsi="Times"/>
          <w:sz w:val="22"/>
          <w:szCs w:val="24"/>
        </w:rPr>
      </w:pPr>
      <w:r w:rsidRPr="008E3338">
        <w:rPr>
          <w:rFonts w:ascii="Times" w:hAnsi="Times"/>
          <w:i/>
          <w:iCs/>
          <w:sz w:val="22"/>
          <w:szCs w:val="24"/>
        </w:rPr>
        <w:t>y</w:t>
      </w:r>
      <w:r w:rsidRPr="008E3338">
        <w:rPr>
          <w:rFonts w:ascii="Times" w:hAnsi="Times"/>
          <w:i/>
          <w:iCs/>
          <w:sz w:val="22"/>
          <w:szCs w:val="24"/>
          <w:vertAlign w:val="subscript"/>
        </w:rPr>
        <w:t>t</w:t>
      </w:r>
      <w:r w:rsidRPr="008E3338">
        <w:rPr>
          <w:rFonts w:ascii="Times" w:hAnsi="Times"/>
          <w:sz w:val="22"/>
          <w:szCs w:val="24"/>
          <w:vertAlign w:val="subscript"/>
        </w:rPr>
        <w:t xml:space="preserve"> </w:t>
      </w:r>
      <w:r w:rsidRPr="008E3338">
        <w:rPr>
          <w:rFonts w:ascii="Times" w:hAnsi="Times"/>
          <w:sz w:val="22"/>
          <w:szCs w:val="24"/>
        </w:rPr>
        <w:t>= β</w:t>
      </w:r>
      <w:r w:rsidRPr="008E3338">
        <w:rPr>
          <w:rFonts w:ascii="Times" w:hAnsi="Times"/>
          <w:sz w:val="22"/>
          <w:szCs w:val="24"/>
          <w:vertAlign w:val="subscript"/>
        </w:rPr>
        <w:t>0</w:t>
      </w:r>
      <w:r w:rsidRPr="008E3338">
        <w:rPr>
          <w:rFonts w:ascii="Times" w:hAnsi="Times"/>
          <w:sz w:val="22"/>
          <w:szCs w:val="24"/>
        </w:rPr>
        <w:t xml:space="preserve"> + β</w:t>
      </w:r>
      <w:r w:rsidRPr="008E3338">
        <w:rPr>
          <w:rFonts w:ascii="Times" w:hAnsi="Times"/>
          <w:sz w:val="22"/>
          <w:szCs w:val="24"/>
          <w:vertAlign w:val="subscript"/>
        </w:rPr>
        <w:t>1</w:t>
      </w:r>
      <w:r w:rsidRPr="008E3338">
        <w:rPr>
          <w:rFonts w:ascii="Times" w:hAnsi="Times"/>
          <w:i/>
          <w:iCs/>
          <w:sz w:val="22"/>
          <w:szCs w:val="24"/>
        </w:rPr>
        <w:t>y</w:t>
      </w:r>
      <w:r w:rsidRPr="008E3338">
        <w:rPr>
          <w:rFonts w:ascii="Times" w:hAnsi="Times"/>
          <w:i/>
          <w:iCs/>
          <w:sz w:val="22"/>
          <w:szCs w:val="24"/>
          <w:vertAlign w:val="subscript"/>
        </w:rPr>
        <w:t>t</w:t>
      </w:r>
      <w:r w:rsidRPr="00705FFF">
        <w:rPr>
          <w:rFonts w:ascii="Times" w:hAnsi="Times"/>
          <w:sz w:val="22"/>
          <w:szCs w:val="24"/>
          <w:vertAlign w:val="subscript"/>
        </w:rPr>
        <w:t>-1</w:t>
      </w:r>
      <w:r w:rsidRPr="008E3338">
        <w:rPr>
          <w:rFonts w:ascii="Times" w:hAnsi="Times"/>
          <w:sz w:val="22"/>
          <w:szCs w:val="24"/>
        </w:rPr>
        <w:t xml:space="preserve"> + β</w:t>
      </w:r>
      <w:r w:rsidRPr="008E3338">
        <w:rPr>
          <w:rFonts w:ascii="Times" w:hAnsi="Times"/>
          <w:sz w:val="22"/>
          <w:szCs w:val="24"/>
          <w:vertAlign w:val="subscript"/>
        </w:rPr>
        <w:t>2</w:t>
      </w:r>
      <w:r w:rsidRPr="008E3338">
        <w:rPr>
          <w:rFonts w:ascii="Times" w:hAnsi="Times"/>
          <w:i/>
          <w:iCs/>
          <w:sz w:val="22"/>
          <w:szCs w:val="24"/>
        </w:rPr>
        <w:t>x</w:t>
      </w:r>
      <w:r w:rsidRPr="008E3338">
        <w:rPr>
          <w:rFonts w:ascii="Times" w:hAnsi="Times"/>
          <w:sz w:val="22"/>
          <w:szCs w:val="24"/>
          <w:vertAlign w:val="subscript"/>
        </w:rPr>
        <w:t xml:space="preserve">t </w:t>
      </w:r>
      <w:r w:rsidRPr="008E3338">
        <w:rPr>
          <w:rFonts w:ascii="Times" w:hAnsi="Times"/>
          <w:sz w:val="22"/>
          <w:szCs w:val="24"/>
        </w:rPr>
        <w:t>+ β</w:t>
      </w:r>
      <w:r w:rsidRPr="008E3338">
        <w:rPr>
          <w:rFonts w:ascii="Times" w:hAnsi="Times"/>
          <w:sz w:val="22"/>
          <w:szCs w:val="24"/>
          <w:vertAlign w:val="subscript"/>
        </w:rPr>
        <w:t>3</w:t>
      </w:r>
      <w:r w:rsidRPr="008E3338">
        <w:rPr>
          <w:rFonts w:ascii="Times" w:hAnsi="Times"/>
          <w:i/>
          <w:iCs/>
          <w:sz w:val="22"/>
          <w:szCs w:val="24"/>
        </w:rPr>
        <w:t>x</w:t>
      </w:r>
      <w:r w:rsidRPr="008E3338">
        <w:rPr>
          <w:rFonts w:ascii="Times" w:hAnsi="Times"/>
          <w:sz w:val="22"/>
          <w:szCs w:val="24"/>
          <w:vertAlign w:val="subscript"/>
        </w:rPr>
        <w:t>t</w:t>
      </w:r>
      <w:r w:rsidRPr="00705FFF">
        <w:rPr>
          <w:rFonts w:ascii="Times" w:hAnsi="Times"/>
          <w:sz w:val="22"/>
          <w:szCs w:val="24"/>
          <w:vertAlign w:val="subscript"/>
        </w:rPr>
        <w:t>-1</w:t>
      </w:r>
      <w:r w:rsidRPr="008E3338">
        <w:rPr>
          <w:rFonts w:ascii="Times" w:hAnsi="Times"/>
          <w:sz w:val="22"/>
          <w:szCs w:val="24"/>
        </w:rPr>
        <w:t xml:space="preserve"> </w:t>
      </w:r>
      <w:r w:rsidR="001D587C">
        <w:rPr>
          <w:rFonts w:ascii="Times" w:hAnsi="Times"/>
          <w:sz w:val="22"/>
          <w:szCs w:val="24"/>
        </w:rPr>
        <w:t xml:space="preserve">+ </w:t>
      </w:r>
      <w:r w:rsidR="001D587C" w:rsidRPr="001D587C">
        <w:rPr>
          <w:rFonts w:ascii="Times" w:hAnsi="Times"/>
          <w:sz w:val="22"/>
          <w:szCs w:val="24"/>
        </w:rPr>
        <w:t>ε</w:t>
      </w:r>
      <w:r w:rsidR="001D587C" w:rsidRPr="001D587C">
        <w:rPr>
          <w:rFonts w:ascii="Times" w:hAnsi="Times"/>
          <w:sz w:val="22"/>
          <w:szCs w:val="24"/>
          <w:vertAlign w:val="subscript"/>
        </w:rPr>
        <w:t>t</w:t>
      </w:r>
    </w:p>
    <w:p w14:paraId="7E2B77A9" w14:textId="307AEEAD" w:rsidR="00C43B7B" w:rsidRDefault="00C43B7B" w:rsidP="00AF5150">
      <w:pPr>
        <w:rPr>
          <w:sz w:val="22"/>
          <w:szCs w:val="24"/>
        </w:rPr>
      </w:pPr>
      <w:r>
        <w:rPr>
          <w:sz w:val="22"/>
          <w:szCs w:val="24"/>
        </w:rPr>
        <w:t xml:space="preserve">For this analysis, I estimated three ARDL models. One across the entire period, from March 1997 to March 2024. I then split the data into two sets, one before the </w:t>
      </w:r>
      <w:r w:rsidR="00185BE7">
        <w:rPr>
          <w:sz w:val="22"/>
          <w:szCs w:val="24"/>
        </w:rPr>
        <w:t>COVID</w:t>
      </w:r>
      <w:r>
        <w:rPr>
          <w:sz w:val="22"/>
          <w:szCs w:val="24"/>
        </w:rPr>
        <w:t>-19 pandemic, and one after the impact of the pandemic in 2020</w:t>
      </w:r>
      <w:r w:rsidR="00AF6D73">
        <w:rPr>
          <w:sz w:val="22"/>
          <w:szCs w:val="24"/>
        </w:rPr>
        <w:t>. These are</w:t>
      </w:r>
      <w:r>
        <w:rPr>
          <w:sz w:val="22"/>
          <w:szCs w:val="24"/>
        </w:rPr>
        <w:t xml:space="preserve"> referred to as the Pre-</w:t>
      </w:r>
      <w:r w:rsidR="00185BE7">
        <w:rPr>
          <w:sz w:val="22"/>
          <w:szCs w:val="24"/>
        </w:rPr>
        <w:t>COVID</w:t>
      </w:r>
      <w:r>
        <w:rPr>
          <w:sz w:val="22"/>
          <w:szCs w:val="24"/>
        </w:rPr>
        <w:t xml:space="preserve"> and Post-</w:t>
      </w:r>
      <w:r w:rsidR="00185BE7">
        <w:rPr>
          <w:sz w:val="22"/>
          <w:szCs w:val="24"/>
        </w:rPr>
        <w:t>COVID</w:t>
      </w:r>
      <w:r>
        <w:rPr>
          <w:sz w:val="22"/>
          <w:szCs w:val="24"/>
        </w:rPr>
        <w:t xml:space="preserve"> models. </w:t>
      </w:r>
      <w:r w:rsidR="00AF6D73">
        <w:rPr>
          <w:sz w:val="22"/>
          <w:szCs w:val="24"/>
        </w:rPr>
        <w:t xml:space="preserve">The attempt was to see how the pandemic may have impacted the relationship between these variables. </w:t>
      </w:r>
      <w:r w:rsidR="00875FC8">
        <w:rPr>
          <w:sz w:val="22"/>
          <w:szCs w:val="24"/>
        </w:rPr>
        <w:t xml:space="preserve">It has been shown in </w:t>
      </w:r>
      <w:hyperlink r:id="rId13" w:anchor=":~:text=2)%20There%20is%20a%20cointegration,index%20and%20producer%20price%20index." w:history="1">
        <w:r w:rsidR="00875FC8" w:rsidRPr="00875FC8">
          <w:rPr>
            <w:rStyle w:val="Hyperlink"/>
            <w:sz w:val="22"/>
            <w:szCs w:val="24"/>
          </w:rPr>
          <w:t>previous studies</w:t>
        </w:r>
      </w:hyperlink>
      <w:r w:rsidR="00875FC8">
        <w:rPr>
          <w:sz w:val="22"/>
          <w:szCs w:val="24"/>
        </w:rPr>
        <w:t xml:space="preserve"> that CPI and PCI are cointegrated, thus there is no worry about the stationarity of these processes </w:t>
      </w:r>
      <w:r w:rsidR="001D587C">
        <w:rPr>
          <w:sz w:val="22"/>
          <w:szCs w:val="24"/>
        </w:rPr>
        <w:t>while</w:t>
      </w:r>
      <w:r w:rsidR="00875FC8">
        <w:rPr>
          <w:sz w:val="22"/>
          <w:szCs w:val="24"/>
        </w:rPr>
        <w:t xml:space="preserve"> estimating ARDL models. </w:t>
      </w:r>
    </w:p>
    <w:tbl>
      <w:tblPr>
        <w:tblW w:w="7940" w:type="dxa"/>
        <w:jc w:val="center"/>
        <w:tblLook w:val="04A0" w:firstRow="1" w:lastRow="0" w:firstColumn="1" w:lastColumn="0" w:noHBand="0" w:noVBand="1"/>
      </w:tblPr>
      <w:tblGrid>
        <w:gridCol w:w="1540"/>
        <w:gridCol w:w="1520"/>
        <w:gridCol w:w="1840"/>
        <w:gridCol w:w="1520"/>
        <w:gridCol w:w="1520"/>
      </w:tblGrid>
      <w:tr w:rsidR="00222061" w:rsidRPr="00222061" w14:paraId="7F7B4B3B" w14:textId="77777777" w:rsidTr="00FD3EB8">
        <w:trPr>
          <w:trHeight w:val="320"/>
          <w:jc w:val="center"/>
        </w:trPr>
        <w:tc>
          <w:tcPr>
            <w:tcW w:w="1540" w:type="dxa"/>
            <w:tcBorders>
              <w:top w:val="single" w:sz="4" w:space="0" w:color="000000"/>
              <w:left w:val="single" w:sz="4" w:space="0" w:color="000000"/>
              <w:bottom w:val="single" w:sz="4" w:space="0" w:color="000000"/>
              <w:right w:val="single" w:sz="4" w:space="0" w:color="000000"/>
            </w:tcBorders>
            <w:shd w:val="clear" w:color="000000" w:fill="215C98"/>
            <w:noWrap/>
            <w:vAlign w:val="bottom"/>
            <w:hideMark/>
          </w:tcPr>
          <w:p w14:paraId="019964A4"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Full Series</w:t>
            </w:r>
          </w:p>
        </w:tc>
        <w:tc>
          <w:tcPr>
            <w:tcW w:w="1520" w:type="dxa"/>
            <w:tcBorders>
              <w:top w:val="single" w:sz="4" w:space="0" w:color="000000"/>
              <w:left w:val="nil"/>
              <w:bottom w:val="single" w:sz="4" w:space="0" w:color="000000"/>
              <w:right w:val="single" w:sz="4" w:space="0" w:color="000000"/>
            </w:tcBorders>
            <w:shd w:val="clear" w:color="000000" w:fill="215C98"/>
            <w:noWrap/>
            <w:vAlign w:val="bottom"/>
            <w:hideMark/>
          </w:tcPr>
          <w:p w14:paraId="74B6A83D"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estimate</w:t>
            </w:r>
          </w:p>
        </w:tc>
        <w:tc>
          <w:tcPr>
            <w:tcW w:w="1840" w:type="dxa"/>
            <w:tcBorders>
              <w:top w:val="single" w:sz="4" w:space="0" w:color="000000"/>
              <w:left w:val="nil"/>
              <w:bottom w:val="single" w:sz="4" w:space="0" w:color="000000"/>
              <w:right w:val="single" w:sz="4" w:space="0" w:color="000000"/>
            </w:tcBorders>
            <w:shd w:val="clear" w:color="000000" w:fill="215C98"/>
            <w:noWrap/>
            <w:vAlign w:val="bottom"/>
            <w:hideMark/>
          </w:tcPr>
          <w:p w14:paraId="1E612300"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standard error</w:t>
            </w:r>
          </w:p>
        </w:tc>
        <w:tc>
          <w:tcPr>
            <w:tcW w:w="1520" w:type="dxa"/>
            <w:tcBorders>
              <w:top w:val="single" w:sz="4" w:space="0" w:color="000000"/>
              <w:left w:val="nil"/>
              <w:bottom w:val="single" w:sz="4" w:space="0" w:color="000000"/>
              <w:right w:val="single" w:sz="4" w:space="0" w:color="000000"/>
            </w:tcBorders>
            <w:shd w:val="clear" w:color="000000" w:fill="215C98"/>
            <w:noWrap/>
            <w:vAlign w:val="bottom"/>
            <w:hideMark/>
          </w:tcPr>
          <w:p w14:paraId="0F88792A"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t-value</w:t>
            </w:r>
          </w:p>
        </w:tc>
        <w:tc>
          <w:tcPr>
            <w:tcW w:w="1520" w:type="dxa"/>
            <w:tcBorders>
              <w:top w:val="single" w:sz="4" w:space="0" w:color="000000"/>
              <w:left w:val="nil"/>
              <w:bottom w:val="single" w:sz="4" w:space="0" w:color="000000"/>
              <w:right w:val="single" w:sz="4" w:space="0" w:color="000000"/>
            </w:tcBorders>
            <w:shd w:val="clear" w:color="000000" w:fill="215C98"/>
            <w:noWrap/>
            <w:vAlign w:val="bottom"/>
            <w:hideMark/>
          </w:tcPr>
          <w:p w14:paraId="019D02A6"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p-value</w:t>
            </w:r>
          </w:p>
        </w:tc>
      </w:tr>
      <w:tr w:rsidR="00222061" w:rsidRPr="00222061" w14:paraId="3AF82A5A" w14:textId="77777777" w:rsidTr="00FD3EB8">
        <w:trPr>
          <w:trHeight w:val="320"/>
          <w:jc w:val="center"/>
        </w:trPr>
        <w:tc>
          <w:tcPr>
            <w:tcW w:w="1540" w:type="dxa"/>
            <w:tcBorders>
              <w:top w:val="nil"/>
              <w:left w:val="single" w:sz="4" w:space="0" w:color="000000"/>
              <w:bottom w:val="single" w:sz="4" w:space="0" w:color="000000"/>
              <w:right w:val="single" w:sz="4" w:space="0" w:color="000000"/>
            </w:tcBorders>
            <w:shd w:val="clear" w:color="D9D9D9" w:fill="D9D9D9"/>
            <w:noWrap/>
            <w:vAlign w:val="bottom"/>
            <w:hideMark/>
          </w:tcPr>
          <w:p w14:paraId="380207BA" w14:textId="77777777"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Intercept</w:t>
            </w:r>
          </w:p>
        </w:tc>
        <w:tc>
          <w:tcPr>
            <w:tcW w:w="1520" w:type="dxa"/>
            <w:tcBorders>
              <w:top w:val="nil"/>
              <w:left w:val="nil"/>
              <w:bottom w:val="single" w:sz="4" w:space="0" w:color="000000"/>
              <w:right w:val="single" w:sz="4" w:space="0" w:color="000000"/>
            </w:tcBorders>
            <w:shd w:val="clear" w:color="D9D9D9" w:fill="D9D9D9"/>
            <w:noWrap/>
            <w:vAlign w:val="bottom"/>
            <w:hideMark/>
          </w:tcPr>
          <w:p w14:paraId="40EF4229" w14:textId="25240219" w:rsidR="00FD3EB8" w:rsidRPr="00222061" w:rsidRDefault="00222061" w:rsidP="00FD3EB8">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-1.606</w:t>
            </w:r>
            <w:r w:rsidR="00FD3EB8">
              <w:rPr>
                <w:rFonts w:ascii="Aptos Narrow" w:eastAsia="Times New Roman" w:hAnsi="Aptos Narrow" w:cs="Times New Roman"/>
                <w:color w:val="000000"/>
                <w:sz w:val="24"/>
                <w:szCs w:val="24"/>
              </w:rPr>
              <w:t>E</w:t>
            </w:r>
            <w:r w:rsidRPr="00222061">
              <w:rPr>
                <w:rFonts w:ascii="Aptos Narrow" w:eastAsia="Times New Roman" w:hAnsi="Aptos Narrow" w:cs="Times New Roman"/>
                <w:color w:val="000000"/>
                <w:sz w:val="24"/>
                <w:szCs w:val="24"/>
              </w:rPr>
              <w:t>-05</w:t>
            </w:r>
          </w:p>
        </w:tc>
        <w:tc>
          <w:tcPr>
            <w:tcW w:w="1840" w:type="dxa"/>
            <w:tcBorders>
              <w:top w:val="nil"/>
              <w:left w:val="nil"/>
              <w:bottom w:val="single" w:sz="4" w:space="0" w:color="000000"/>
              <w:right w:val="single" w:sz="4" w:space="0" w:color="000000"/>
            </w:tcBorders>
            <w:shd w:val="clear" w:color="D9D9D9" w:fill="D9D9D9"/>
            <w:noWrap/>
            <w:vAlign w:val="bottom"/>
            <w:hideMark/>
          </w:tcPr>
          <w:p w14:paraId="35CA05B2"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0.005175</w:t>
            </w:r>
          </w:p>
        </w:tc>
        <w:tc>
          <w:tcPr>
            <w:tcW w:w="1520" w:type="dxa"/>
            <w:tcBorders>
              <w:top w:val="nil"/>
              <w:left w:val="nil"/>
              <w:bottom w:val="single" w:sz="4" w:space="0" w:color="000000"/>
              <w:right w:val="single" w:sz="4" w:space="0" w:color="000000"/>
            </w:tcBorders>
            <w:shd w:val="clear" w:color="D9D9D9" w:fill="D9D9D9"/>
            <w:noWrap/>
            <w:vAlign w:val="bottom"/>
            <w:hideMark/>
          </w:tcPr>
          <w:p w14:paraId="22495F99"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-0.003</w:t>
            </w:r>
          </w:p>
        </w:tc>
        <w:tc>
          <w:tcPr>
            <w:tcW w:w="1520" w:type="dxa"/>
            <w:tcBorders>
              <w:top w:val="nil"/>
              <w:left w:val="nil"/>
              <w:bottom w:val="single" w:sz="4" w:space="0" w:color="000000"/>
              <w:right w:val="single" w:sz="4" w:space="0" w:color="000000"/>
            </w:tcBorders>
            <w:shd w:val="clear" w:color="D9D9D9" w:fill="D9D9D9"/>
            <w:noWrap/>
            <w:vAlign w:val="bottom"/>
            <w:hideMark/>
          </w:tcPr>
          <w:p w14:paraId="73E53391"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0.998</w:t>
            </w:r>
          </w:p>
        </w:tc>
      </w:tr>
      <w:tr w:rsidR="00222061" w:rsidRPr="00222061" w14:paraId="7A6FD99F" w14:textId="77777777" w:rsidTr="00FD3EB8">
        <w:trPr>
          <w:trHeight w:val="320"/>
          <w:jc w:val="center"/>
        </w:trPr>
        <w:tc>
          <w:tcPr>
            <w:tcW w:w="1540" w:type="dxa"/>
            <w:tcBorders>
              <w:top w:val="nil"/>
              <w:left w:val="single" w:sz="4" w:space="0" w:color="000000"/>
              <w:bottom w:val="single" w:sz="4" w:space="0" w:color="000000"/>
              <w:right w:val="single" w:sz="4" w:space="0" w:color="000000"/>
            </w:tcBorders>
            <w:shd w:val="clear" w:color="auto" w:fill="auto"/>
            <w:noWrap/>
            <w:vAlign w:val="bottom"/>
            <w:hideMark/>
          </w:tcPr>
          <w:p w14:paraId="5D7D8F18" w14:textId="77777777"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lag(CPI)</w:t>
            </w:r>
          </w:p>
        </w:tc>
        <w:tc>
          <w:tcPr>
            <w:tcW w:w="1520" w:type="dxa"/>
            <w:tcBorders>
              <w:top w:val="nil"/>
              <w:left w:val="nil"/>
              <w:bottom w:val="single" w:sz="4" w:space="0" w:color="000000"/>
              <w:right w:val="single" w:sz="4" w:space="0" w:color="000000"/>
            </w:tcBorders>
            <w:shd w:val="clear" w:color="auto" w:fill="auto"/>
            <w:noWrap/>
            <w:vAlign w:val="bottom"/>
            <w:hideMark/>
          </w:tcPr>
          <w:p w14:paraId="34E761BD"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9.89E-02</w:t>
            </w:r>
          </w:p>
        </w:tc>
        <w:tc>
          <w:tcPr>
            <w:tcW w:w="1840" w:type="dxa"/>
            <w:tcBorders>
              <w:top w:val="nil"/>
              <w:left w:val="nil"/>
              <w:bottom w:val="single" w:sz="4" w:space="0" w:color="000000"/>
              <w:right w:val="single" w:sz="4" w:space="0" w:color="000000"/>
            </w:tcBorders>
            <w:shd w:val="clear" w:color="auto" w:fill="auto"/>
            <w:noWrap/>
            <w:vAlign w:val="bottom"/>
            <w:hideMark/>
          </w:tcPr>
          <w:p w14:paraId="2B9D5738"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0.004651</w:t>
            </w:r>
          </w:p>
        </w:tc>
        <w:tc>
          <w:tcPr>
            <w:tcW w:w="1520" w:type="dxa"/>
            <w:tcBorders>
              <w:top w:val="nil"/>
              <w:left w:val="nil"/>
              <w:bottom w:val="single" w:sz="4" w:space="0" w:color="000000"/>
              <w:right w:val="single" w:sz="4" w:space="0" w:color="000000"/>
            </w:tcBorders>
            <w:shd w:val="clear" w:color="auto" w:fill="auto"/>
            <w:noWrap/>
            <w:vAlign w:val="bottom"/>
            <w:hideMark/>
          </w:tcPr>
          <w:p w14:paraId="4E27C4BA"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212.661</w:t>
            </w:r>
          </w:p>
        </w:tc>
        <w:tc>
          <w:tcPr>
            <w:tcW w:w="1520" w:type="dxa"/>
            <w:tcBorders>
              <w:top w:val="nil"/>
              <w:left w:val="nil"/>
              <w:bottom w:val="single" w:sz="4" w:space="0" w:color="000000"/>
              <w:right w:val="single" w:sz="4" w:space="0" w:color="000000"/>
            </w:tcBorders>
            <w:shd w:val="clear" w:color="auto" w:fill="auto"/>
            <w:noWrap/>
            <w:vAlign w:val="bottom"/>
            <w:hideMark/>
          </w:tcPr>
          <w:p w14:paraId="66B2F50D"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&lt;2e-16***</w:t>
            </w:r>
          </w:p>
        </w:tc>
      </w:tr>
      <w:tr w:rsidR="00222061" w:rsidRPr="00222061" w14:paraId="7240CB8B" w14:textId="77777777" w:rsidTr="00FD3EB8">
        <w:trPr>
          <w:trHeight w:val="320"/>
          <w:jc w:val="center"/>
        </w:trPr>
        <w:tc>
          <w:tcPr>
            <w:tcW w:w="1540" w:type="dxa"/>
            <w:tcBorders>
              <w:top w:val="nil"/>
              <w:left w:val="single" w:sz="4" w:space="0" w:color="000000"/>
              <w:bottom w:val="single" w:sz="4" w:space="0" w:color="000000"/>
              <w:right w:val="single" w:sz="4" w:space="0" w:color="000000"/>
            </w:tcBorders>
            <w:shd w:val="clear" w:color="D9D9D9" w:fill="D9D9D9"/>
            <w:noWrap/>
            <w:vAlign w:val="bottom"/>
            <w:hideMark/>
          </w:tcPr>
          <w:p w14:paraId="2FFCAA2A" w14:textId="3D0C93D6"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P</w:t>
            </w:r>
            <w:r w:rsidR="0030411A">
              <w:rPr>
                <w:rFonts w:ascii="Aptos Narrow" w:eastAsia="Times New Roman" w:hAnsi="Aptos Narrow" w:cs="Times New Roman"/>
                <w:b/>
                <w:bCs/>
                <w:color w:val="000000"/>
                <w:sz w:val="24"/>
                <w:szCs w:val="24"/>
              </w:rPr>
              <w:t>P</w:t>
            </w:r>
            <w:r w:rsidRPr="00222061">
              <w:rPr>
                <w:rFonts w:ascii="Aptos Narrow" w:eastAsia="Times New Roman" w:hAnsi="Aptos Narrow" w:cs="Times New Roman"/>
                <w:b/>
                <w:bCs/>
                <w:color w:val="000000"/>
                <w:sz w:val="24"/>
                <w:szCs w:val="24"/>
              </w:rPr>
              <w:t>I</w:t>
            </w:r>
          </w:p>
        </w:tc>
        <w:tc>
          <w:tcPr>
            <w:tcW w:w="1520" w:type="dxa"/>
            <w:tcBorders>
              <w:top w:val="nil"/>
              <w:left w:val="nil"/>
              <w:bottom w:val="single" w:sz="4" w:space="0" w:color="000000"/>
              <w:right w:val="single" w:sz="4" w:space="0" w:color="000000"/>
            </w:tcBorders>
            <w:shd w:val="clear" w:color="D9D9D9" w:fill="D9D9D9"/>
            <w:noWrap/>
            <w:vAlign w:val="bottom"/>
            <w:hideMark/>
          </w:tcPr>
          <w:p w14:paraId="0B18DB69"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7.99E-02</w:t>
            </w:r>
          </w:p>
        </w:tc>
        <w:tc>
          <w:tcPr>
            <w:tcW w:w="1840" w:type="dxa"/>
            <w:tcBorders>
              <w:top w:val="nil"/>
              <w:left w:val="nil"/>
              <w:bottom w:val="single" w:sz="4" w:space="0" w:color="000000"/>
              <w:right w:val="single" w:sz="4" w:space="0" w:color="000000"/>
            </w:tcBorders>
            <w:shd w:val="clear" w:color="D9D9D9" w:fill="D9D9D9"/>
            <w:noWrap/>
            <w:vAlign w:val="bottom"/>
            <w:hideMark/>
          </w:tcPr>
          <w:p w14:paraId="53A60FEE"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0.0157</w:t>
            </w:r>
          </w:p>
        </w:tc>
        <w:tc>
          <w:tcPr>
            <w:tcW w:w="1520" w:type="dxa"/>
            <w:tcBorders>
              <w:top w:val="nil"/>
              <w:left w:val="nil"/>
              <w:bottom w:val="single" w:sz="4" w:space="0" w:color="000000"/>
              <w:right w:val="single" w:sz="4" w:space="0" w:color="000000"/>
            </w:tcBorders>
            <w:shd w:val="clear" w:color="D9D9D9" w:fill="D9D9D9"/>
            <w:noWrap/>
            <w:vAlign w:val="bottom"/>
            <w:hideMark/>
          </w:tcPr>
          <w:p w14:paraId="24BDED90"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5.09</w:t>
            </w:r>
          </w:p>
        </w:tc>
        <w:tc>
          <w:tcPr>
            <w:tcW w:w="1520" w:type="dxa"/>
            <w:tcBorders>
              <w:top w:val="nil"/>
              <w:left w:val="nil"/>
              <w:bottom w:val="single" w:sz="4" w:space="0" w:color="000000"/>
              <w:right w:val="single" w:sz="4" w:space="0" w:color="000000"/>
            </w:tcBorders>
            <w:shd w:val="clear" w:color="D9D9D9" w:fill="D9D9D9"/>
            <w:noWrap/>
            <w:vAlign w:val="bottom"/>
            <w:hideMark/>
          </w:tcPr>
          <w:p w14:paraId="254F6775"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6.19E-07***</w:t>
            </w:r>
          </w:p>
        </w:tc>
      </w:tr>
      <w:tr w:rsidR="00222061" w:rsidRPr="00222061" w14:paraId="299314A7" w14:textId="77777777" w:rsidTr="00FD3EB8">
        <w:trPr>
          <w:trHeight w:val="320"/>
          <w:jc w:val="center"/>
        </w:trPr>
        <w:tc>
          <w:tcPr>
            <w:tcW w:w="1540" w:type="dxa"/>
            <w:tcBorders>
              <w:top w:val="nil"/>
              <w:left w:val="single" w:sz="4" w:space="0" w:color="000000"/>
              <w:bottom w:val="single" w:sz="4" w:space="0" w:color="000000"/>
              <w:right w:val="single" w:sz="4" w:space="0" w:color="000000"/>
            </w:tcBorders>
            <w:shd w:val="clear" w:color="auto" w:fill="auto"/>
            <w:noWrap/>
            <w:vAlign w:val="bottom"/>
            <w:hideMark/>
          </w:tcPr>
          <w:p w14:paraId="3ACD7DBF" w14:textId="08FC5878"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lag(P</w:t>
            </w:r>
            <w:r w:rsidR="0030411A">
              <w:rPr>
                <w:rFonts w:ascii="Aptos Narrow" w:eastAsia="Times New Roman" w:hAnsi="Aptos Narrow" w:cs="Times New Roman"/>
                <w:b/>
                <w:bCs/>
                <w:color w:val="000000"/>
                <w:sz w:val="24"/>
                <w:szCs w:val="24"/>
              </w:rPr>
              <w:t>P</w:t>
            </w:r>
            <w:r w:rsidRPr="00222061">
              <w:rPr>
                <w:rFonts w:ascii="Aptos Narrow" w:eastAsia="Times New Roman" w:hAnsi="Aptos Narrow" w:cs="Times New Roman"/>
                <w:b/>
                <w:bCs/>
                <w:color w:val="000000"/>
                <w:sz w:val="24"/>
                <w:szCs w:val="24"/>
              </w:rPr>
              <w:t>I)</w:t>
            </w:r>
          </w:p>
        </w:tc>
        <w:tc>
          <w:tcPr>
            <w:tcW w:w="1520" w:type="dxa"/>
            <w:tcBorders>
              <w:top w:val="nil"/>
              <w:left w:val="nil"/>
              <w:bottom w:val="single" w:sz="4" w:space="0" w:color="000000"/>
              <w:right w:val="single" w:sz="4" w:space="0" w:color="000000"/>
            </w:tcBorders>
            <w:shd w:val="clear" w:color="auto" w:fill="auto"/>
            <w:noWrap/>
            <w:vAlign w:val="bottom"/>
            <w:hideMark/>
          </w:tcPr>
          <w:p w14:paraId="785DD1BD"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-6.81E-04</w:t>
            </w:r>
          </w:p>
        </w:tc>
        <w:tc>
          <w:tcPr>
            <w:tcW w:w="1840" w:type="dxa"/>
            <w:tcBorders>
              <w:top w:val="nil"/>
              <w:left w:val="nil"/>
              <w:bottom w:val="single" w:sz="4" w:space="0" w:color="000000"/>
              <w:right w:val="single" w:sz="4" w:space="0" w:color="000000"/>
            </w:tcBorders>
            <w:shd w:val="clear" w:color="auto" w:fill="auto"/>
            <w:noWrap/>
            <w:vAlign w:val="bottom"/>
            <w:hideMark/>
          </w:tcPr>
          <w:p w14:paraId="42443932"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0.0159</w:t>
            </w:r>
          </w:p>
        </w:tc>
        <w:tc>
          <w:tcPr>
            <w:tcW w:w="1520" w:type="dxa"/>
            <w:tcBorders>
              <w:top w:val="nil"/>
              <w:left w:val="nil"/>
              <w:bottom w:val="single" w:sz="4" w:space="0" w:color="000000"/>
              <w:right w:val="single" w:sz="4" w:space="0" w:color="000000"/>
            </w:tcBorders>
            <w:shd w:val="clear" w:color="auto" w:fill="auto"/>
            <w:noWrap/>
            <w:vAlign w:val="bottom"/>
            <w:hideMark/>
          </w:tcPr>
          <w:p w14:paraId="4E52FE9E"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-4.283</w:t>
            </w:r>
          </w:p>
        </w:tc>
        <w:tc>
          <w:tcPr>
            <w:tcW w:w="1520" w:type="dxa"/>
            <w:tcBorders>
              <w:top w:val="nil"/>
              <w:left w:val="nil"/>
              <w:bottom w:val="single" w:sz="4" w:space="0" w:color="000000"/>
              <w:right w:val="single" w:sz="4" w:space="0" w:color="000000"/>
            </w:tcBorders>
            <w:shd w:val="clear" w:color="auto" w:fill="auto"/>
            <w:noWrap/>
            <w:vAlign w:val="bottom"/>
            <w:hideMark/>
          </w:tcPr>
          <w:p w14:paraId="60FEC9DD"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2.46e-05***</w:t>
            </w:r>
          </w:p>
        </w:tc>
      </w:tr>
    </w:tbl>
    <w:p w14:paraId="2C620D99" w14:textId="3A53A107" w:rsidR="00222061" w:rsidRPr="00222061" w:rsidRDefault="00222061" w:rsidP="00FD3EB8">
      <w:pPr>
        <w:jc w:val="center"/>
        <w:rPr>
          <w:sz w:val="20"/>
          <w:szCs w:val="21"/>
        </w:rPr>
      </w:pPr>
      <w:r>
        <w:rPr>
          <w:sz w:val="20"/>
          <w:szCs w:val="21"/>
        </w:rPr>
        <w:t>r-squared value : 0.9998</w:t>
      </w:r>
    </w:p>
    <w:tbl>
      <w:tblPr>
        <w:tblW w:w="7940" w:type="dxa"/>
        <w:jc w:val="center"/>
        <w:tblLook w:val="04A0" w:firstRow="1" w:lastRow="0" w:firstColumn="1" w:lastColumn="0" w:noHBand="0" w:noVBand="1"/>
      </w:tblPr>
      <w:tblGrid>
        <w:gridCol w:w="1435"/>
        <w:gridCol w:w="1625"/>
        <w:gridCol w:w="1840"/>
        <w:gridCol w:w="1520"/>
        <w:gridCol w:w="1520"/>
      </w:tblGrid>
      <w:tr w:rsidR="00222061" w:rsidRPr="00222061" w14:paraId="73F6AD2E" w14:textId="77777777" w:rsidTr="00FD3EB8">
        <w:trPr>
          <w:trHeight w:val="320"/>
          <w:jc w:val="center"/>
        </w:trPr>
        <w:tc>
          <w:tcPr>
            <w:tcW w:w="1435" w:type="dxa"/>
            <w:tcBorders>
              <w:top w:val="single" w:sz="4" w:space="0" w:color="000000"/>
              <w:left w:val="single" w:sz="4" w:space="0" w:color="000000"/>
              <w:bottom w:val="single" w:sz="4" w:space="0" w:color="000000"/>
              <w:right w:val="single" w:sz="4" w:space="0" w:color="000000"/>
            </w:tcBorders>
            <w:shd w:val="clear" w:color="000000" w:fill="215C98"/>
            <w:noWrap/>
            <w:vAlign w:val="bottom"/>
            <w:hideMark/>
          </w:tcPr>
          <w:p w14:paraId="092ACEBB"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Pre-Covid</w:t>
            </w:r>
          </w:p>
        </w:tc>
        <w:tc>
          <w:tcPr>
            <w:tcW w:w="1625" w:type="dxa"/>
            <w:tcBorders>
              <w:top w:val="single" w:sz="4" w:space="0" w:color="000000"/>
              <w:left w:val="nil"/>
              <w:bottom w:val="single" w:sz="4" w:space="0" w:color="000000"/>
              <w:right w:val="single" w:sz="4" w:space="0" w:color="000000"/>
            </w:tcBorders>
            <w:shd w:val="clear" w:color="000000" w:fill="215C98"/>
            <w:noWrap/>
            <w:vAlign w:val="bottom"/>
            <w:hideMark/>
          </w:tcPr>
          <w:p w14:paraId="4A49813F"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estimate</w:t>
            </w:r>
          </w:p>
        </w:tc>
        <w:tc>
          <w:tcPr>
            <w:tcW w:w="1840" w:type="dxa"/>
            <w:tcBorders>
              <w:top w:val="single" w:sz="4" w:space="0" w:color="000000"/>
              <w:left w:val="nil"/>
              <w:bottom w:val="single" w:sz="4" w:space="0" w:color="000000"/>
              <w:right w:val="single" w:sz="4" w:space="0" w:color="000000"/>
            </w:tcBorders>
            <w:shd w:val="clear" w:color="000000" w:fill="215C98"/>
            <w:noWrap/>
            <w:vAlign w:val="bottom"/>
            <w:hideMark/>
          </w:tcPr>
          <w:p w14:paraId="00F03943"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standard error</w:t>
            </w:r>
          </w:p>
        </w:tc>
        <w:tc>
          <w:tcPr>
            <w:tcW w:w="1520" w:type="dxa"/>
            <w:tcBorders>
              <w:top w:val="single" w:sz="4" w:space="0" w:color="000000"/>
              <w:left w:val="nil"/>
              <w:bottom w:val="single" w:sz="4" w:space="0" w:color="000000"/>
              <w:right w:val="single" w:sz="4" w:space="0" w:color="000000"/>
            </w:tcBorders>
            <w:shd w:val="clear" w:color="000000" w:fill="215C98"/>
            <w:noWrap/>
            <w:vAlign w:val="bottom"/>
            <w:hideMark/>
          </w:tcPr>
          <w:p w14:paraId="1AD17DFC"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t value</w:t>
            </w:r>
          </w:p>
        </w:tc>
        <w:tc>
          <w:tcPr>
            <w:tcW w:w="1520" w:type="dxa"/>
            <w:tcBorders>
              <w:top w:val="single" w:sz="4" w:space="0" w:color="000000"/>
              <w:left w:val="nil"/>
              <w:bottom w:val="single" w:sz="4" w:space="0" w:color="000000"/>
              <w:right w:val="single" w:sz="4" w:space="0" w:color="000000"/>
            </w:tcBorders>
            <w:shd w:val="clear" w:color="000000" w:fill="215C98"/>
            <w:noWrap/>
            <w:vAlign w:val="bottom"/>
            <w:hideMark/>
          </w:tcPr>
          <w:p w14:paraId="71DADA54"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p-value</w:t>
            </w:r>
          </w:p>
        </w:tc>
      </w:tr>
      <w:tr w:rsidR="00222061" w:rsidRPr="00222061" w14:paraId="6424426C" w14:textId="77777777" w:rsidTr="00FD3EB8">
        <w:trPr>
          <w:trHeight w:val="320"/>
          <w:jc w:val="center"/>
        </w:trPr>
        <w:tc>
          <w:tcPr>
            <w:tcW w:w="1435" w:type="dxa"/>
            <w:tcBorders>
              <w:top w:val="nil"/>
              <w:left w:val="single" w:sz="4" w:space="0" w:color="000000"/>
              <w:bottom w:val="single" w:sz="4" w:space="0" w:color="000000"/>
              <w:right w:val="single" w:sz="4" w:space="0" w:color="000000"/>
            </w:tcBorders>
            <w:shd w:val="clear" w:color="auto" w:fill="auto"/>
            <w:noWrap/>
            <w:vAlign w:val="bottom"/>
            <w:hideMark/>
          </w:tcPr>
          <w:p w14:paraId="595EAC14" w14:textId="77777777"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 xml:space="preserve">intercept </w:t>
            </w:r>
          </w:p>
        </w:tc>
        <w:tc>
          <w:tcPr>
            <w:tcW w:w="1625" w:type="dxa"/>
            <w:tcBorders>
              <w:top w:val="nil"/>
              <w:left w:val="nil"/>
              <w:bottom w:val="single" w:sz="4" w:space="0" w:color="000000"/>
              <w:right w:val="single" w:sz="4" w:space="0" w:color="000000"/>
            </w:tcBorders>
            <w:shd w:val="clear" w:color="D9D9D9" w:fill="D9D9D9"/>
            <w:noWrap/>
            <w:vAlign w:val="bottom"/>
            <w:hideMark/>
          </w:tcPr>
          <w:p w14:paraId="1FFC6A89"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0.018075</w:t>
            </w:r>
          </w:p>
        </w:tc>
        <w:tc>
          <w:tcPr>
            <w:tcW w:w="1840" w:type="dxa"/>
            <w:tcBorders>
              <w:top w:val="nil"/>
              <w:left w:val="nil"/>
              <w:bottom w:val="single" w:sz="4" w:space="0" w:color="000000"/>
              <w:right w:val="single" w:sz="4" w:space="0" w:color="000000"/>
            </w:tcBorders>
            <w:shd w:val="clear" w:color="D9D9D9" w:fill="D9D9D9"/>
            <w:noWrap/>
            <w:vAlign w:val="bottom"/>
            <w:hideMark/>
          </w:tcPr>
          <w:p w14:paraId="318FD97F"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0.006504</w:t>
            </w:r>
          </w:p>
        </w:tc>
        <w:tc>
          <w:tcPr>
            <w:tcW w:w="1520" w:type="dxa"/>
            <w:tcBorders>
              <w:top w:val="nil"/>
              <w:left w:val="nil"/>
              <w:bottom w:val="single" w:sz="4" w:space="0" w:color="000000"/>
              <w:right w:val="single" w:sz="4" w:space="0" w:color="000000"/>
            </w:tcBorders>
            <w:shd w:val="clear" w:color="D9D9D9" w:fill="D9D9D9"/>
            <w:noWrap/>
            <w:vAlign w:val="bottom"/>
            <w:hideMark/>
          </w:tcPr>
          <w:p w14:paraId="76979ACD"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2.779</w:t>
            </w:r>
          </w:p>
        </w:tc>
        <w:tc>
          <w:tcPr>
            <w:tcW w:w="1520" w:type="dxa"/>
            <w:tcBorders>
              <w:top w:val="nil"/>
              <w:left w:val="nil"/>
              <w:bottom w:val="single" w:sz="4" w:space="0" w:color="000000"/>
              <w:right w:val="single" w:sz="4" w:space="0" w:color="000000"/>
            </w:tcBorders>
            <w:shd w:val="clear" w:color="D9D9D9" w:fill="D9D9D9"/>
            <w:noWrap/>
            <w:vAlign w:val="bottom"/>
            <w:hideMark/>
          </w:tcPr>
          <w:p w14:paraId="311A971F"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0.00584**</w:t>
            </w:r>
          </w:p>
        </w:tc>
      </w:tr>
      <w:tr w:rsidR="00222061" w:rsidRPr="00222061" w14:paraId="1679C3FB" w14:textId="77777777" w:rsidTr="00FD3EB8">
        <w:trPr>
          <w:trHeight w:val="320"/>
          <w:jc w:val="center"/>
        </w:trPr>
        <w:tc>
          <w:tcPr>
            <w:tcW w:w="1435" w:type="dxa"/>
            <w:tcBorders>
              <w:top w:val="nil"/>
              <w:left w:val="single" w:sz="4" w:space="0" w:color="000000"/>
              <w:bottom w:val="single" w:sz="4" w:space="0" w:color="000000"/>
              <w:right w:val="single" w:sz="4" w:space="0" w:color="000000"/>
            </w:tcBorders>
            <w:shd w:val="clear" w:color="auto" w:fill="auto"/>
            <w:noWrap/>
            <w:vAlign w:val="bottom"/>
            <w:hideMark/>
          </w:tcPr>
          <w:p w14:paraId="5E1511FC" w14:textId="075942EE"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lag(C</w:t>
            </w:r>
            <w:r w:rsidR="0030411A">
              <w:rPr>
                <w:rFonts w:ascii="Aptos Narrow" w:eastAsia="Times New Roman" w:hAnsi="Aptos Narrow" w:cs="Times New Roman"/>
                <w:b/>
                <w:bCs/>
                <w:color w:val="000000"/>
                <w:sz w:val="24"/>
                <w:szCs w:val="24"/>
              </w:rPr>
              <w:t>P</w:t>
            </w:r>
            <w:r w:rsidRPr="00222061">
              <w:rPr>
                <w:rFonts w:ascii="Aptos Narrow" w:eastAsia="Times New Roman" w:hAnsi="Aptos Narrow" w:cs="Times New Roman"/>
                <w:b/>
                <w:bCs/>
                <w:color w:val="000000"/>
                <w:sz w:val="24"/>
                <w:szCs w:val="24"/>
              </w:rPr>
              <w:t>I)</w:t>
            </w:r>
          </w:p>
        </w:tc>
        <w:tc>
          <w:tcPr>
            <w:tcW w:w="1625" w:type="dxa"/>
            <w:tcBorders>
              <w:top w:val="nil"/>
              <w:left w:val="nil"/>
              <w:bottom w:val="single" w:sz="4" w:space="0" w:color="000000"/>
              <w:right w:val="single" w:sz="4" w:space="0" w:color="000000"/>
            </w:tcBorders>
            <w:shd w:val="clear" w:color="auto" w:fill="auto"/>
            <w:noWrap/>
            <w:vAlign w:val="bottom"/>
            <w:hideMark/>
          </w:tcPr>
          <w:p w14:paraId="695FC7D6"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0.987367</w:t>
            </w:r>
          </w:p>
        </w:tc>
        <w:tc>
          <w:tcPr>
            <w:tcW w:w="1840" w:type="dxa"/>
            <w:tcBorders>
              <w:top w:val="nil"/>
              <w:left w:val="nil"/>
              <w:bottom w:val="single" w:sz="4" w:space="0" w:color="000000"/>
              <w:right w:val="single" w:sz="4" w:space="0" w:color="000000"/>
            </w:tcBorders>
            <w:shd w:val="clear" w:color="auto" w:fill="auto"/>
            <w:noWrap/>
            <w:vAlign w:val="bottom"/>
            <w:hideMark/>
          </w:tcPr>
          <w:p w14:paraId="1A824E09"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0.004936</w:t>
            </w:r>
          </w:p>
        </w:tc>
        <w:tc>
          <w:tcPr>
            <w:tcW w:w="1520" w:type="dxa"/>
            <w:tcBorders>
              <w:top w:val="nil"/>
              <w:left w:val="nil"/>
              <w:bottom w:val="single" w:sz="4" w:space="0" w:color="000000"/>
              <w:right w:val="single" w:sz="4" w:space="0" w:color="000000"/>
            </w:tcBorders>
            <w:shd w:val="clear" w:color="auto" w:fill="auto"/>
            <w:noWrap/>
            <w:vAlign w:val="bottom"/>
            <w:hideMark/>
          </w:tcPr>
          <w:p w14:paraId="13F87B53"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200.054</w:t>
            </w:r>
          </w:p>
        </w:tc>
        <w:tc>
          <w:tcPr>
            <w:tcW w:w="1520" w:type="dxa"/>
            <w:tcBorders>
              <w:top w:val="nil"/>
              <w:left w:val="nil"/>
              <w:bottom w:val="single" w:sz="4" w:space="0" w:color="000000"/>
              <w:right w:val="single" w:sz="4" w:space="0" w:color="000000"/>
            </w:tcBorders>
            <w:shd w:val="clear" w:color="auto" w:fill="auto"/>
            <w:noWrap/>
            <w:vAlign w:val="bottom"/>
            <w:hideMark/>
          </w:tcPr>
          <w:p w14:paraId="3E9FE0A4"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&lt;2e-16***</w:t>
            </w:r>
          </w:p>
        </w:tc>
      </w:tr>
      <w:tr w:rsidR="00222061" w:rsidRPr="00222061" w14:paraId="198C4804" w14:textId="77777777" w:rsidTr="00FD3EB8">
        <w:trPr>
          <w:trHeight w:val="320"/>
          <w:jc w:val="center"/>
        </w:trPr>
        <w:tc>
          <w:tcPr>
            <w:tcW w:w="1435" w:type="dxa"/>
            <w:tcBorders>
              <w:top w:val="nil"/>
              <w:left w:val="single" w:sz="4" w:space="0" w:color="000000"/>
              <w:bottom w:val="single" w:sz="4" w:space="0" w:color="000000"/>
              <w:right w:val="single" w:sz="4" w:space="0" w:color="000000"/>
            </w:tcBorders>
            <w:shd w:val="clear" w:color="auto" w:fill="auto"/>
            <w:noWrap/>
            <w:vAlign w:val="bottom"/>
            <w:hideMark/>
          </w:tcPr>
          <w:p w14:paraId="586023D6" w14:textId="3EEB79C7"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P</w:t>
            </w:r>
            <w:r w:rsidR="0030411A">
              <w:rPr>
                <w:rFonts w:ascii="Aptos Narrow" w:eastAsia="Times New Roman" w:hAnsi="Aptos Narrow" w:cs="Times New Roman"/>
                <w:b/>
                <w:bCs/>
                <w:color w:val="000000"/>
                <w:sz w:val="24"/>
                <w:szCs w:val="24"/>
              </w:rPr>
              <w:t>P</w:t>
            </w:r>
            <w:r w:rsidRPr="00222061">
              <w:rPr>
                <w:rFonts w:ascii="Aptos Narrow" w:eastAsia="Times New Roman" w:hAnsi="Aptos Narrow" w:cs="Times New Roman"/>
                <w:b/>
                <w:bCs/>
                <w:color w:val="000000"/>
                <w:sz w:val="24"/>
                <w:szCs w:val="24"/>
              </w:rPr>
              <w:t>I</w:t>
            </w:r>
          </w:p>
        </w:tc>
        <w:tc>
          <w:tcPr>
            <w:tcW w:w="1625" w:type="dxa"/>
            <w:tcBorders>
              <w:top w:val="nil"/>
              <w:left w:val="nil"/>
              <w:bottom w:val="single" w:sz="4" w:space="0" w:color="000000"/>
              <w:right w:val="single" w:sz="4" w:space="0" w:color="000000"/>
            </w:tcBorders>
            <w:shd w:val="clear" w:color="D9D9D9" w:fill="D9D9D9"/>
            <w:noWrap/>
            <w:vAlign w:val="bottom"/>
            <w:hideMark/>
          </w:tcPr>
          <w:p w14:paraId="7B4BB6A9"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0.088245</w:t>
            </w:r>
          </w:p>
        </w:tc>
        <w:tc>
          <w:tcPr>
            <w:tcW w:w="1840" w:type="dxa"/>
            <w:tcBorders>
              <w:top w:val="nil"/>
              <w:left w:val="nil"/>
              <w:bottom w:val="single" w:sz="4" w:space="0" w:color="000000"/>
              <w:right w:val="single" w:sz="4" w:space="0" w:color="000000"/>
            </w:tcBorders>
            <w:shd w:val="clear" w:color="D9D9D9" w:fill="D9D9D9"/>
            <w:noWrap/>
            <w:vAlign w:val="bottom"/>
            <w:hideMark/>
          </w:tcPr>
          <w:p w14:paraId="22AB5D25"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0.018903</w:t>
            </w:r>
          </w:p>
        </w:tc>
        <w:tc>
          <w:tcPr>
            <w:tcW w:w="1520" w:type="dxa"/>
            <w:tcBorders>
              <w:top w:val="nil"/>
              <w:left w:val="nil"/>
              <w:bottom w:val="single" w:sz="4" w:space="0" w:color="000000"/>
              <w:right w:val="single" w:sz="4" w:space="0" w:color="000000"/>
            </w:tcBorders>
            <w:shd w:val="clear" w:color="D9D9D9" w:fill="D9D9D9"/>
            <w:noWrap/>
            <w:vAlign w:val="bottom"/>
            <w:hideMark/>
          </w:tcPr>
          <w:p w14:paraId="23210FB6"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4.668</w:t>
            </w:r>
          </w:p>
        </w:tc>
        <w:tc>
          <w:tcPr>
            <w:tcW w:w="1520" w:type="dxa"/>
            <w:tcBorders>
              <w:top w:val="nil"/>
              <w:left w:val="nil"/>
              <w:bottom w:val="single" w:sz="4" w:space="0" w:color="000000"/>
              <w:right w:val="single" w:sz="4" w:space="0" w:color="000000"/>
            </w:tcBorders>
            <w:shd w:val="clear" w:color="D9D9D9" w:fill="D9D9D9"/>
            <w:noWrap/>
            <w:vAlign w:val="bottom"/>
            <w:hideMark/>
          </w:tcPr>
          <w:p w14:paraId="46648698"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4.83e-06***</w:t>
            </w:r>
          </w:p>
        </w:tc>
      </w:tr>
      <w:tr w:rsidR="00222061" w:rsidRPr="00222061" w14:paraId="7FEF6230" w14:textId="77777777" w:rsidTr="00FD3EB8">
        <w:trPr>
          <w:trHeight w:val="320"/>
          <w:jc w:val="center"/>
        </w:trPr>
        <w:tc>
          <w:tcPr>
            <w:tcW w:w="1435" w:type="dxa"/>
            <w:tcBorders>
              <w:top w:val="nil"/>
              <w:left w:val="single" w:sz="4" w:space="0" w:color="000000"/>
              <w:bottom w:val="single" w:sz="4" w:space="0" w:color="000000"/>
              <w:right w:val="single" w:sz="4" w:space="0" w:color="000000"/>
            </w:tcBorders>
            <w:shd w:val="clear" w:color="auto" w:fill="auto"/>
            <w:noWrap/>
            <w:vAlign w:val="bottom"/>
            <w:hideMark/>
          </w:tcPr>
          <w:p w14:paraId="35B39047" w14:textId="11205238"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lag(P</w:t>
            </w:r>
            <w:r w:rsidR="0030411A">
              <w:rPr>
                <w:rFonts w:ascii="Aptos Narrow" w:eastAsia="Times New Roman" w:hAnsi="Aptos Narrow" w:cs="Times New Roman"/>
                <w:b/>
                <w:bCs/>
                <w:color w:val="000000"/>
                <w:sz w:val="24"/>
                <w:szCs w:val="24"/>
              </w:rPr>
              <w:t>P</w:t>
            </w:r>
            <w:r w:rsidRPr="00222061">
              <w:rPr>
                <w:rFonts w:ascii="Aptos Narrow" w:eastAsia="Times New Roman" w:hAnsi="Aptos Narrow" w:cs="Times New Roman"/>
                <w:b/>
                <w:bCs/>
                <w:color w:val="000000"/>
                <w:sz w:val="24"/>
                <w:szCs w:val="24"/>
              </w:rPr>
              <w:t>I)</w:t>
            </w:r>
          </w:p>
        </w:tc>
        <w:tc>
          <w:tcPr>
            <w:tcW w:w="1625" w:type="dxa"/>
            <w:tcBorders>
              <w:top w:val="nil"/>
              <w:left w:val="nil"/>
              <w:bottom w:val="single" w:sz="4" w:space="0" w:color="000000"/>
              <w:right w:val="single" w:sz="4" w:space="0" w:color="000000"/>
            </w:tcBorders>
            <w:shd w:val="clear" w:color="auto" w:fill="auto"/>
            <w:noWrap/>
            <w:vAlign w:val="bottom"/>
            <w:hideMark/>
          </w:tcPr>
          <w:p w14:paraId="44B2D0EE"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-0.078222</w:t>
            </w:r>
          </w:p>
        </w:tc>
        <w:tc>
          <w:tcPr>
            <w:tcW w:w="1840" w:type="dxa"/>
            <w:tcBorders>
              <w:top w:val="nil"/>
              <w:left w:val="nil"/>
              <w:bottom w:val="single" w:sz="4" w:space="0" w:color="000000"/>
              <w:right w:val="single" w:sz="4" w:space="0" w:color="000000"/>
            </w:tcBorders>
            <w:shd w:val="clear" w:color="auto" w:fill="auto"/>
            <w:noWrap/>
            <w:vAlign w:val="bottom"/>
            <w:hideMark/>
          </w:tcPr>
          <w:p w14:paraId="1B060BD6"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0.019225</w:t>
            </w:r>
          </w:p>
        </w:tc>
        <w:tc>
          <w:tcPr>
            <w:tcW w:w="1520" w:type="dxa"/>
            <w:tcBorders>
              <w:top w:val="nil"/>
              <w:left w:val="nil"/>
              <w:bottom w:val="single" w:sz="4" w:space="0" w:color="000000"/>
              <w:right w:val="single" w:sz="4" w:space="0" w:color="000000"/>
            </w:tcBorders>
            <w:shd w:val="clear" w:color="auto" w:fill="auto"/>
            <w:noWrap/>
            <w:vAlign w:val="bottom"/>
            <w:hideMark/>
          </w:tcPr>
          <w:p w14:paraId="5200CE42"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-4.069</w:t>
            </w:r>
          </w:p>
        </w:tc>
        <w:tc>
          <w:tcPr>
            <w:tcW w:w="1520" w:type="dxa"/>
            <w:tcBorders>
              <w:top w:val="nil"/>
              <w:left w:val="nil"/>
              <w:bottom w:val="single" w:sz="4" w:space="0" w:color="000000"/>
              <w:right w:val="single" w:sz="4" w:space="0" w:color="000000"/>
            </w:tcBorders>
            <w:shd w:val="clear" w:color="auto" w:fill="auto"/>
            <w:noWrap/>
            <w:vAlign w:val="bottom"/>
            <w:hideMark/>
          </w:tcPr>
          <w:p w14:paraId="03F598B1"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6.24e-05***</w:t>
            </w:r>
          </w:p>
        </w:tc>
      </w:tr>
    </w:tbl>
    <w:p w14:paraId="304A1D50" w14:textId="47BCDBF6" w:rsidR="00222061" w:rsidRPr="00222061" w:rsidRDefault="00222061" w:rsidP="00FD3EB8">
      <w:pPr>
        <w:jc w:val="center"/>
        <w:rPr>
          <w:sz w:val="20"/>
          <w:szCs w:val="21"/>
        </w:rPr>
      </w:pPr>
      <w:r>
        <w:rPr>
          <w:sz w:val="20"/>
          <w:szCs w:val="21"/>
        </w:rPr>
        <w:t>r-squared value : 0.9998</w:t>
      </w:r>
    </w:p>
    <w:tbl>
      <w:tblPr>
        <w:tblW w:w="7940" w:type="dxa"/>
        <w:jc w:val="center"/>
        <w:tblLook w:val="04A0" w:firstRow="1" w:lastRow="0" w:firstColumn="1" w:lastColumn="0" w:noHBand="0" w:noVBand="1"/>
      </w:tblPr>
      <w:tblGrid>
        <w:gridCol w:w="1540"/>
        <w:gridCol w:w="1520"/>
        <w:gridCol w:w="1840"/>
        <w:gridCol w:w="1520"/>
        <w:gridCol w:w="1520"/>
      </w:tblGrid>
      <w:tr w:rsidR="00222061" w:rsidRPr="00222061" w14:paraId="73C49171" w14:textId="77777777" w:rsidTr="00FD3EB8">
        <w:trPr>
          <w:trHeight w:val="320"/>
          <w:jc w:val="center"/>
        </w:trPr>
        <w:tc>
          <w:tcPr>
            <w:tcW w:w="1540" w:type="dxa"/>
            <w:tcBorders>
              <w:top w:val="single" w:sz="4" w:space="0" w:color="000000"/>
              <w:left w:val="single" w:sz="4" w:space="0" w:color="000000"/>
              <w:bottom w:val="single" w:sz="4" w:space="0" w:color="000000"/>
              <w:right w:val="single" w:sz="4" w:space="0" w:color="000000"/>
            </w:tcBorders>
            <w:shd w:val="clear" w:color="000000" w:fill="215C98"/>
            <w:noWrap/>
            <w:vAlign w:val="bottom"/>
            <w:hideMark/>
          </w:tcPr>
          <w:p w14:paraId="48DDB34B"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Post-Covid</w:t>
            </w:r>
          </w:p>
        </w:tc>
        <w:tc>
          <w:tcPr>
            <w:tcW w:w="1520" w:type="dxa"/>
            <w:tcBorders>
              <w:top w:val="single" w:sz="4" w:space="0" w:color="000000"/>
              <w:left w:val="nil"/>
              <w:bottom w:val="nil"/>
              <w:right w:val="single" w:sz="4" w:space="0" w:color="000000"/>
            </w:tcBorders>
            <w:shd w:val="clear" w:color="000000" w:fill="215C98"/>
            <w:noWrap/>
            <w:vAlign w:val="bottom"/>
            <w:hideMark/>
          </w:tcPr>
          <w:p w14:paraId="7C3428DF" w14:textId="7FC093C4"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estimate</w:t>
            </w:r>
          </w:p>
        </w:tc>
        <w:tc>
          <w:tcPr>
            <w:tcW w:w="1840" w:type="dxa"/>
            <w:tcBorders>
              <w:top w:val="single" w:sz="4" w:space="0" w:color="000000"/>
              <w:left w:val="nil"/>
              <w:bottom w:val="nil"/>
              <w:right w:val="single" w:sz="4" w:space="0" w:color="000000"/>
            </w:tcBorders>
            <w:shd w:val="clear" w:color="000000" w:fill="215C98"/>
            <w:noWrap/>
            <w:vAlign w:val="bottom"/>
            <w:hideMark/>
          </w:tcPr>
          <w:p w14:paraId="7810F10A"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standard error</w:t>
            </w:r>
          </w:p>
        </w:tc>
        <w:tc>
          <w:tcPr>
            <w:tcW w:w="1520" w:type="dxa"/>
            <w:tcBorders>
              <w:top w:val="single" w:sz="4" w:space="0" w:color="000000"/>
              <w:left w:val="nil"/>
              <w:bottom w:val="nil"/>
              <w:right w:val="single" w:sz="4" w:space="0" w:color="000000"/>
            </w:tcBorders>
            <w:shd w:val="clear" w:color="000000" w:fill="215C98"/>
            <w:noWrap/>
            <w:vAlign w:val="bottom"/>
            <w:hideMark/>
          </w:tcPr>
          <w:p w14:paraId="3CFBFA8E"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t-value</w:t>
            </w:r>
          </w:p>
        </w:tc>
        <w:tc>
          <w:tcPr>
            <w:tcW w:w="1520" w:type="dxa"/>
            <w:tcBorders>
              <w:top w:val="single" w:sz="4" w:space="0" w:color="000000"/>
              <w:left w:val="nil"/>
              <w:bottom w:val="nil"/>
              <w:right w:val="single" w:sz="4" w:space="0" w:color="000000"/>
            </w:tcBorders>
            <w:shd w:val="clear" w:color="000000" w:fill="215C98"/>
            <w:noWrap/>
            <w:vAlign w:val="bottom"/>
            <w:hideMark/>
          </w:tcPr>
          <w:p w14:paraId="29C7DF0C" w14:textId="77777777" w:rsidR="00222061" w:rsidRPr="00222061" w:rsidRDefault="00222061" w:rsidP="00222061">
            <w:pPr>
              <w:spacing w:after="0" w:line="240" w:lineRule="auto"/>
              <w:rPr>
                <w:rFonts w:ascii="Aptos Narrow" w:eastAsia="Times New Roman" w:hAnsi="Aptos Narrow" w:cs="Times New Roman"/>
                <w:b/>
                <w:bCs/>
                <w:color w:val="E8E8E8"/>
                <w:sz w:val="24"/>
                <w:szCs w:val="24"/>
              </w:rPr>
            </w:pPr>
            <w:r w:rsidRPr="00222061">
              <w:rPr>
                <w:rFonts w:ascii="Aptos Narrow" w:eastAsia="Times New Roman" w:hAnsi="Aptos Narrow" w:cs="Times New Roman"/>
                <w:b/>
                <w:bCs/>
                <w:color w:val="E8E8E8"/>
                <w:sz w:val="24"/>
                <w:szCs w:val="24"/>
              </w:rPr>
              <w:t>p-value</w:t>
            </w:r>
          </w:p>
        </w:tc>
      </w:tr>
      <w:tr w:rsidR="00222061" w:rsidRPr="00222061" w14:paraId="6CEEF020" w14:textId="77777777" w:rsidTr="00FD3EB8">
        <w:trPr>
          <w:trHeight w:val="320"/>
          <w:jc w:val="center"/>
        </w:trPr>
        <w:tc>
          <w:tcPr>
            <w:tcW w:w="1540" w:type="dxa"/>
            <w:tcBorders>
              <w:top w:val="nil"/>
              <w:left w:val="single" w:sz="4" w:space="0" w:color="000000"/>
              <w:bottom w:val="nil"/>
              <w:right w:val="nil"/>
            </w:tcBorders>
            <w:shd w:val="clear" w:color="D9D9D9" w:fill="FFFFFF"/>
            <w:noWrap/>
            <w:vAlign w:val="bottom"/>
            <w:hideMark/>
          </w:tcPr>
          <w:p w14:paraId="570CA432" w14:textId="77777777"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Intercept</w:t>
            </w:r>
          </w:p>
        </w:tc>
        <w:tc>
          <w:tcPr>
            <w:tcW w:w="1520" w:type="dxa"/>
            <w:tcBorders>
              <w:top w:val="single" w:sz="4" w:space="0" w:color="000000"/>
              <w:left w:val="single" w:sz="4" w:space="0" w:color="000000"/>
              <w:bottom w:val="nil"/>
              <w:right w:val="single" w:sz="4" w:space="0" w:color="000000"/>
            </w:tcBorders>
            <w:shd w:val="clear" w:color="D9D9D9" w:fill="D9D9D9"/>
            <w:noWrap/>
            <w:vAlign w:val="bottom"/>
            <w:hideMark/>
          </w:tcPr>
          <w:p w14:paraId="1B03EDA7"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0.11728</w:t>
            </w:r>
          </w:p>
        </w:tc>
        <w:tc>
          <w:tcPr>
            <w:tcW w:w="1840" w:type="dxa"/>
            <w:tcBorders>
              <w:top w:val="single" w:sz="4" w:space="0" w:color="000000"/>
              <w:left w:val="nil"/>
              <w:bottom w:val="nil"/>
              <w:right w:val="single" w:sz="4" w:space="0" w:color="000000"/>
            </w:tcBorders>
            <w:shd w:val="clear" w:color="D9D9D9" w:fill="D9D9D9"/>
            <w:noWrap/>
            <w:vAlign w:val="bottom"/>
            <w:hideMark/>
          </w:tcPr>
          <w:p w14:paraId="00C0F132"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0.03243</w:t>
            </w:r>
          </w:p>
        </w:tc>
        <w:tc>
          <w:tcPr>
            <w:tcW w:w="1520" w:type="dxa"/>
            <w:tcBorders>
              <w:top w:val="single" w:sz="4" w:space="0" w:color="000000"/>
              <w:left w:val="nil"/>
              <w:bottom w:val="nil"/>
              <w:right w:val="single" w:sz="4" w:space="0" w:color="000000"/>
            </w:tcBorders>
            <w:shd w:val="clear" w:color="D9D9D9" w:fill="D9D9D9"/>
            <w:noWrap/>
            <w:vAlign w:val="bottom"/>
            <w:hideMark/>
          </w:tcPr>
          <w:p w14:paraId="04F1B042"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3.617</w:t>
            </w:r>
          </w:p>
        </w:tc>
        <w:tc>
          <w:tcPr>
            <w:tcW w:w="1520" w:type="dxa"/>
            <w:tcBorders>
              <w:top w:val="single" w:sz="4" w:space="0" w:color="000000"/>
              <w:left w:val="nil"/>
              <w:bottom w:val="nil"/>
              <w:right w:val="single" w:sz="4" w:space="0" w:color="000000"/>
            </w:tcBorders>
            <w:shd w:val="clear" w:color="D9D9D9" w:fill="D9D9D9"/>
            <w:noWrap/>
            <w:vAlign w:val="bottom"/>
            <w:hideMark/>
          </w:tcPr>
          <w:p w14:paraId="47038415"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0.000764***</w:t>
            </w:r>
          </w:p>
        </w:tc>
      </w:tr>
      <w:tr w:rsidR="00222061" w:rsidRPr="00222061" w14:paraId="39673FBA" w14:textId="77777777" w:rsidTr="00FD3EB8">
        <w:trPr>
          <w:trHeight w:val="320"/>
          <w:jc w:val="center"/>
        </w:trPr>
        <w:tc>
          <w:tcPr>
            <w:tcW w:w="1540" w:type="dxa"/>
            <w:tcBorders>
              <w:top w:val="single" w:sz="4" w:space="0" w:color="000000"/>
              <w:left w:val="single" w:sz="4" w:space="0" w:color="000000"/>
              <w:bottom w:val="nil"/>
              <w:right w:val="nil"/>
            </w:tcBorders>
            <w:shd w:val="clear" w:color="auto" w:fill="auto"/>
            <w:noWrap/>
            <w:vAlign w:val="bottom"/>
            <w:hideMark/>
          </w:tcPr>
          <w:p w14:paraId="257EFC0E" w14:textId="77777777"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lag(CPI)</w:t>
            </w:r>
          </w:p>
        </w:tc>
        <w:tc>
          <w:tcPr>
            <w:tcW w:w="1520" w:type="dxa"/>
            <w:tcBorders>
              <w:top w:val="single" w:sz="4" w:space="0" w:color="000000"/>
              <w:left w:val="single" w:sz="4" w:space="0" w:color="000000"/>
              <w:bottom w:val="nil"/>
              <w:right w:val="single" w:sz="4" w:space="0" w:color="000000"/>
            </w:tcBorders>
            <w:shd w:val="clear" w:color="auto" w:fill="auto"/>
            <w:noWrap/>
            <w:vAlign w:val="bottom"/>
            <w:hideMark/>
          </w:tcPr>
          <w:p w14:paraId="13986574"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0.89379</w:t>
            </w:r>
          </w:p>
        </w:tc>
        <w:tc>
          <w:tcPr>
            <w:tcW w:w="1840" w:type="dxa"/>
            <w:tcBorders>
              <w:top w:val="single" w:sz="4" w:space="0" w:color="000000"/>
              <w:left w:val="nil"/>
              <w:bottom w:val="nil"/>
              <w:right w:val="single" w:sz="4" w:space="0" w:color="000000"/>
            </w:tcBorders>
            <w:shd w:val="clear" w:color="auto" w:fill="auto"/>
            <w:noWrap/>
            <w:vAlign w:val="bottom"/>
            <w:hideMark/>
          </w:tcPr>
          <w:p w14:paraId="5878C7BD"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0.01534</w:t>
            </w:r>
          </w:p>
        </w:tc>
        <w:tc>
          <w:tcPr>
            <w:tcW w:w="1520" w:type="dxa"/>
            <w:tcBorders>
              <w:top w:val="single" w:sz="4" w:space="0" w:color="000000"/>
              <w:left w:val="nil"/>
              <w:bottom w:val="nil"/>
              <w:right w:val="single" w:sz="4" w:space="0" w:color="000000"/>
            </w:tcBorders>
            <w:shd w:val="clear" w:color="auto" w:fill="auto"/>
            <w:noWrap/>
            <w:vAlign w:val="bottom"/>
            <w:hideMark/>
          </w:tcPr>
          <w:p w14:paraId="2C938B22"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58.279</w:t>
            </w:r>
          </w:p>
        </w:tc>
        <w:tc>
          <w:tcPr>
            <w:tcW w:w="1520" w:type="dxa"/>
            <w:tcBorders>
              <w:top w:val="single" w:sz="4" w:space="0" w:color="000000"/>
              <w:left w:val="nil"/>
              <w:bottom w:val="nil"/>
              <w:right w:val="single" w:sz="4" w:space="0" w:color="000000"/>
            </w:tcBorders>
            <w:shd w:val="clear" w:color="auto" w:fill="auto"/>
            <w:noWrap/>
            <w:vAlign w:val="bottom"/>
            <w:hideMark/>
          </w:tcPr>
          <w:p w14:paraId="334D594A"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&lt;2E-16***</w:t>
            </w:r>
          </w:p>
        </w:tc>
      </w:tr>
      <w:tr w:rsidR="00222061" w:rsidRPr="00222061" w14:paraId="5E301AF4" w14:textId="77777777" w:rsidTr="00FD3EB8">
        <w:trPr>
          <w:trHeight w:val="320"/>
          <w:jc w:val="center"/>
        </w:trPr>
        <w:tc>
          <w:tcPr>
            <w:tcW w:w="1540" w:type="dxa"/>
            <w:tcBorders>
              <w:top w:val="single" w:sz="4" w:space="0" w:color="000000"/>
              <w:left w:val="single" w:sz="4" w:space="0" w:color="000000"/>
              <w:bottom w:val="nil"/>
              <w:right w:val="nil"/>
            </w:tcBorders>
            <w:shd w:val="clear" w:color="D9D9D9" w:fill="FFFFFF"/>
            <w:noWrap/>
            <w:vAlign w:val="bottom"/>
            <w:hideMark/>
          </w:tcPr>
          <w:p w14:paraId="4904A63A" w14:textId="7A3F9B93"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P</w:t>
            </w:r>
            <w:r w:rsidR="0030411A">
              <w:rPr>
                <w:rFonts w:ascii="Aptos Narrow" w:eastAsia="Times New Roman" w:hAnsi="Aptos Narrow" w:cs="Times New Roman"/>
                <w:b/>
                <w:bCs/>
                <w:color w:val="000000"/>
                <w:sz w:val="24"/>
                <w:szCs w:val="24"/>
              </w:rPr>
              <w:t>P</w:t>
            </w:r>
            <w:r w:rsidRPr="00222061">
              <w:rPr>
                <w:rFonts w:ascii="Aptos Narrow" w:eastAsia="Times New Roman" w:hAnsi="Aptos Narrow" w:cs="Times New Roman"/>
                <w:b/>
                <w:bCs/>
                <w:color w:val="000000"/>
                <w:sz w:val="24"/>
                <w:szCs w:val="24"/>
              </w:rPr>
              <w:t>I</w:t>
            </w:r>
          </w:p>
        </w:tc>
        <w:tc>
          <w:tcPr>
            <w:tcW w:w="1520" w:type="dxa"/>
            <w:tcBorders>
              <w:top w:val="single" w:sz="4" w:space="0" w:color="000000"/>
              <w:left w:val="single" w:sz="4" w:space="0" w:color="000000"/>
              <w:bottom w:val="nil"/>
              <w:right w:val="single" w:sz="4" w:space="0" w:color="000000"/>
            </w:tcBorders>
            <w:shd w:val="clear" w:color="D9D9D9" w:fill="D9D9D9"/>
            <w:noWrap/>
            <w:vAlign w:val="bottom"/>
            <w:hideMark/>
          </w:tcPr>
          <w:p w14:paraId="5269C8E0"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0.04909</w:t>
            </w:r>
          </w:p>
        </w:tc>
        <w:tc>
          <w:tcPr>
            <w:tcW w:w="1840" w:type="dxa"/>
            <w:tcBorders>
              <w:top w:val="single" w:sz="4" w:space="0" w:color="000000"/>
              <w:left w:val="nil"/>
              <w:bottom w:val="nil"/>
              <w:right w:val="single" w:sz="4" w:space="0" w:color="000000"/>
            </w:tcBorders>
            <w:shd w:val="clear" w:color="D9D9D9" w:fill="D9D9D9"/>
            <w:noWrap/>
            <w:vAlign w:val="bottom"/>
            <w:hideMark/>
          </w:tcPr>
          <w:p w14:paraId="3F4C0FFE"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0.02462</w:t>
            </w:r>
          </w:p>
        </w:tc>
        <w:tc>
          <w:tcPr>
            <w:tcW w:w="1520" w:type="dxa"/>
            <w:tcBorders>
              <w:top w:val="single" w:sz="4" w:space="0" w:color="000000"/>
              <w:left w:val="nil"/>
              <w:bottom w:val="nil"/>
              <w:right w:val="single" w:sz="4" w:space="0" w:color="000000"/>
            </w:tcBorders>
            <w:shd w:val="clear" w:color="D9D9D9" w:fill="D9D9D9"/>
            <w:noWrap/>
            <w:vAlign w:val="bottom"/>
            <w:hideMark/>
          </w:tcPr>
          <w:p w14:paraId="640E5C36"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1.994</w:t>
            </w:r>
          </w:p>
        </w:tc>
        <w:tc>
          <w:tcPr>
            <w:tcW w:w="1520" w:type="dxa"/>
            <w:tcBorders>
              <w:top w:val="single" w:sz="4" w:space="0" w:color="000000"/>
              <w:left w:val="nil"/>
              <w:bottom w:val="nil"/>
              <w:right w:val="single" w:sz="4" w:space="0" w:color="000000"/>
            </w:tcBorders>
            <w:shd w:val="clear" w:color="D9D9D9" w:fill="D9D9D9"/>
            <w:noWrap/>
            <w:vAlign w:val="bottom"/>
            <w:hideMark/>
          </w:tcPr>
          <w:p w14:paraId="15F474C3"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0.052394</w:t>
            </w:r>
          </w:p>
        </w:tc>
      </w:tr>
      <w:tr w:rsidR="00222061" w:rsidRPr="00222061" w14:paraId="3AAA564B" w14:textId="77777777" w:rsidTr="00FD3EB8">
        <w:trPr>
          <w:trHeight w:val="320"/>
          <w:jc w:val="center"/>
        </w:trPr>
        <w:tc>
          <w:tcPr>
            <w:tcW w:w="1540" w:type="dxa"/>
            <w:tcBorders>
              <w:top w:val="single" w:sz="4" w:space="0" w:color="000000"/>
              <w:left w:val="single" w:sz="4" w:space="0" w:color="000000"/>
              <w:bottom w:val="single" w:sz="4" w:space="0" w:color="000000"/>
              <w:right w:val="nil"/>
            </w:tcBorders>
            <w:shd w:val="clear" w:color="auto" w:fill="auto"/>
            <w:noWrap/>
            <w:vAlign w:val="bottom"/>
            <w:hideMark/>
          </w:tcPr>
          <w:p w14:paraId="7686F2BB" w14:textId="0FA8ACC9" w:rsidR="00222061" w:rsidRPr="00222061" w:rsidRDefault="00222061" w:rsidP="00222061">
            <w:pPr>
              <w:spacing w:after="0" w:line="240" w:lineRule="auto"/>
              <w:rPr>
                <w:rFonts w:ascii="Aptos Narrow" w:eastAsia="Times New Roman" w:hAnsi="Aptos Narrow" w:cs="Times New Roman"/>
                <w:b/>
                <w:bCs/>
                <w:color w:val="000000"/>
                <w:sz w:val="24"/>
                <w:szCs w:val="24"/>
              </w:rPr>
            </w:pPr>
            <w:r w:rsidRPr="00222061">
              <w:rPr>
                <w:rFonts w:ascii="Aptos Narrow" w:eastAsia="Times New Roman" w:hAnsi="Aptos Narrow" w:cs="Times New Roman"/>
                <w:b/>
                <w:bCs/>
                <w:color w:val="000000"/>
                <w:sz w:val="24"/>
                <w:szCs w:val="24"/>
              </w:rPr>
              <w:t>lag(</w:t>
            </w:r>
            <w:r w:rsidR="0030411A">
              <w:rPr>
                <w:rFonts w:ascii="Aptos Narrow" w:eastAsia="Times New Roman" w:hAnsi="Aptos Narrow" w:cs="Times New Roman"/>
                <w:b/>
                <w:bCs/>
                <w:color w:val="000000"/>
                <w:sz w:val="24"/>
                <w:szCs w:val="24"/>
              </w:rPr>
              <w:t>P</w:t>
            </w:r>
            <w:r w:rsidRPr="00222061">
              <w:rPr>
                <w:rFonts w:ascii="Aptos Narrow" w:eastAsia="Times New Roman" w:hAnsi="Aptos Narrow" w:cs="Times New Roman"/>
                <w:b/>
                <w:bCs/>
                <w:color w:val="000000"/>
                <w:sz w:val="24"/>
                <w:szCs w:val="24"/>
              </w:rPr>
              <w:t>PI)</w:t>
            </w:r>
          </w:p>
        </w:tc>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1AE5F2"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0.04096</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14:paraId="4CF4520D"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0.0269</w:t>
            </w:r>
          </w:p>
        </w:tc>
        <w:tc>
          <w:tcPr>
            <w:tcW w:w="1520" w:type="dxa"/>
            <w:tcBorders>
              <w:top w:val="single" w:sz="4" w:space="0" w:color="000000"/>
              <w:left w:val="nil"/>
              <w:bottom w:val="single" w:sz="4" w:space="0" w:color="000000"/>
              <w:right w:val="single" w:sz="4" w:space="0" w:color="000000"/>
            </w:tcBorders>
            <w:shd w:val="clear" w:color="auto" w:fill="auto"/>
            <w:noWrap/>
            <w:vAlign w:val="bottom"/>
            <w:hideMark/>
          </w:tcPr>
          <w:p w14:paraId="53FC8E18"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1.523</w:t>
            </w:r>
          </w:p>
        </w:tc>
        <w:tc>
          <w:tcPr>
            <w:tcW w:w="1520" w:type="dxa"/>
            <w:tcBorders>
              <w:top w:val="single" w:sz="4" w:space="0" w:color="000000"/>
              <w:left w:val="nil"/>
              <w:bottom w:val="single" w:sz="4" w:space="0" w:color="000000"/>
              <w:right w:val="single" w:sz="4" w:space="0" w:color="000000"/>
            </w:tcBorders>
            <w:shd w:val="clear" w:color="auto" w:fill="auto"/>
            <w:noWrap/>
            <w:vAlign w:val="bottom"/>
            <w:hideMark/>
          </w:tcPr>
          <w:p w14:paraId="1AE4129A" w14:textId="77777777" w:rsidR="00222061" w:rsidRPr="00222061" w:rsidRDefault="00222061" w:rsidP="00222061">
            <w:pPr>
              <w:spacing w:after="0" w:line="240" w:lineRule="auto"/>
              <w:jc w:val="right"/>
              <w:rPr>
                <w:rFonts w:ascii="Aptos Narrow" w:eastAsia="Times New Roman" w:hAnsi="Aptos Narrow" w:cs="Times New Roman"/>
                <w:color w:val="000000"/>
                <w:sz w:val="24"/>
                <w:szCs w:val="24"/>
              </w:rPr>
            </w:pPr>
            <w:r w:rsidRPr="00222061">
              <w:rPr>
                <w:rFonts w:ascii="Aptos Narrow" w:eastAsia="Times New Roman" w:hAnsi="Aptos Narrow" w:cs="Times New Roman"/>
                <w:color w:val="000000"/>
                <w:sz w:val="24"/>
                <w:szCs w:val="24"/>
              </w:rPr>
              <w:t>0.134993</w:t>
            </w:r>
          </w:p>
        </w:tc>
      </w:tr>
    </w:tbl>
    <w:p w14:paraId="180394E3" w14:textId="67FDBE77" w:rsidR="00C43B7B" w:rsidRPr="00FD3EB8" w:rsidRDefault="00222061" w:rsidP="00FD3EB8">
      <w:pPr>
        <w:jc w:val="center"/>
        <w:rPr>
          <w:sz w:val="20"/>
          <w:szCs w:val="21"/>
        </w:rPr>
      </w:pPr>
      <w:r>
        <w:rPr>
          <w:sz w:val="20"/>
          <w:szCs w:val="21"/>
        </w:rPr>
        <w:t>r-squared value : 0.9987</w:t>
      </w:r>
    </w:p>
    <w:p w14:paraId="4A9BE2D0" w14:textId="2EE1D623" w:rsidR="00FD3EB8" w:rsidRDefault="00C43B7B" w:rsidP="00FD3EB8">
      <w:pPr>
        <w:rPr>
          <w:sz w:val="22"/>
          <w:szCs w:val="24"/>
        </w:rPr>
      </w:pPr>
      <w:r w:rsidRPr="00C43B7B">
        <w:rPr>
          <w:sz w:val="22"/>
          <w:szCs w:val="24"/>
        </w:rPr>
        <w:t xml:space="preserve">The </w:t>
      </w:r>
      <w:r w:rsidR="00FD3EB8">
        <w:rPr>
          <w:sz w:val="22"/>
          <w:szCs w:val="24"/>
        </w:rPr>
        <w:t>pre-</w:t>
      </w:r>
      <w:r w:rsidR="00185BE7">
        <w:rPr>
          <w:sz w:val="22"/>
          <w:szCs w:val="24"/>
        </w:rPr>
        <w:t>COVID</w:t>
      </w:r>
      <w:r w:rsidR="00FD3EB8">
        <w:rPr>
          <w:sz w:val="22"/>
          <w:szCs w:val="24"/>
        </w:rPr>
        <w:t xml:space="preserve"> ARDL</w:t>
      </w:r>
      <w:r w:rsidRPr="00C43B7B">
        <w:rPr>
          <w:sz w:val="22"/>
          <w:szCs w:val="24"/>
        </w:rPr>
        <w:t xml:space="preserve"> model shows that both the current and lagged values of producer price level have a highly significant impact on the consumer price level (CPI).</w:t>
      </w:r>
      <w:r w:rsidR="00FD3EB8">
        <w:rPr>
          <w:sz w:val="22"/>
          <w:szCs w:val="24"/>
        </w:rPr>
        <w:t xml:space="preserve"> </w:t>
      </w:r>
      <w:r w:rsidRPr="00C43B7B">
        <w:rPr>
          <w:sz w:val="22"/>
          <w:szCs w:val="24"/>
        </w:rPr>
        <w:t>However, in the post-</w:t>
      </w:r>
      <w:r w:rsidR="00185BE7">
        <w:rPr>
          <w:sz w:val="22"/>
          <w:szCs w:val="24"/>
        </w:rPr>
        <w:t>COVID</w:t>
      </w:r>
      <w:r w:rsidRPr="00C43B7B">
        <w:rPr>
          <w:sz w:val="22"/>
          <w:szCs w:val="24"/>
        </w:rPr>
        <w:t xml:space="preserve"> ARDL model, the impact of the producer price level (PCI) becomes marginally significant, with the lagged producer price level showing no significant impact.</w:t>
      </w:r>
      <w:r w:rsidR="00FD3EB8">
        <w:rPr>
          <w:sz w:val="22"/>
          <w:szCs w:val="24"/>
        </w:rPr>
        <w:t xml:space="preserve"> </w:t>
      </w:r>
      <w:r w:rsidRPr="00C43B7B">
        <w:rPr>
          <w:sz w:val="22"/>
          <w:szCs w:val="24"/>
        </w:rPr>
        <w:t xml:space="preserve">This difference in significance suggests a potential change in the relationship between producer and consumer prices after the COVID period. </w:t>
      </w:r>
      <w:r w:rsidR="009C67C2">
        <w:rPr>
          <w:sz w:val="22"/>
          <w:szCs w:val="24"/>
        </w:rPr>
        <w:t xml:space="preserve">This change in trends can be seen clearly when examining a graph of PPI and CPI over the last 15 years. </w:t>
      </w:r>
    </w:p>
    <w:p w14:paraId="27121E30" w14:textId="7AD262E9" w:rsidR="008E4C95" w:rsidRDefault="008E55B9">
      <w:pPr>
        <w:spacing w:after="200" w:line="276" w:lineRule="auto"/>
        <w:rPr>
          <w:sz w:val="22"/>
          <w:szCs w:val="24"/>
        </w:rPr>
      </w:pPr>
      <w:r>
        <w:rPr>
          <w:noProof/>
          <w:sz w:val="22"/>
          <w:szCs w:val="24"/>
        </w:rPr>
        <w:lastRenderedPageBreak/>
        <mc:AlternateContent>
          <mc:Choice Requires="wps">
            <w:drawing>
              <wp:anchor distT="0" distB="0" distL="114300" distR="114300" simplePos="0" relativeHeight="251661314" behindDoc="0" locked="0" layoutInCell="1" allowOverlap="1" wp14:anchorId="74297110" wp14:editId="60ACAC89">
                <wp:simplePos x="0" y="0"/>
                <wp:positionH relativeFrom="column">
                  <wp:posOffset>5336583</wp:posOffset>
                </wp:positionH>
                <wp:positionV relativeFrom="paragraph">
                  <wp:posOffset>1332854</wp:posOffset>
                </wp:positionV>
                <wp:extent cx="480592" cy="119085"/>
                <wp:effectExtent l="0" t="0" r="15240" b="8255"/>
                <wp:wrapNone/>
                <wp:docPr id="900905336" name="Rectangle 3"/>
                <wp:cNvGraphicFramePr/>
                <a:graphic xmlns:a="http://schemas.openxmlformats.org/drawingml/2006/main">
                  <a:graphicData uri="http://schemas.microsoft.com/office/word/2010/wordprocessingShape">
                    <wps:wsp>
                      <wps:cNvSpPr/>
                      <wps:spPr>
                        <a:xfrm>
                          <a:off x="0" y="0"/>
                          <a:ext cx="480592" cy="11908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E563F" id="Rectangle 3" o:spid="_x0000_s1026" style="position:absolute;margin-left:420.2pt;margin-top:104.95pt;width:37.85pt;height:9.4pt;z-index:2516613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" fillcolor="white [3212]" strokecolor="white [3212]" strokeweight="1pt"/>
            </w:pict>
          </mc:Fallback>
        </mc:AlternateContent>
      </w:r>
      <w:r w:rsidR="008E6D95">
        <w:rPr>
          <w:noProof/>
          <w:sz w:val="22"/>
          <w:szCs w:val="24"/>
        </w:rPr>
        <w:drawing>
          <wp:inline distT="0" distB="0" distL="0" distR="0" wp14:anchorId="3AD414B7" wp14:editId="28A528E6">
            <wp:extent cx="5943600" cy="3308985"/>
            <wp:effectExtent l="0" t="0" r="0" b="5715"/>
            <wp:docPr id="998483435" name="Picture 5" descr="A graph of a graph showing the growt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83435" name="Picture 5" descr="A graph of a graph showing the growth of a number of ye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p>
    <w:p w14:paraId="700EC195" w14:textId="77777777" w:rsidR="008E6D95" w:rsidRDefault="008E4C95">
      <w:pPr>
        <w:spacing w:after="200" w:line="276" w:lineRule="auto"/>
        <w:rPr>
          <w:sz w:val="22"/>
          <w:szCs w:val="24"/>
        </w:rPr>
      </w:pPr>
      <w:r>
        <w:rPr>
          <w:sz w:val="22"/>
          <w:szCs w:val="24"/>
        </w:rPr>
        <w:t xml:space="preserve">As can be seen in this graph, the two variables follow similar trends that would be typical of cointegrated systems. </w:t>
      </w:r>
      <w:r w:rsidR="008E6D95">
        <w:rPr>
          <w:sz w:val="22"/>
          <w:szCs w:val="24"/>
        </w:rPr>
        <w:t xml:space="preserve">Though the consumer price index is less responsive to shocks, both variables display similar trends and rates of change throughout the sample. </w:t>
      </w:r>
      <w:r>
        <w:rPr>
          <w:sz w:val="22"/>
          <w:szCs w:val="24"/>
        </w:rPr>
        <w:t>However, in the past few years, CPI has been increasing at a much higher rate than P</w:t>
      </w:r>
      <w:r w:rsidR="008E6D95">
        <w:rPr>
          <w:sz w:val="22"/>
          <w:szCs w:val="24"/>
        </w:rPr>
        <w:t>P</w:t>
      </w:r>
      <w:r>
        <w:rPr>
          <w:sz w:val="22"/>
          <w:szCs w:val="24"/>
        </w:rPr>
        <w:t xml:space="preserve">I, which appears to have plateaued around the level of 250. This is an interesting observation, and one that is </w:t>
      </w:r>
      <w:r w:rsidR="008E6D95">
        <w:rPr>
          <w:sz w:val="22"/>
          <w:szCs w:val="24"/>
        </w:rPr>
        <w:t xml:space="preserve">backed up by the results of the previously stated ARDL models. Now, it is important to put these changes in context, and try to understand what may be driving these variables apart. </w:t>
      </w:r>
    </w:p>
    <w:p w14:paraId="49CD3BA3" w14:textId="561F4AA2" w:rsidR="0066712B" w:rsidRDefault="008E6D95">
      <w:pPr>
        <w:spacing w:after="200" w:line="276" w:lineRule="auto"/>
        <w:rPr>
          <w:sz w:val="22"/>
          <w:szCs w:val="24"/>
        </w:rPr>
      </w:pPr>
      <w:r>
        <w:rPr>
          <w:sz w:val="22"/>
          <w:szCs w:val="24"/>
        </w:rPr>
        <w:t xml:space="preserve">The key factor at play is undoubtedly </w:t>
      </w:r>
      <w:hyperlink r:id="rId15" w:history="1">
        <w:r w:rsidRPr="008E6D95">
          <w:rPr>
            <w:rStyle w:val="Hyperlink"/>
            <w:sz w:val="22"/>
            <w:szCs w:val="24"/>
          </w:rPr>
          <w:t>corporate profits</w:t>
        </w:r>
      </w:hyperlink>
      <w:r>
        <w:rPr>
          <w:sz w:val="22"/>
          <w:szCs w:val="24"/>
        </w:rPr>
        <w:t xml:space="preserve">, which have increased massively in the food industry over the past few years. </w:t>
      </w:r>
      <w:r w:rsidR="008E3338">
        <w:rPr>
          <w:sz w:val="22"/>
          <w:szCs w:val="24"/>
        </w:rPr>
        <w:t xml:space="preserve">These profit increases </w:t>
      </w:r>
      <w:r w:rsidR="00705FFF">
        <w:rPr>
          <w:sz w:val="22"/>
          <w:szCs w:val="24"/>
        </w:rPr>
        <w:t xml:space="preserve">have </w:t>
      </w:r>
      <w:r w:rsidR="00673EE8">
        <w:rPr>
          <w:sz w:val="22"/>
          <w:szCs w:val="24"/>
        </w:rPr>
        <w:t xml:space="preserve">largely </w:t>
      </w:r>
      <w:r w:rsidR="00705FFF">
        <w:rPr>
          <w:sz w:val="22"/>
          <w:szCs w:val="24"/>
        </w:rPr>
        <w:t xml:space="preserve">been driven by price increases imposed on consumers, with one PepsiCo executive even stating </w:t>
      </w:r>
      <w:hyperlink r:id="rId16" w:history="1">
        <w:r w:rsidR="00705FFF" w:rsidRPr="00705FFF">
          <w:rPr>
            <w:rStyle w:val="Hyperlink"/>
            <w:sz w:val="22"/>
            <w:szCs w:val="24"/>
          </w:rPr>
          <w:t>“I still think we’re capable of taking whatever pricing we need.”</w:t>
        </w:r>
      </w:hyperlink>
      <w:r w:rsidR="00705FFF">
        <w:rPr>
          <w:sz w:val="22"/>
          <w:szCs w:val="24"/>
        </w:rPr>
        <w:t xml:space="preserve"> </w:t>
      </w:r>
      <w:r w:rsidR="00673EE8">
        <w:rPr>
          <w:sz w:val="22"/>
          <w:szCs w:val="24"/>
        </w:rPr>
        <w:t xml:space="preserve">Though profit increases have been lauded by executives and shareholders alike, the burden is falling on the American consumer, with low-income families feeling the greatest impact. This is also amidst rising levels of </w:t>
      </w:r>
      <w:hyperlink r:id="rId17" w:history="1">
        <w:r w:rsidR="00673EE8" w:rsidRPr="00673EE8">
          <w:rPr>
            <w:rStyle w:val="Hyperlink"/>
            <w:sz w:val="22"/>
            <w:szCs w:val="24"/>
          </w:rPr>
          <w:t>shrinkflation</w:t>
        </w:r>
      </w:hyperlink>
      <w:r w:rsidR="00673EE8">
        <w:rPr>
          <w:sz w:val="22"/>
          <w:szCs w:val="24"/>
        </w:rPr>
        <w:t xml:space="preserve">, which is </w:t>
      </w:r>
      <w:r w:rsidR="00673EE8" w:rsidRPr="00673EE8">
        <w:rPr>
          <w:sz w:val="22"/>
          <w:szCs w:val="24"/>
        </w:rPr>
        <w:t>the practice of reducing the size of a product while maintaining its price, often used by companies as a subtle form of price increase.</w:t>
      </w:r>
      <w:r w:rsidR="0066712B">
        <w:rPr>
          <w:sz w:val="22"/>
          <w:szCs w:val="24"/>
        </w:rPr>
        <w:t xml:space="preserve"> In short, Americans are spending more on groceries, receiving less food, all while corporate profits continue to climb. </w:t>
      </w:r>
    </w:p>
    <w:p w14:paraId="529BB00D" w14:textId="77777777" w:rsidR="00673EE8" w:rsidRDefault="00673EE8">
      <w:pPr>
        <w:spacing w:after="200" w:line="276" w:lineRule="auto"/>
        <w:rPr>
          <w:sz w:val="22"/>
          <w:szCs w:val="24"/>
        </w:rPr>
      </w:pPr>
    </w:p>
    <w:p w14:paraId="3E4859E0" w14:textId="77777777" w:rsidR="00673EE8" w:rsidRDefault="00673EE8">
      <w:pPr>
        <w:spacing w:after="200" w:line="276" w:lineRule="auto"/>
        <w:rPr>
          <w:sz w:val="22"/>
          <w:szCs w:val="24"/>
        </w:rPr>
      </w:pPr>
    </w:p>
    <w:p w14:paraId="13B34E0C" w14:textId="77777777" w:rsidR="00673EE8" w:rsidRDefault="00673EE8">
      <w:pPr>
        <w:spacing w:after="200" w:line="276" w:lineRule="auto"/>
        <w:rPr>
          <w:sz w:val="22"/>
          <w:szCs w:val="24"/>
        </w:rPr>
      </w:pPr>
    </w:p>
    <w:p w14:paraId="7688DA7B" w14:textId="1A0B2ADA" w:rsidR="00C43B7B" w:rsidRDefault="00FD3EB8" w:rsidP="00FD3EB8">
      <w:pPr>
        <w:pStyle w:val="Heading1"/>
        <w:rPr>
          <w:i/>
          <w:iCs/>
          <w:vertAlign w:val="subscript"/>
        </w:rPr>
      </w:pPr>
      <w:r>
        <w:lastRenderedPageBreak/>
        <w:t xml:space="preserve">Forecasting </w:t>
      </w:r>
      <w:r w:rsidRPr="00FD3EB8">
        <w:rPr>
          <w:i/>
          <w:iCs/>
        </w:rPr>
        <w:t>x</w:t>
      </w:r>
      <w:r w:rsidRPr="00FD3EB8">
        <w:rPr>
          <w:i/>
          <w:iCs/>
          <w:vertAlign w:val="subscript"/>
        </w:rPr>
        <w:t>T</w:t>
      </w:r>
    </w:p>
    <w:p w14:paraId="20E286A4" w14:textId="77777777" w:rsidR="00FD3EB8" w:rsidRDefault="00FD3EB8" w:rsidP="00FD3EB8"/>
    <w:p w14:paraId="0349422E" w14:textId="6D91B01F" w:rsidR="00FD3EB8" w:rsidRDefault="00FD3EB8" w:rsidP="00FD3EB8">
      <w:r>
        <w:t xml:space="preserve">Using the </w:t>
      </w:r>
      <w:r w:rsidR="008350F4">
        <w:t>‘</w:t>
      </w:r>
      <w:r>
        <w:t>auto.arima</w:t>
      </w:r>
      <w:r w:rsidR="008350F4">
        <w:t>’</w:t>
      </w:r>
      <w:r>
        <w:t xml:space="preserve"> function in R, I was able to compute a point forecast </w:t>
      </w:r>
      <w:r w:rsidR="008350F4">
        <w:t xml:space="preserve">over the next </w:t>
      </w:r>
      <w:r w:rsidR="001F0F70">
        <w:t>12 months</w:t>
      </w:r>
      <w:r w:rsidR="008350F4">
        <w:t xml:space="preserve"> for the producer price index. </w:t>
      </w:r>
      <w:r w:rsidR="001F0F70">
        <w:t xml:space="preserve">This function found the optimal predictive model for </w:t>
      </w:r>
      <w:r w:rsidR="001F0F70" w:rsidRPr="001F0F70">
        <w:rPr>
          <w:i/>
          <w:iCs/>
        </w:rPr>
        <w:t>x</w:t>
      </w:r>
      <w:r w:rsidR="001F0F70" w:rsidRPr="001F0F70">
        <w:rPr>
          <w:i/>
          <w:iCs/>
          <w:vertAlign w:val="subscript"/>
        </w:rPr>
        <w:t>T</w:t>
      </w:r>
      <w:r w:rsidR="001F0F70">
        <w:t xml:space="preserve"> included two </w:t>
      </w:r>
      <w:r w:rsidR="002636A1">
        <w:t xml:space="preserve">lagged forecast error terms </w:t>
      </w:r>
      <w:r w:rsidR="001F0F70">
        <w:t>and an integration order of one</w:t>
      </w:r>
      <w:r w:rsidR="009C67C2">
        <w:t xml:space="preserve">. </w:t>
      </w:r>
      <w:r w:rsidR="008350F4">
        <w:t>This forecast includes a 95% confidence interval, wh</w:t>
      </w:r>
      <w:r w:rsidR="009C67C2">
        <w:t>ich</w:t>
      </w:r>
      <w:r w:rsidR="008350F4">
        <w:t xml:space="preserve"> can be seen as the shaded area of the graph. </w:t>
      </w:r>
    </w:p>
    <w:p w14:paraId="469F847D" w14:textId="33CD1B39" w:rsidR="009C67C2" w:rsidRDefault="009C67C2" w:rsidP="00EE7FC6">
      <w:pPr>
        <w:jc w:val="center"/>
      </w:pPr>
      <w:r>
        <w:rPr>
          <w:noProof/>
        </w:rPr>
        <mc:AlternateContent>
          <mc:Choice Requires="wps">
            <w:drawing>
              <wp:anchor distT="0" distB="0" distL="114300" distR="114300" simplePos="0" relativeHeight="251658241" behindDoc="0" locked="0" layoutInCell="1" allowOverlap="1" wp14:anchorId="5E9A2CA7" wp14:editId="414739B5">
                <wp:simplePos x="0" y="0"/>
                <wp:positionH relativeFrom="column">
                  <wp:posOffset>-62475</wp:posOffset>
                </wp:positionH>
                <wp:positionV relativeFrom="paragraph">
                  <wp:posOffset>544634</wp:posOffset>
                </wp:positionV>
                <wp:extent cx="337185" cy="1146517"/>
                <wp:effectExtent l="0" t="0" r="5715" b="0"/>
                <wp:wrapNone/>
                <wp:docPr id="188363575" name="Text Box 3"/>
                <wp:cNvGraphicFramePr/>
                <a:graphic xmlns:a="http://schemas.openxmlformats.org/drawingml/2006/main">
                  <a:graphicData uri="http://schemas.microsoft.com/office/word/2010/wordprocessingShape">
                    <wps:wsp>
                      <wps:cNvSpPr txBox="1"/>
                      <wps:spPr>
                        <a:xfrm rot="10800000">
                          <a:off x="0" y="0"/>
                          <a:ext cx="337185" cy="1146517"/>
                        </a:xfrm>
                        <a:prstGeom prst="rect">
                          <a:avLst/>
                        </a:prstGeom>
                        <a:solidFill>
                          <a:schemeClr val="lt1"/>
                        </a:solidFill>
                        <a:ln w="6350">
                          <a:noFill/>
                        </a:ln>
                      </wps:spPr>
                      <wps:txbx>
                        <w:txbxContent>
                          <w:p w14:paraId="046CCAAF" w14:textId="16ECABB8" w:rsidR="009C67C2" w:rsidRDefault="009C67C2">
                            <w:r>
                              <w:t>PPI</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9A2CA7" id="_x0000_t202" coordsize="21600,21600" o:spt="202" path="m,l,21600r21600,l21600,xe">
                <v:stroke joinstyle="miter"/>
                <v:path gradientshapeok="t" o:connecttype="rect"/>
              </v:shapetype>
              <v:shape id="Text Box 3" o:spid="_x0000_s1026" type="#_x0000_t202" style="position:absolute;left:0;text-align:left;margin-left:-4.9pt;margin-top:42.9pt;width:26.55pt;height:90.3pt;rotation:180;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" fillcolor="white [3201]" stroked="f" strokeweight=".5pt">
                <v:textbox style="layout-flow:vertical-ideographic">
                  <w:txbxContent>
                    <w:p w14:paraId="046CCAAF" w14:textId="16ECABB8" w:rsidR="009C67C2" w:rsidRDefault="009C67C2">
                      <w:r>
                        <w:t>PPI</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15A7BF5" wp14:editId="323F242A">
                <wp:simplePos x="0" y="0"/>
                <wp:positionH relativeFrom="column">
                  <wp:posOffset>2742907</wp:posOffset>
                </wp:positionH>
                <wp:positionV relativeFrom="paragraph">
                  <wp:posOffset>2810315</wp:posOffset>
                </wp:positionV>
                <wp:extent cx="1849901" cy="325071"/>
                <wp:effectExtent l="0" t="0" r="4445" b="5715"/>
                <wp:wrapNone/>
                <wp:docPr id="22737358" name="Text Box 2"/>
                <wp:cNvGraphicFramePr/>
                <a:graphic xmlns:a="http://schemas.openxmlformats.org/drawingml/2006/main">
                  <a:graphicData uri="http://schemas.microsoft.com/office/word/2010/wordprocessingShape">
                    <wps:wsp>
                      <wps:cNvSpPr txBox="1"/>
                      <wps:spPr>
                        <a:xfrm>
                          <a:off x="0" y="0"/>
                          <a:ext cx="1849901" cy="325071"/>
                        </a:xfrm>
                        <a:prstGeom prst="rect">
                          <a:avLst/>
                        </a:prstGeom>
                        <a:solidFill>
                          <a:schemeClr val="lt1"/>
                        </a:solidFill>
                        <a:ln w="6350">
                          <a:noFill/>
                        </a:ln>
                      </wps:spPr>
                      <wps:txbx>
                        <w:txbxContent>
                          <w:p w14:paraId="65F0C25F" w14:textId="0F53F68A" w:rsidR="009C67C2" w:rsidRDefault="009C67C2">
                            <w:r>
                              <w:t>Time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A7BF5" id="Text Box 2" o:spid="_x0000_s1027" type="#_x0000_t202" style="position:absolute;left:0;text-align:left;margin-left:3in;margin-top:221.3pt;width:145.65pt;height:25.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" fillcolor="white [3201]" stroked="f" strokeweight=".5pt">
                <v:textbox>
                  <w:txbxContent>
                    <w:p w14:paraId="65F0C25F" w14:textId="0F53F68A" w:rsidR="009C67C2" w:rsidRDefault="009C67C2">
                      <w:r>
                        <w:t>Time (Months)</w:t>
                      </w:r>
                    </w:p>
                  </w:txbxContent>
                </v:textbox>
              </v:shape>
            </w:pict>
          </mc:Fallback>
        </mc:AlternateContent>
      </w:r>
      <w:r w:rsidR="008350F4">
        <w:rPr>
          <w:noProof/>
        </w:rPr>
        <w:drawing>
          <wp:inline distT="0" distB="0" distL="0" distR="0" wp14:anchorId="14FF5FEA" wp14:editId="276A0296">
            <wp:extent cx="5943600" cy="3258185"/>
            <wp:effectExtent l="0" t="0" r="0" b="5715"/>
            <wp:docPr id="102711332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13325" name="Picture 1" descr="A graph of a graph&#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14:paraId="428926F2" w14:textId="20705553" w:rsidR="00EE7FC6" w:rsidRDefault="009C67C2" w:rsidP="00FD3EB8">
      <w:r>
        <w:t>This graph shows that the producer price index is expected to increase slightly over the next yea</w:t>
      </w:r>
      <w:r w:rsidR="0066712B">
        <w:t xml:space="preserve">r, following a similar trend to the long-term growth rate of the PPI. It should be noted that the </w:t>
      </w:r>
      <w:r w:rsidR="00EC71FA">
        <w:t xml:space="preserve">confidence </w:t>
      </w:r>
      <w:r w:rsidR="0066712B">
        <w:t xml:space="preserve">interval widens as time goes on, as more and more variance is taken on in </w:t>
      </w:r>
      <w:r w:rsidR="00EC71FA">
        <w:t>predicting</w:t>
      </w:r>
      <w:r w:rsidR="0066712B">
        <w:t xml:space="preserve"> later periods. Personally, I expect PPI to continue undulating around the 250 </w:t>
      </w:r>
      <w:proofErr w:type="gramStart"/>
      <w:r w:rsidR="00EC71FA">
        <w:t>mark</w:t>
      </w:r>
      <w:proofErr w:type="gramEnd"/>
      <w:r w:rsidR="00EC71FA">
        <w:t xml:space="preserve">, with some slight variation that can attributed to supply shocks. I believe the suppliers of food manufactures are satisfied with the prices they took during the </w:t>
      </w:r>
      <w:r w:rsidR="00185BE7">
        <w:t>COVID</w:t>
      </w:r>
      <w:r w:rsidR="00EC71FA">
        <w:t xml:space="preserve">-19 pandemic, and will not be looking to greatly increase prices on manufactures unless prompted by some externality or supply shock. </w:t>
      </w:r>
    </w:p>
    <w:p w14:paraId="7F5380A1" w14:textId="77777777" w:rsidR="00EE7FC6" w:rsidRDefault="00EE7FC6">
      <w:pPr>
        <w:spacing w:after="200" w:line="276" w:lineRule="auto"/>
      </w:pPr>
      <w:r>
        <w:br w:type="page"/>
      </w:r>
    </w:p>
    <w:p w14:paraId="244CA60A" w14:textId="45E86B26" w:rsidR="009C67C2" w:rsidRDefault="00EE7FC6" w:rsidP="00EE7FC6">
      <w:pPr>
        <w:pStyle w:val="Heading1"/>
        <w:rPr>
          <w:i/>
          <w:iCs/>
          <w:vertAlign w:val="subscript"/>
        </w:rPr>
      </w:pPr>
      <w:r>
        <w:lastRenderedPageBreak/>
        <w:t xml:space="preserve">Forecasting </w:t>
      </w:r>
      <w:r w:rsidRPr="00EE7FC6">
        <w:rPr>
          <w:i/>
          <w:iCs/>
        </w:rPr>
        <w:t>y</w:t>
      </w:r>
      <w:r w:rsidRPr="00EE7FC6">
        <w:rPr>
          <w:i/>
          <w:iCs/>
          <w:vertAlign w:val="subscript"/>
        </w:rPr>
        <w:t>t</w:t>
      </w:r>
    </w:p>
    <w:p w14:paraId="4ACB210F" w14:textId="77777777" w:rsidR="00EE7FC6" w:rsidRDefault="00EE7FC6" w:rsidP="00EE7FC6"/>
    <w:p w14:paraId="7DE47DE3" w14:textId="58C22CCD" w:rsidR="00EE7FC6" w:rsidRDefault="00EE7FC6" w:rsidP="007E0BE2">
      <w:r>
        <w:t xml:space="preserve">Using a causal regression model and my forecasted values of </w:t>
      </w:r>
      <w:r w:rsidRPr="00EE7FC6">
        <w:rPr>
          <w:i/>
          <w:iCs/>
        </w:rPr>
        <w:t>x</w:t>
      </w:r>
      <w:r w:rsidRPr="00EE7FC6">
        <w:rPr>
          <w:i/>
          <w:iCs/>
          <w:vertAlign w:val="subscript"/>
        </w:rPr>
        <w:t>t</w:t>
      </w:r>
      <w:r>
        <w:t xml:space="preserve">, I was able to </w:t>
      </w:r>
      <w:r w:rsidRPr="00EE7FC6">
        <w:t xml:space="preserve">compute point and interval forecasts of </w:t>
      </w:r>
      <w:r w:rsidRPr="00EE7FC6">
        <w:rPr>
          <w:i/>
          <w:iCs/>
        </w:rPr>
        <w:t>y</w:t>
      </w:r>
      <w:r w:rsidRPr="00EE7FC6">
        <w:rPr>
          <w:i/>
          <w:iCs/>
          <w:vertAlign w:val="subscript"/>
        </w:rPr>
        <w:t>t</w:t>
      </w:r>
      <w:r w:rsidRPr="00EE7FC6">
        <w:rPr>
          <w:vertAlign w:val="subscript"/>
        </w:rPr>
        <w:t xml:space="preserve"> </w:t>
      </w:r>
      <w:r>
        <w:rPr>
          <w:vertAlign w:val="subscript"/>
        </w:rPr>
        <w:t xml:space="preserve"> </w:t>
      </w:r>
      <w:r w:rsidRPr="00EE7FC6">
        <w:t>twelve periods beyond the end of the sample.</w:t>
      </w:r>
      <w:r>
        <w:t xml:space="preserve"> </w:t>
      </w:r>
    </w:p>
    <w:p w14:paraId="37846856" w14:textId="2C3DA04C" w:rsidR="007E0BE2" w:rsidRDefault="007E0BE2" w:rsidP="007E0BE2">
      <w:r>
        <w:rPr>
          <w:noProof/>
        </w:rPr>
        <w:drawing>
          <wp:anchor distT="0" distB="0" distL="114300" distR="114300" simplePos="0" relativeHeight="251658242" behindDoc="0" locked="0" layoutInCell="1" allowOverlap="1" wp14:anchorId="19AFA8AC" wp14:editId="2EB25A96">
            <wp:simplePos x="0" y="0"/>
            <wp:positionH relativeFrom="column">
              <wp:posOffset>203835</wp:posOffset>
            </wp:positionH>
            <wp:positionV relativeFrom="paragraph">
              <wp:posOffset>182148</wp:posOffset>
            </wp:positionV>
            <wp:extent cx="5493385" cy="3239135"/>
            <wp:effectExtent l="0" t="0" r="5715" b="0"/>
            <wp:wrapSquare wrapText="bothSides"/>
            <wp:docPr id="761556028" name="Picture 7" descr="A graph showing the price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56028" name="Picture 7" descr="A graph showing the price of a produc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93385" cy="3239135"/>
                    </a:xfrm>
                    <a:prstGeom prst="rect">
                      <a:avLst/>
                    </a:prstGeom>
                  </pic:spPr>
                </pic:pic>
              </a:graphicData>
            </a:graphic>
            <wp14:sizeRelH relativeFrom="page">
              <wp14:pctWidth>0</wp14:pctWidth>
            </wp14:sizeRelH>
            <wp14:sizeRelV relativeFrom="page">
              <wp14:pctHeight>0</wp14:pctHeight>
            </wp14:sizeRelV>
          </wp:anchor>
        </w:drawing>
      </w:r>
    </w:p>
    <w:p w14:paraId="101B9F5B" w14:textId="77777777" w:rsidR="007E0BE2" w:rsidRDefault="007E0BE2" w:rsidP="007E0BE2"/>
    <w:p w14:paraId="6E74C623" w14:textId="27ACCA97" w:rsidR="00B07BCB" w:rsidRDefault="007E0BE2" w:rsidP="006A306B">
      <w:r>
        <w:t xml:space="preserve">This graph shows prices for consumers are predicted to rise slightly over the next year, increasing at a similar rate as that of the PPI. The model predicts the two systems will return to their cointegrated ways, following similar trends and being highly correlated. This may very well be the case, as manufactures are receiving more and more pushback for their unjustifiably higher prices. I hope, for the sake of the American consumer, </w:t>
      </w:r>
      <w:r w:rsidR="006A306B">
        <w:t xml:space="preserve">that these predictions hold, and we see </w:t>
      </w:r>
      <w:r w:rsidR="00581CF0">
        <w:t xml:space="preserve">some </w:t>
      </w:r>
      <w:r>
        <w:t xml:space="preserve">manufacturers ease up on their practices of seller’s </w:t>
      </w:r>
      <w:r w:rsidR="00B07BCB">
        <w:t>inflation</w:t>
      </w:r>
      <w:r w:rsidR="00581CF0">
        <w:t xml:space="preserve">. </w:t>
      </w:r>
    </w:p>
    <w:p w14:paraId="72E8E104" w14:textId="77777777" w:rsidR="006A306B" w:rsidRDefault="006A306B" w:rsidP="006A306B"/>
    <w:p w14:paraId="77C85389" w14:textId="77777777" w:rsidR="006A306B" w:rsidRDefault="006A306B" w:rsidP="006A306B"/>
    <w:p w14:paraId="4F6D5308" w14:textId="77777777" w:rsidR="006A306B" w:rsidRDefault="006A306B" w:rsidP="006A306B"/>
    <w:p w14:paraId="046E2078" w14:textId="54A85FC2" w:rsidR="006A306B" w:rsidRDefault="006A306B" w:rsidP="006A306B"/>
    <w:p w14:paraId="2B1B1927" w14:textId="3CF8ABED" w:rsidR="006A306B" w:rsidRDefault="006A306B" w:rsidP="006A306B"/>
    <w:p w14:paraId="35B223E9" w14:textId="1CA74C45" w:rsidR="006A306B" w:rsidRDefault="006A306B" w:rsidP="006A306B"/>
    <w:p w14:paraId="6E346E92" w14:textId="4BE7F4CD" w:rsidR="007E0BE2" w:rsidRDefault="00B07BCB" w:rsidP="00B07BCB">
      <w:pPr>
        <w:pStyle w:val="Heading1"/>
      </w:pPr>
      <w:r>
        <w:lastRenderedPageBreak/>
        <w:t xml:space="preserve">Conclusion </w:t>
      </w:r>
    </w:p>
    <w:p w14:paraId="406A86F1" w14:textId="0D97E28A" w:rsidR="00B07BCB" w:rsidRDefault="00B07BCB" w:rsidP="00B07BCB"/>
    <w:p w14:paraId="7587E352" w14:textId="65CE0121" w:rsidR="00B07BCB" w:rsidRPr="00B07BCB" w:rsidRDefault="00B07BCB" w:rsidP="00B07BCB">
      <w:pPr>
        <w:rPr>
          <w:sz w:val="22"/>
          <w:szCs w:val="24"/>
        </w:rPr>
      </w:pPr>
      <w:r w:rsidRPr="00B07BCB">
        <w:rPr>
          <w:sz w:val="22"/>
          <w:szCs w:val="24"/>
        </w:rPr>
        <w:t xml:space="preserve">In the face of the COVID-19 pandemic and its aftermath, the food manufacturing industry has undergone profound shifts, reflecting broader economic upheavals. The </w:t>
      </w:r>
      <w:r w:rsidR="00185BE7">
        <w:rPr>
          <w:sz w:val="22"/>
          <w:szCs w:val="24"/>
        </w:rPr>
        <w:t>sharp</w:t>
      </w:r>
      <w:r w:rsidRPr="00B07BCB">
        <w:rPr>
          <w:sz w:val="22"/>
          <w:szCs w:val="24"/>
        </w:rPr>
        <w:t xml:space="preserve"> rise in grocery prices, out</w:t>
      </w:r>
      <w:r w:rsidR="00185BE7">
        <w:rPr>
          <w:sz w:val="22"/>
          <w:szCs w:val="24"/>
        </w:rPr>
        <w:t>pacing</w:t>
      </w:r>
      <w:r w:rsidRPr="00B07BCB">
        <w:rPr>
          <w:sz w:val="22"/>
          <w:szCs w:val="24"/>
        </w:rPr>
        <w:t xml:space="preserve"> both wage growth and </w:t>
      </w:r>
      <w:r w:rsidR="00185BE7">
        <w:rPr>
          <w:sz w:val="22"/>
          <w:szCs w:val="24"/>
        </w:rPr>
        <w:t xml:space="preserve">increase in </w:t>
      </w:r>
      <w:r w:rsidRPr="00B07BCB">
        <w:rPr>
          <w:sz w:val="22"/>
          <w:szCs w:val="24"/>
        </w:rPr>
        <w:t xml:space="preserve">input costs, has </w:t>
      </w:r>
      <w:r w:rsidR="00185BE7">
        <w:rPr>
          <w:sz w:val="22"/>
          <w:szCs w:val="24"/>
        </w:rPr>
        <w:t xml:space="preserve">contributed greatly to the overall trend of </w:t>
      </w:r>
      <w:hyperlink r:id="rId20" w:history="1">
        <w:r w:rsidR="00185BE7" w:rsidRPr="00185BE7">
          <w:rPr>
            <w:rStyle w:val="Hyperlink"/>
            <w:sz w:val="22"/>
            <w:szCs w:val="24"/>
          </w:rPr>
          <w:t>“greedflation”</w:t>
        </w:r>
      </w:hyperlink>
      <w:r w:rsidR="00185BE7">
        <w:rPr>
          <w:sz w:val="22"/>
          <w:szCs w:val="24"/>
        </w:rPr>
        <w:t xml:space="preserve"> in the economy. </w:t>
      </w:r>
    </w:p>
    <w:p w14:paraId="7928C0FD" w14:textId="1CC72F2A" w:rsidR="00B07BCB" w:rsidRPr="00B07BCB" w:rsidRDefault="00185BE7" w:rsidP="00B07BCB">
      <w:pPr>
        <w:rPr>
          <w:sz w:val="22"/>
          <w:szCs w:val="24"/>
        </w:rPr>
      </w:pPr>
      <w:r>
        <w:rPr>
          <w:sz w:val="22"/>
          <w:szCs w:val="24"/>
        </w:rPr>
        <w:t>Through my</w:t>
      </w:r>
      <w:r w:rsidR="00B07BCB" w:rsidRPr="00B07BCB">
        <w:rPr>
          <w:sz w:val="22"/>
          <w:szCs w:val="24"/>
        </w:rPr>
        <w:t xml:space="preserve"> analysis, </w:t>
      </w:r>
      <w:r>
        <w:rPr>
          <w:sz w:val="22"/>
          <w:szCs w:val="24"/>
        </w:rPr>
        <w:t xml:space="preserve">I was able to gain insight </w:t>
      </w:r>
      <w:r w:rsidR="00B07BCB" w:rsidRPr="00B07BCB">
        <w:rPr>
          <w:sz w:val="22"/>
          <w:szCs w:val="24"/>
        </w:rPr>
        <w:t xml:space="preserve">on the intricate dynamics between producer and consumer prices. Before the pandemic, both current and lagged producer prices significantly influenced consumer prices, indicating a tight relationship. However, in the post-COVID period, this relationship has shown signs of alteration, with the impact of </w:t>
      </w:r>
      <w:r w:rsidR="00291A78">
        <w:rPr>
          <w:sz w:val="22"/>
          <w:szCs w:val="24"/>
        </w:rPr>
        <w:t>the producer price index</w:t>
      </w:r>
      <w:r w:rsidR="00B07BCB" w:rsidRPr="00B07BCB">
        <w:rPr>
          <w:sz w:val="22"/>
          <w:szCs w:val="24"/>
        </w:rPr>
        <w:t xml:space="preserve"> becoming marginally significant. </w:t>
      </w:r>
    </w:p>
    <w:p w14:paraId="7902A33F" w14:textId="0F1A4A02" w:rsidR="00F17656" w:rsidRDefault="00B07BCB" w:rsidP="00B07BCB">
      <w:pPr>
        <w:rPr>
          <w:sz w:val="22"/>
          <w:szCs w:val="24"/>
        </w:rPr>
      </w:pPr>
      <w:r w:rsidRPr="00B07BCB">
        <w:rPr>
          <w:sz w:val="22"/>
          <w:szCs w:val="24"/>
        </w:rPr>
        <w:t xml:space="preserve">The observed trends align with broader narratives of corporate greed, exemplified by soaring profits amidst consumer hardships. </w:t>
      </w:r>
      <w:r w:rsidR="00F17656">
        <w:rPr>
          <w:sz w:val="22"/>
          <w:szCs w:val="24"/>
        </w:rPr>
        <w:t xml:space="preserve">Justifying price hikes due to pandemic related shocks was accepted for some time, but as profits continue to rise, it is clear the food industry engaged in large scale price-gouging during and following the pandemic. This is what I have dubbed ‘Covid Collusion’, and though there may be no tangible proof of such collaboration, the incentives certainly aligned during the pandemic for food manufacturers to increase prices across the board. Though some price hikes were certainly justified on the basis of rising costs, </w:t>
      </w:r>
      <w:r w:rsidR="008A3F1B">
        <w:rPr>
          <w:sz w:val="22"/>
          <w:szCs w:val="24"/>
        </w:rPr>
        <w:t>unprecedented</w:t>
      </w:r>
      <w:r w:rsidR="00F17656">
        <w:rPr>
          <w:sz w:val="22"/>
          <w:szCs w:val="24"/>
        </w:rPr>
        <w:t xml:space="preserve"> profit</w:t>
      </w:r>
      <w:r w:rsidR="008A3F1B">
        <w:rPr>
          <w:sz w:val="22"/>
          <w:szCs w:val="24"/>
        </w:rPr>
        <w:t xml:space="preserve"> growth</w:t>
      </w:r>
      <w:r w:rsidR="00F17656">
        <w:rPr>
          <w:sz w:val="22"/>
          <w:szCs w:val="24"/>
        </w:rPr>
        <w:t xml:space="preserve"> show</w:t>
      </w:r>
      <w:r w:rsidR="008A3F1B">
        <w:rPr>
          <w:sz w:val="22"/>
          <w:szCs w:val="24"/>
        </w:rPr>
        <w:t xml:space="preserve">s </w:t>
      </w:r>
      <w:r w:rsidR="00F17656">
        <w:rPr>
          <w:sz w:val="22"/>
          <w:szCs w:val="24"/>
        </w:rPr>
        <w:t>that corporations</w:t>
      </w:r>
      <w:r w:rsidR="008A3F1B">
        <w:rPr>
          <w:sz w:val="22"/>
          <w:szCs w:val="24"/>
        </w:rPr>
        <w:t xml:space="preserve"> undoubtedly overstated the need for such increases. </w:t>
      </w:r>
      <w:r w:rsidR="00417E0E">
        <w:rPr>
          <w:sz w:val="22"/>
          <w:szCs w:val="24"/>
        </w:rPr>
        <w:t xml:space="preserve">The Department of Justice issued </w:t>
      </w:r>
      <w:hyperlink r:id="rId21" w:history="1">
        <w:r w:rsidR="00417E0E" w:rsidRPr="00F73ED2">
          <w:rPr>
            <w:rStyle w:val="Hyperlink"/>
            <w:sz w:val="22"/>
            <w:szCs w:val="24"/>
          </w:rPr>
          <w:t>a statement in 2022</w:t>
        </w:r>
      </w:hyperlink>
      <w:r w:rsidR="00417E0E">
        <w:rPr>
          <w:sz w:val="22"/>
          <w:szCs w:val="24"/>
        </w:rPr>
        <w:t xml:space="preserve"> that their antitrust division would be “looking out” for companies using supply chain disruptions to engage in anticompetitive conduct. </w:t>
      </w:r>
      <w:r w:rsidR="00F73ED2" w:rsidRPr="00F73ED2">
        <w:rPr>
          <w:sz w:val="22"/>
          <w:szCs w:val="24"/>
        </w:rPr>
        <w:t xml:space="preserve">Anyone with information on price fixing, bid rigging, market-allocation agreements </w:t>
      </w:r>
      <w:r w:rsidR="00F73ED2">
        <w:rPr>
          <w:sz w:val="22"/>
          <w:szCs w:val="24"/>
        </w:rPr>
        <w:t xml:space="preserve">was advised to call the DOJ complaint center. In my opinion though, when incentives align as they did in 2020, and companies see it in their best interest to rapidly increase prices, there’s almost an understood agreement. Especially within in industry as concentrated as food manufacturing. </w:t>
      </w:r>
    </w:p>
    <w:p w14:paraId="7262BA52" w14:textId="20692C1C" w:rsidR="00B07BCB" w:rsidRPr="00B07BCB" w:rsidRDefault="00B07BCB" w:rsidP="00B07BCB">
      <w:pPr>
        <w:rPr>
          <w:sz w:val="22"/>
          <w:szCs w:val="24"/>
        </w:rPr>
      </w:pPr>
      <w:r w:rsidRPr="00B07BCB">
        <w:rPr>
          <w:sz w:val="22"/>
          <w:szCs w:val="24"/>
        </w:rPr>
        <w:t>Executives' unabashed statements about the ability to dictate prices further highlight the</w:t>
      </w:r>
      <w:r w:rsidR="00185BE7">
        <w:rPr>
          <w:sz w:val="22"/>
          <w:szCs w:val="24"/>
        </w:rPr>
        <w:t xml:space="preserve"> power a highly concentrated market like the food industry has over its consumers</w:t>
      </w:r>
      <w:r w:rsidRPr="00B07BCB">
        <w:rPr>
          <w:sz w:val="22"/>
          <w:szCs w:val="24"/>
        </w:rPr>
        <w:t>. Moreover, the</w:t>
      </w:r>
      <w:r w:rsidR="008A3F1B">
        <w:rPr>
          <w:sz w:val="22"/>
          <w:szCs w:val="24"/>
        </w:rPr>
        <w:t xml:space="preserve"> simultaneous</w:t>
      </w:r>
      <w:r w:rsidRPr="00B07BCB">
        <w:rPr>
          <w:sz w:val="22"/>
          <w:szCs w:val="24"/>
        </w:rPr>
        <w:t xml:space="preserve"> practice of shrinkflation exacerbates the strain on consumers, reflecting a subtle yet </w:t>
      </w:r>
      <w:r w:rsidR="00185BE7">
        <w:rPr>
          <w:sz w:val="22"/>
          <w:szCs w:val="24"/>
        </w:rPr>
        <w:t>damaging</w:t>
      </w:r>
      <w:r w:rsidRPr="00B07BCB">
        <w:rPr>
          <w:sz w:val="22"/>
          <w:szCs w:val="24"/>
        </w:rPr>
        <w:t xml:space="preserve"> form of price escalation.</w:t>
      </w:r>
      <w:r w:rsidR="008A3F1B">
        <w:rPr>
          <w:sz w:val="22"/>
          <w:szCs w:val="24"/>
        </w:rPr>
        <w:t xml:space="preserve"> These issues pose a serious and tangible threat to the American consumer, as food insecurity continues to rise and more families become reliant on social welfare programs like </w:t>
      </w:r>
      <w:hyperlink r:id="rId22" w:history="1">
        <w:r w:rsidR="008A3F1B" w:rsidRPr="008A3F1B">
          <w:rPr>
            <w:rStyle w:val="Hyperlink"/>
            <w:sz w:val="22"/>
            <w:szCs w:val="24"/>
          </w:rPr>
          <w:t>SNAP</w:t>
        </w:r>
      </w:hyperlink>
      <w:r w:rsidR="008A3F1B">
        <w:rPr>
          <w:sz w:val="22"/>
          <w:szCs w:val="24"/>
        </w:rPr>
        <w:t xml:space="preserve">. </w:t>
      </w:r>
    </w:p>
    <w:p w14:paraId="11A14397" w14:textId="1A6F20A6" w:rsidR="00F17656" w:rsidRDefault="00B07BCB" w:rsidP="00B07BCB">
      <w:pPr>
        <w:rPr>
          <w:sz w:val="22"/>
          <w:szCs w:val="24"/>
        </w:rPr>
      </w:pPr>
      <w:r w:rsidRPr="00B07BCB">
        <w:rPr>
          <w:sz w:val="22"/>
          <w:szCs w:val="24"/>
        </w:rPr>
        <w:t xml:space="preserve">Looking ahead, </w:t>
      </w:r>
      <w:r w:rsidR="00396A1F">
        <w:rPr>
          <w:sz w:val="22"/>
          <w:szCs w:val="24"/>
        </w:rPr>
        <w:t>my</w:t>
      </w:r>
      <w:r w:rsidRPr="00B07BCB">
        <w:rPr>
          <w:sz w:val="22"/>
          <w:szCs w:val="24"/>
        </w:rPr>
        <w:t xml:space="preserve"> forecasting models project modest increases in both producer and consumer prices, with a tentative return to cointegration. However, the hope for a</w:t>
      </w:r>
      <w:r w:rsidR="00185BE7">
        <w:rPr>
          <w:sz w:val="22"/>
          <w:szCs w:val="24"/>
        </w:rPr>
        <w:t xml:space="preserve"> </w:t>
      </w:r>
      <w:hyperlink r:id="rId23" w:history="1">
        <w:r w:rsidR="00185BE7" w:rsidRPr="00396A1F">
          <w:rPr>
            <w:rStyle w:val="Hyperlink"/>
            <w:sz w:val="22"/>
            <w:szCs w:val="24"/>
          </w:rPr>
          <w:t>“soft landing”</w:t>
        </w:r>
      </w:hyperlink>
      <w:r w:rsidR="00185BE7">
        <w:rPr>
          <w:sz w:val="22"/>
          <w:szCs w:val="24"/>
        </w:rPr>
        <w:t xml:space="preserve"> hinge</w:t>
      </w:r>
      <w:r w:rsidR="00396A1F">
        <w:rPr>
          <w:sz w:val="22"/>
          <w:szCs w:val="24"/>
        </w:rPr>
        <w:t>s</w:t>
      </w:r>
      <w:r w:rsidRPr="00B07BCB">
        <w:rPr>
          <w:sz w:val="22"/>
          <w:szCs w:val="24"/>
        </w:rPr>
        <w:t xml:space="preserve"> on manufacturers' willingness to temper their profit-driven pricing strategies. As consumers push back against unjustifiable price hikes, the industry stands at a crossroads, where ethical considerations must</w:t>
      </w:r>
      <w:r w:rsidR="00BE1BDA">
        <w:rPr>
          <w:sz w:val="22"/>
          <w:szCs w:val="24"/>
        </w:rPr>
        <w:t xml:space="preserve"> be weighed against the value of profit-maximization</w:t>
      </w:r>
      <w:r w:rsidRPr="00B07BCB">
        <w:rPr>
          <w:sz w:val="22"/>
          <w:szCs w:val="24"/>
        </w:rPr>
        <w:t>.</w:t>
      </w:r>
      <w:r w:rsidR="008A3F1B">
        <w:rPr>
          <w:sz w:val="22"/>
          <w:szCs w:val="24"/>
        </w:rPr>
        <w:t xml:space="preserve"> </w:t>
      </w:r>
      <w:r w:rsidR="00F17656">
        <w:rPr>
          <w:sz w:val="22"/>
          <w:szCs w:val="24"/>
        </w:rPr>
        <w:t xml:space="preserve">A large onus lies on the distributers of the products, namely grocery stores, to use their negotiation power to advocate for the interests of consumers. This has been </w:t>
      </w:r>
      <w:r w:rsidR="008A3F1B">
        <w:rPr>
          <w:sz w:val="22"/>
          <w:szCs w:val="24"/>
        </w:rPr>
        <w:t xml:space="preserve">occurring more so in Europe, where many grocery store chains have been pushing back against higher prices demanded by manufacturers. French retail </w:t>
      </w:r>
      <w:r w:rsidR="008A3F1B">
        <w:rPr>
          <w:sz w:val="22"/>
          <w:szCs w:val="24"/>
        </w:rPr>
        <w:lastRenderedPageBreak/>
        <w:t xml:space="preserve">company </w:t>
      </w:r>
      <w:r w:rsidR="008A3F1B" w:rsidRPr="008A3F1B">
        <w:rPr>
          <w:sz w:val="22"/>
          <w:szCs w:val="24"/>
        </w:rPr>
        <w:t>Carrefour's</w:t>
      </w:r>
      <w:r w:rsidR="008A3F1B">
        <w:rPr>
          <w:sz w:val="22"/>
          <w:szCs w:val="24"/>
        </w:rPr>
        <w:t xml:space="preserve"> recently removed PepsiCo products off its shelves for three months on the basis on unreasonably high prices, and </w:t>
      </w:r>
      <w:hyperlink r:id="rId24" w:history="1">
        <w:r w:rsidR="008A3F1B" w:rsidRPr="00147080">
          <w:rPr>
            <w:rStyle w:val="Hyperlink"/>
            <w:sz w:val="22"/>
            <w:szCs w:val="24"/>
          </w:rPr>
          <w:t>similar spats</w:t>
        </w:r>
      </w:hyperlink>
      <w:r w:rsidR="008A3F1B">
        <w:rPr>
          <w:sz w:val="22"/>
          <w:szCs w:val="24"/>
        </w:rPr>
        <w:t xml:space="preserve"> have been cropping up all across </w:t>
      </w:r>
      <w:r w:rsidR="00F73ED2">
        <w:rPr>
          <w:sz w:val="22"/>
          <w:szCs w:val="24"/>
        </w:rPr>
        <w:t xml:space="preserve">the </w:t>
      </w:r>
      <w:r w:rsidR="00147080">
        <w:rPr>
          <w:sz w:val="22"/>
          <w:szCs w:val="24"/>
        </w:rPr>
        <w:t>continent</w:t>
      </w:r>
      <w:r w:rsidR="008A3F1B">
        <w:rPr>
          <w:sz w:val="22"/>
          <w:szCs w:val="24"/>
        </w:rPr>
        <w:t xml:space="preserve">. </w:t>
      </w:r>
      <w:r w:rsidR="00CB4539">
        <w:rPr>
          <w:sz w:val="22"/>
          <w:szCs w:val="24"/>
        </w:rPr>
        <w:t xml:space="preserve">I believe this is an important issue that affects all consumers, and needs to be addressed further by the DOJ. This really becomes a moral quandary, and one that pulls at the threads of our understanding and trust in the capitalist system. As an issue that has an outsized impact on lower income consumers, it is especially important to examine how we personally believe corporate profits should be weighed against consumer welfare. </w:t>
      </w:r>
    </w:p>
    <w:p w14:paraId="2F05A071" w14:textId="65164C69" w:rsidR="00396A1F" w:rsidRPr="00B07BCB" w:rsidRDefault="00396A1F" w:rsidP="00B07BCB">
      <w:pPr>
        <w:rPr>
          <w:sz w:val="22"/>
          <w:szCs w:val="24"/>
        </w:rPr>
      </w:pPr>
      <w:r w:rsidRPr="00396A1F">
        <w:rPr>
          <w:sz w:val="22"/>
          <w:szCs w:val="24"/>
        </w:rPr>
        <w:t xml:space="preserve">One potential limitation </w:t>
      </w:r>
      <w:r>
        <w:rPr>
          <w:sz w:val="22"/>
          <w:szCs w:val="24"/>
        </w:rPr>
        <w:t xml:space="preserve">for this analysis </w:t>
      </w:r>
      <w:r w:rsidRPr="00396A1F">
        <w:rPr>
          <w:sz w:val="22"/>
          <w:szCs w:val="24"/>
        </w:rPr>
        <w:t>is the presence of omitted variables</w:t>
      </w:r>
      <w:r>
        <w:rPr>
          <w:sz w:val="22"/>
          <w:szCs w:val="24"/>
        </w:rPr>
        <w:t xml:space="preserve"> in the models. </w:t>
      </w:r>
      <w:r w:rsidRPr="00396A1F">
        <w:rPr>
          <w:sz w:val="22"/>
          <w:szCs w:val="24"/>
        </w:rPr>
        <w:t>For instance, changes in government policies, market regulations, or external shocks could confound the observed relationship, leading to biased estimates of the coefficients.</w:t>
      </w:r>
      <w:r>
        <w:rPr>
          <w:sz w:val="22"/>
          <w:szCs w:val="24"/>
        </w:rPr>
        <w:t xml:space="preserve"> </w:t>
      </w:r>
      <w:r w:rsidRPr="00396A1F">
        <w:rPr>
          <w:sz w:val="22"/>
          <w:szCs w:val="24"/>
        </w:rPr>
        <w:t>Moreover, the possibility of reverse causality poses a significant concern</w:t>
      </w:r>
      <w:r>
        <w:rPr>
          <w:sz w:val="22"/>
          <w:szCs w:val="24"/>
        </w:rPr>
        <w:t xml:space="preserve"> for such an analysis</w:t>
      </w:r>
      <w:r w:rsidRPr="00396A1F">
        <w:rPr>
          <w:sz w:val="22"/>
          <w:szCs w:val="24"/>
        </w:rPr>
        <w:t xml:space="preserve">. In a dynamic system like the food industry, consumer demand may </w:t>
      </w:r>
      <w:r w:rsidR="00417E0E">
        <w:rPr>
          <w:sz w:val="22"/>
          <w:szCs w:val="24"/>
        </w:rPr>
        <w:t xml:space="preserve">have an </w:t>
      </w:r>
      <w:r w:rsidRPr="00396A1F">
        <w:rPr>
          <w:sz w:val="22"/>
          <w:szCs w:val="24"/>
        </w:rPr>
        <w:t xml:space="preserve">influence on producer prices, creating a feedback loop that complicates causal interpretation. Similarly, simultaneous interactions between producer and consumer prices could </w:t>
      </w:r>
      <w:r w:rsidR="00417E0E">
        <w:rPr>
          <w:sz w:val="22"/>
          <w:szCs w:val="24"/>
        </w:rPr>
        <w:t>skew</w:t>
      </w:r>
      <w:r w:rsidRPr="00396A1F">
        <w:rPr>
          <w:sz w:val="22"/>
          <w:szCs w:val="24"/>
        </w:rPr>
        <w:t xml:space="preserve"> the estimated effects, as changes in one variable may prompt reactions in the other, leading to endogeneity issues.</w:t>
      </w:r>
      <w:r>
        <w:rPr>
          <w:sz w:val="22"/>
          <w:szCs w:val="24"/>
        </w:rPr>
        <w:t xml:space="preserve"> While these issues do pose a threat to the robustness of observed results, I still think my findings show a concerning trend</w:t>
      </w:r>
      <w:r w:rsidR="00CB4539">
        <w:rPr>
          <w:sz w:val="22"/>
          <w:szCs w:val="24"/>
        </w:rPr>
        <w:t xml:space="preserve"> that can be understood when looking at the full context of what has been going </w:t>
      </w:r>
      <w:r w:rsidR="00C824A6">
        <w:rPr>
          <w:sz w:val="22"/>
          <w:szCs w:val="24"/>
        </w:rPr>
        <w:t>recently in the food industry</w:t>
      </w:r>
      <w:r w:rsidR="00CB4539">
        <w:rPr>
          <w:sz w:val="22"/>
          <w:szCs w:val="24"/>
        </w:rPr>
        <w:t xml:space="preserve">. </w:t>
      </w:r>
    </w:p>
    <w:p w14:paraId="245BFA52" w14:textId="3056E686" w:rsidR="00B07BCB" w:rsidRPr="00B07BCB" w:rsidRDefault="00581CF0" w:rsidP="00B07BCB">
      <w:pPr>
        <w:rPr>
          <w:sz w:val="22"/>
          <w:szCs w:val="24"/>
        </w:rPr>
      </w:pPr>
      <w:r>
        <w:rPr>
          <w:sz w:val="22"/>
          <w:szCs w:val="24"/>
        </w:rPr>
        <w:t xml:space="preserve">There are a lot of moving parts that come into play with an industry as complex as food manufacturing and distributing, and </w:t>
      </w:r>
      <w:r w:rsidR="001F652B">
        <w:rPr>
          <w:sz w:val="22"/>
          <w:szCs w:val="24"/>
        </w:rPr>
        <w:t xml:space="preserve">taking them all into account is nearly impossible. This is a simple analysis, and by no means does it come close to painting a full picture of the relationship between </w:t>
      </w:r>
      <w:r w:rsidR="001F652B" w:rsidRPr="00B92779">
        <w:rPr>
          <w:sz w:val="22"/>
          <w:szCs w:val="24"/>
        </w:rPr>
        <w:t>the Consumer Price Index for food</w:t>
      </w:r>
      <w:r w:rsidR="001F652B">
        <w:rPr>
          <w:sz w:val="22"/>
          <w:szCs w:val="24"/>
        </w:rPr>
        <w:t>,</w:t>
      </w:r>
      <w:r w:rsidR="001F652B" w:rsidRPr="00B92779">
        <w:rPr>
          <w:sz w:val="22"/>
          <w:szCs w:val="24"/>
        </w:rPr>
        <w:t xml:space="preserve"> and the Producer Price Index for food manufacturers in the United States.</w:t>
      </w:r>
      <w:r w:rsidR="001F652B">
        <w:rPr>
          <w:sz w:val="22"/>
          <w:szCs w:val="24"/>
        </w:rPr>
        <w:t xml:space="preserve"> </w:t>
      </w:r>
      <w:r w:rsidR="000535BD">
        <w:rPr>
          <w:sz w:val="22"/>
          <w:szCs w:val="24"/>
        </w:rPr>
        <w:t xml:space="preserve">However, I do think this analysis provides an important insight into a system that everyone in America is a part of. Everyone shops for groceries, everyone has to feed their family, and everyone has to eat. At the very least, I believe people deserve to be informed of how and why their lives are being shaped by decisions that are out of their hands. </w:t>
      </w:r>
    </w:p>
    <w:sectPr w:rsidR="00B07BCB" w:rsidRPr="00B07BCB" w:rsidSect="00EF148E">
      <w:footerReference w:type="even"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C7766" w14:textId="77777777" w:rsidR="00071868" w:rsidRDefault="00071868" w:rsidP="006414F4">
      <w:pPr>
        <w:spacing w:after="0" w:line="240" w:lineRule="auto"/>
      </w:pPr>
      <w:r>
        <w:separator/>
      </w:r>
    </w:p>
  </w:endnote>
  <w:endnote w:type="continuationSeparator" w:id="0">
    <w:p w14:paraId="15EBAFB0" w14:textId="77777777" w:rsidR="00071868" w:rsidRDefault="00071868" w:rsidP="006414F4">
      <w:pPr>
        <w:spacing w:after="0" w:line="240" w:lineRule="auto"/>
      </w:pPr>
      <w:r>
        <w:continuationSeparator/>
      </w:r>
    </w:p>
  </w:endnote>
  <w:endnote w:type="continuationNotice" w:id="1">
    <w:p w14:paraId="10A730E9" w14:textId="77777777" w:rsidR="00071868" w:rsidRDefault="000718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79322590"/>
      <w:docPartObj>
        <w:docPartGallery w:val="Page Numbers (Bottom of Page)"/>
        <w:docPartUnique/>
      </w:docPartObj>
    </w:sdtPr>
    <w:sdtContent>
      <w:p w14:paraId="73C3B0F2" w14:textId="785F6355" w:rsidR="006414F4" w:rsidRDefault="006414F4" w:rsidP="00A038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34610" w14:textId="77777777" w:rsidR="006414F4" w:rsidRDefault="006414F4" w:rsidP="006414F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30577075"/>
      <w:docPartObj>
        <w:docPartGallery w:val="Page Numbers (Bottom of Page)"/>
        <w:docPartUnique/>
      </w:docPartObj>
    </w:sdtPr>
    <w:sdtContent>
      <w:p w14:paraId="171DD963" w14:textId="5CA403D1" w:rsidR="006414F4" w:rsidRDefault="006414F4" w:rsidP="00A038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ABF68A" w14:textId="77777777" w:rsidR="006414F4" w:rsidRDefault="006414F4" w:rsidP="006414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6ACDA" w14:textId="77777777" w:rsidR="00071868" w:rsidRDefault="00071868" w:rsidP="006414F4">
      <w:pPr>
        <w:spacing w:after="0" w:line="240" w:lineRule="auto"/>
      </w:pPr>
      <w:r>
        <w:separator/>
      </w:r>
    </w:p>
  </w:footnote>
  <w:footnote w:type="continuationSeparator" w:id="0">
    <w:p w14:paraId="1C7AD4AD" w14:textId="77777777" w:rsidR="00071868" w:rsidRDefault="00071868" w:rsidP="006414F4">
      <w:pPr>
        <w:spacing w:after="0" w:line="240" w:lineRule="auto"/>
      </w:pPr>
      <w:r>
        <w:continuationSeparator/>
      </w:r>
    </w:p>
  </w:footnote>
  <w:footnote w:type="continuationNotice" w:id="1">
    <w:p w14:paraId="6ABBF6FC" w14:textId="77777777" w:rsidR="00071868" w:rsidRDefault="000718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73413"/>
    <w:multiLevelType w:val="multilevel"/>
    <w:tmpl w:val="E5D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846960">
    <w:abstractNumId w:val="1"/>
  </w:num>
  <w:num w:numId="2" w16cid:durableId="64404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F4"/>
    <w:rsid w:val="000535BD"/>
    <w:rsid w:val="00071868"/>
    <w:rsid w:val="00147080"/>
    <w:rsid w:val="00185BE7"/>
    <w:rsid w:val="00186287"/>
    <w:rsid w:val="001A4A32"/>
    <w:rsid w:val="001D0B88"/>
    <w:rsid w:val="001D587C"/>
    <w:rsid w:val="001F0F70"/>
    <w:rsid w:val="001F652B"/>
    <w:rsid w:val="00222061"/>
    <w:rsid w:val="002636A1"/>
    <w:rsid w:val="00291A78"/>
    <w:rsid w:val="0030411A"/>
    <w:rsid w:val="00396A1F"/>
    <w:rsid w:val="003B6E06"/>
    <w:rsid w:val="00404E77"/>
    <w:rsid w:val="00417E0E"/>
    <w:rsid w:val="004322A6"/>
    <w:rsid w:val="004409BF"/>
    <w:rsid w:val="0045257A"/>
    <w:rsid w:val="00495318"/>
    <w:rsid w:val="004A5C14"/>
    <w:rsid w:val="004B0AC8"/>
    <w:rsid w:val="004C722B"/>
    <w:rsid w:val="004F528C"/>
    <w:rsid w:val="00504126"/>
    <w:rsid w:val="00581CF0"/>
    <w:rsid w:val="005F4A34"/>
    <w:rsid w:val="006414F4"/>
    <w:rsid w:val="0066712B"/>
    <w:rsid w:val="00673EE8"/>
    <w:rsid w:val="00682A2D"/>
    <w:rsid w:val="006A306B"/>
    <w:rsid w:val="00705FFF"/>
    <w:rsid w:val="007E0BE2"/>
    <w:rsid w:val="00811487"/>
    <w:rsid w:val="0081586F"/>
    <w:rsid w:val="00824BFB"/>
    <w:rsid w:val="008350F4"/>
    <w:rsid w:val="0087420E"/>
    <w:rsid w:val="00875FC8"/>
    <w:rsid w:val="008A1985"/>
    <w:rsid w:val="008A3F1B"/>
    <w:rsid w:val="008E3338"/>
    <w:rsid w:val="008E4C95"/>
    <w:rsid w:val="008E55B9"/>
    <w:rsid w:val="008E6D95"/>
    <w:rsid w:val="00944B33"/>
    <w:rsid w:val="0099198E"/>
    <w:rsid w:val="009A1F6C"/>
    <w:rsid w:val="009C67C2"/>
    <w:rsid w:val="009D70FD"/>
    <w:rsid w:val="00A13506"/>
    <w:rsid w:val="00A238A2"/>
    <w:rsid w:val="00AF12FA"/>
    <w:rsid w:val="00AF5150"/>
    <w:rsid w:val="00AF6D73"/>
    <w:rsid w:val="00B07BCB"/>
    <w:rsid w:val="00B92779"/>
    <w:rsid w:val="00BD0503"/>
    <w:rsid w:val="00BE1BDA"/>
    <w:rsid w:val="00C3547B"/>
    <w:rsid w:val="00C43B7B"/>
    <w:rsid w:val="00C82254"/>
    <w:rsid w:val="00C824A6"/>
    <w:rsid w:val="00CA6456"/>
    <w:rsid w:val="00CB4539"/>
    <w:rsid w:val="00CC2C69"/>
    <w:rsid w:val="00CC3EEC"/>
    <w:rsid w:val="00D7588E"/>
    <w:rsid w:val="00EC71FA"/>
    <w:rsid w:val="00EE7FC6"/>
    <w:rsid w:val="00EF148E"/>
    <w:rsid w:val="00EF7367"/>
    <w:rsid w:val="00F13BA2"/>
    <w:rsid w:val="00F17656"/>
    <w:rsid w:val="00F5376F"/>
    <w:rsid w:val="00F73ED2"/>
    <w:rsid w:val="00FD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1070"/>
  <w15:chartTrackingRefBased/>
  <w15:docId w15:val="{DD530287-15DB-2248-AC6A-BDD7046A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4F4"/>
    <w:pPr>
      <w:spacing w:after="180" w:line="274" w:lineRule="auto"/>
    </w:pPr>
    <w:rPr>
      <w:sz w:val="21"/>
    </w:rPr>
  </w:style>
  <w:style w:type="paragraph" w:styleId="Heading1">
    <w:name w:val="heading 1"/>
    <w:basedOn w:val="Normal"/>
    <w:next w:val="Normal"/>
    <w:link w:val="Heading1Char"/>
    <w:uiPriority w:val="9"/>
    <w:qFormat/>
    <w:rsid w:val="006414F4"/>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unhideWhenUsed/>
    <w:qFormat/>
    <w:rsid w:val="006414F4"/>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unhideWhenUsed/>
    <w:qFormat/>
    <w:rsid w:val="006414F4"/>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6414F4"/>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6414F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6414F4"/>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6414F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6414F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414F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4F4"/>
    <w:rPr>
      <w:rFonts w:asciiTheme="majorHAnsi" w:eastAsiaTheme="majorEastAsia" w:hAnsiTheme="majorHAnsi" w:cstheme="majorBidi"/>
      <w:bCs/>
      <w:color w:val="156082" w:themeColor="accent1"/>
      <w:spacing w:val="20"/>
      <w:sz w:val="32"/>
      <w:szCs w:val="28"/>
    </w:rPr>
  </w:style>
  <w:style w:type="character" w:customStyle="1" w:styleId="Heading2Char">
    <w:name w:val="Heading 2 Char"/>
    <w:basedOn w:val="DefaultParagraphFont"/>
    <w:link w:val="Heading2"/>
    <w:uiPriority w:val="9"/>
    <w:rsid w:val="006414F4"/>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rsid w:val="006414F4"/>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6414F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6414F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414F4"/>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6414F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6414F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414F4"/>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6414F4"/>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6414F4"/>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6414F4"/>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6414F4"/>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6414F4"/>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6414F4"/>
    <w:rPr>
      <w:rFonts w:eastAsiaTheme="minorEastAsia"/>
      <w:b/>
      <w:i/>
      <w:iCs/>
      <w:color w:val="156082" w:themeColor="accent1"/>
      <w:sz w:val="26"/>
    </w:rPr>
  </w:style>
  <w:style w:type="paragraph" w:styleId="ListParagraph">
    <w:name w:val="List Paragraph"/>
    <w:basedOn w:val="Normal"/>
    <w:uiPriority w:val="34"/>
    <w:qFormat/>
    <w:rsid w:val="006414F4"/>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6414F4"/>
    <w:rPr>
      <w:b/>
      <w:bCs/>
      <w:i/>
      <w:iCs/>
      <w:color w:val="156082" w:themeColor="accent1"/>
    </w:rPr>
  </w:style>
  <w:style w:type="paragraph" w:styleId="IntenseQuote">
    <w:name w:val="Intense Quote"/>
    <w:basedOn w:val="Normal"/>
    <w:next w:val="Normal"/>
    <w:link w:val="IntenseQuoteChar"/>
    <w:uiPriority w:val="30"/>
    <w:qFormat/>
    <w:rsid w:val="006414F4"/>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6414F4"/>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6414F4"/>
    <w:rPr>
      <w:b w:val="0"/>
      <w:bCs/>
      <w:smallCaps/>
      <w:color w:val="156082" w:themeColor="accent1"/>
      <w:spacing w:val="5"/>
      <w:u w:val="single"/>
    </w:rPr>
  </w:style>
  <w:style w:type="paragraph" w:styleId="Caption">
    <w:name w:val="caption"/>
    <w:basedOn w:val="Normal"/>
    <w:next w:val="Normal"/>
    <w:uiPriority w:val="35"/>
    <w:semiHidden/>
    <w:unhideWhenUsed/>
    <w:qFormat/>
    <w:rsid w:val="006414F4"/>
    <w:pPr>
      <w:spacing w:line="240" w:lineRule="auto"/>
    </w:pPr>
    <w:rPr>
      <w:rFonts w:asciiTheme="majorHAnsi" w:eastAsiaTheme="minorEastAsia" w:hAnsiTheme="majorHAnsi"/>
      <w:bCs/>
      <w:smallCaps/>
      <w:color w:val="0E2841" w:themeColor="text2"/>
      <w:spacing w:val="6"/>
      <w:sz w:val="22"/>
      <w:szCs w:val="18"/>
    </w:rPr>
  </w:style>
  <w:style w:type="character" w:styleId="Strong">
    <w:name w:val="Strong"/>
    <w:basedOn w:val="DefaultParagraphFont"/>
    <w:uiPriority w:val="22"/>
    <w:qFormat/>
    <w:rsid w:val="006414F4"/>
    <w:rPr>
      <w:b w:val="0"/>
      <w:bCs/>
      <w:i/>
      <w:color w:val="0E2841" w:themeColor="text2"/>
    </w:rPr>
  </w:style>
  <w:style w:type="character" w:styleId="Emphasis">
    <w:name w:val="Emphasis"/>
    <w:basedOn w:val="DefaultParagraphFont"/>
    <w:uiPriority w:val="20"/>
    <w:qFormat/>
    <w:rsid w:val="006414F4"/>
    <w:rPr>
      <w:b/>
      <w:i/>
      <w:iCs/>
    </w:rPr>
  </w:style>
  <w:style w:type="paragraph" w:styleId="NoSpacing">
    <w:name w:val="No Spacing"/>
    <w:link w:val="NoSpacingChar"/>
    <w:uiPriority w:val="1"/>
    <w:qFormat/>
    <w:rsid w:val="006414F4"/>
    <w:pPr>
      <w:spacing w:after="0" w:line="240" w:lineRule="auto"/>
    </w:pPr>
  </w:style>
  <w:style w:type="character" w:customStyle="1" w:styleId="NoSpacingChar">
    <w:name w:val="No Spacing Char"/>
    <w:basedOn w:val="DefaultParagraphFont"/>
    <w:link w:val="NoSpacing"/>
    <w:uiPriority w:val="1"/>
    <w:rsid w:val="006414F4"/>
  </w:style>
  <w:style w:type="character" w:styleId="SubtleEmphasis">
    <w:name w:val="Subtle Emphasis"/>
    <w:basedOn w:val="DefaultParagraphFont"/>
    <w:uiPriority w:val="19"/>
    <w:qFormat/>
    <w:rsid w:val="006414F4"/>
    <w:rPr>
      <w:i/>
      <w:iCs/>
      <w:color w:val="000000"/>
    </w:rPr>
  </w:style>
  <w:style w:type="character" w:styleId="SubtleReference">
    <w:name w:val="Subtle Reference"/>
    <w:basedOn w:val="DefaultParagraphFont"/>
    <w:uiPriority w:val="31"/>
    <w:qFormat/>
    <w:rsid w:val="006414F4"/>
    <w:rPr>
      <w:smallCaps/>
      <w:color w:val="000000"/>
      <w:u w:val="single"/>
    </w:rPr>
  </w:style>
  <w:style w:type="character" w:styleId="BookTitle">
    <w:name w:val="Book Title"/>
    <w:basedOn w:val="DefaultParagraphFont"/>
    <w:uiPriority w:val="33"/>
    <w:qFormat/>
    <w:rsid w:val="006414F4"/>
    <w:rPr>
      <w:b/>
      <w:bCs/>
      <w:caps/>
      <w:smallCaps w:val="0"/>
      <w:color w:val="0E2841" w:themeColor="text2"/>
      <w:spacing w:val="10"/>
    </w:rPr>
  </w:style>
  <w:style w:type="paragraph" w:styleId="TOCHeading">
    <w:name w:val="TOC Heading"/>
    <w:basedOn w:val="Heading1"/>
    <w:next w:val="Normal"/>
    <w:uiPriority w:val="39"/>
    <w:semiHidden/>
    <w:unhideWhenUsed/>
    <w:qFormat/>
    <w:rsid w:val="006414F4"/>
    <w:pPr>
      <w:spacing w:before="480" w:line="264" w:lineRule="auto"/>
      <w:outlineLvl w:val="9"/>
    </w:pPr>
    <w:rPr>
      <w:b/>
    </w:rPr>
  </w:style>
  <w:style w:type="paragraph" w:customStyle="1" w:styleId="PersonalName">
    <w:name w:val="Personal Name"/>
    <w:basedOn w:val="Title"/>
    <w:qFormat/>
    <w:rsid w:val="006414F4"/>
    <w:rPr>
      <w:b/>
      <w:caps/>
      <w:color w:val="000000"/>
      <w:sz w:val="28"/>
      <w:szCs w:val="28"/>
    </w:rPr>
  </w:style>
  <w:style w:type="paragraph" w:styleId="Footer">
    <w:name w:val="footer"/>
    <w:basedOn w:val="Normal"/>
    <w:link w:val="FooterChar"/>
    <w:uiPriority w:val="99"/>
    <w:unhideWhenUsed/>
    <w:rsid w:val="00641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4F4"/>
    <w:rPr>
      <w:sz w:val="21"/>
    </w:rPr>
  </w:style>
  <w:style w:type="character" w:styleId="PageNumber">
    <w:name w:val="page number"/>
    <w:basedOn w:val="DefaultParagraphFont"/>
    <w:uiPriority w:val="99"/>
    <w:semiHidden/>
    <w:unhideWhenUsed/>
    <w:rsid w:val="006414F4"/>
  </w:style>
  <w:style w:type="character" w:styleId="Hyperlink">
    <w:name w:val="Hyperlink"/>
    <w:basedOn w:val="DefaultParagraphFont"/>
    <w:uiPriority w:val="99"/>
    <w:unhideWhenUsed/>
    <w:rsid w:val="00875FC8"/>
    <w:rPr>
      <w:color w:val="467886" w:themeColor="hyperlink"/>
      <w:u w:val="single"/>
    </w:rPr>
  </w:style>
  <w:style w:type="character" w:styleId="UnresolvedMention">
    <w:name w:val="Unresolved Mention"/>
    <w:basedOn w:val="DefaultParagraphFont"/>
    <w:uiPriority w:val="99"/>
    <w:semiHidden/>
    <w:unhideWhenUsed/>
    <w:rsid w:val="00875FC8"/>
    <w:rPr>
      <w:color w:val="605E5C"/>
      <w:shd w:val="clear" w:color="auto" w:fill="E1DFDD"/>
    </w:rPr>
  </w:style>
  <w:style w:type="character" w:styleId="FollowedHyperlink">
    <w:name w:val="FollowedHyperlink"/>
    <w:basedOn w:val="DefaultParagraphFont"/>
    <w:uiPriority w:val="99"/>
    <w:semiHidden/>
    <w:unhideWhenUsed/>
    <w:rsid w:val="00705FFF"/>
    <w:rPr>
      <w:color w:val="96607D" w:themeColor="followedHyperlink"/>
      <w:u w:val="single"/>
    </w:rPr>
  </w:style>
  <w:style w:type="paragraph" w:styleId="Header">
    <w:name w:val="header"/>
    <w:basedOn w:val="Normal"/>
    <w:link w:val="HeaderChar"/>
    <w:uiPriority w:val="99"/>
    <w:semiHidden/>
    <w:unhideWhenUsed/>
    <w:rsid w:val="00CA64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6456"/>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073827">
      <w:bodyDiv w:val="1"/>
      <w:marLeft w:val="0"/>
      <w:marRight w:val="0"/>
      <w:marTop w:val="0"/>
      <w:marBottom w:val="0"/>
      <w:divBdr>
        <w:top w:val="none" w:sz="0" w:space="0" w:color="auto"/>
        <w:left w:val="none" w:sz="0" w:space="0" w:color="auto"/>
        <w:bottom w:val="none" w:sz="0" w:space="0" w:color="auto"/>
        <w:right w:val="none" w:sz="0" w:space="0" w:color="auto"/>
      </w:divBdr>
    </w:div>
    <w:div w:id="803430604">
      <w:bodyDiv w:val="1"/>
      <w:marLeft w:val="0"/>
      <w:marRight w:val="0"/>
      <w:marTop w:val="0"/>
      <w:marBottom w:val="0"/>
      <w:divBdr>
        <w:top w:val="none" w:sz="0" w:space="0" w:color="auto"/>
        <w:left w:val="none" w:sz="0" w:space="0" w:color="auto"/>
        <w:bottom w:val="none" w:sz="0" w:space="0" w:color="auto"/>
        <w:right w:val="none" w:sz="0" w:space="0" w:color="auto"/>
      </w:divBdr>
    </w:div>
    <w:div w:id="846213189">
      <w:bodyDiv w:val="1"/>
      <w:marLeft w:val="0"/>
      <w:marRight w:val="0"/>
      <w:marTop w:val="0"/>
      <w:marBottom w:val="0"/>
      <w:divBdr>
        <w:top w:val="none" w:sz="0" w:space="0" w:color="auto"/>
        <w:left w:val="none" w:sz="0" w:space="0" w:color="auto"/>
        <w:bottom w:val="none" w:sz="0" w:space="0" w:color="auto"/>
        <w:right w:val="none" w:sz="0" w:space="0" w:color="auto"/>
      </w:divBdr>
    </w:div>
    <w:div w:id="904995020">
      <w:bodyDiv w:val="1"/>
      <w:marLeft w:val="0"/>
      <w:marRight w:val="0"/>
      <w:marTop w:val="0"/>
      <w:marBottom w:val="0"/>
      <w:divBdr>
        <w:top w:val="none" w:sz="0" w:space="0" w:color="auto"/>
        <w:left w:val="none" w:sz="0" w:space="0" w:color="auto"/>
        <w:bottom w:val="none" w:sz="0" w:space="0" w:color="auto"/>
        <w:right w:val="none" w:sz="0" w:space="0" w:color="auto"/>
      </w:divBdr>
    </w:div>
    <w:div w:id="1056203386">
      <w:bodyDiv w:val="1"/>
      <w:marLeft w:val="0"/>
      <w:marRight w:val="0"/>
      <w:marTop w:val="0"/>
      <w:marBottom w:val="0"/>
      <w:divBdr>
        <w:top w:val="none" w:sz="0" w:space="0" w:color="auto"/>
        <w:left w:val="none" w:sz="0" w:space="0" w:color="auto"/>
        <w:bottom w:val="none" w:sz="0" w:space="0" w:color="auto"/>
        <w:right w:val="none" w:sz="0" w:space="0" w:color="auto"/>
      </w:divBdr>
    </w:div>
    <w:div w:id="1056468364">
      <w:bodyDiv w:val="1"/>
      <w:marLeft w:val="0"/>
      <w:marRight w:val="0"/>
      <w:marTop w:val="0"/>
      <w:marBottom w:val="0"/>
      <w:divBdr>
        <w:top w:val="none" w:sz="0" w:space="0" w:color="auto"/>
        <w:left w:val="none" w:sz="0" w:space="0" w:color="auto"/>
        <w:bottom w:val="none" w:sz="0" w:space="0" w:color="auto"/>
        <w:right w:val="none" w:sz="0" w:space="0" w:color="auto"/>
      </w:divBdr>
    </w:div>
    <w:div w:id="1205601890">
      <w:bodyDiv w:val="1"/>
      <w:marLeft w:val="0"/>
      <w:marRight w:val="0"/>
      <w:marTop w:val="0"/>
      <w:marBottom w:val="0"/>
      <w:divBdr>
        <w:top w:val="none" w:sz="0" w:space="0" w:color="auto"/>
        <w:left w:val="none" w:sz="0" w:space="0" w:color="auto"/>
        <w:bottom w:val="none" w:sz="0" w:space="0" w:color="auto"/>
        <w:right w:val="none" w:sz="0" w:space="0" w:color="auto"/>
      </w:divBdr>
    </w:div>
    <w:div w:id="1404333684">
      <w:bodyDiv w:val="1"/>
      <w:marLeft w:val="0"/>
      <w:marRight w:val="0"/>
      <w:marTop w:val="0"/>
      <w:marBottom w:val="0"/>
      <w:divBdr>
        <w:top w:val="none" w:sz="0" w:space="0" w:color="auto"/>
        <w:left w:val="none" w:sz="0" w:space="0" w:color="auto"/>
        <w:bottom w:val="none" w:sz="0" w:space="0" w:color="auto"/>
        <w:right w:val="none" w:sz="0" w:space="0" w:color="auto"/>
      </w:divBdr>
    </w:div>
    <w:div w:id="1491557268">
      <w:bodyDiv w:val="1"/>
      <w:marLeft w:val="0"/>
      <w:marRight w:val="0"/>
      <w:marTop w:val="0"/>
      <w:marBottom w:val="0"/>
      <w:divBdr>
        <w:top w:val="none" w:sz="0" w:space="0" w:color="auto"/>
        <w:left w:val="none" w:sz="0" w:space="0" w:color="auto"/>
        <w:bottom w:val="none" w:sz="0" w:space="0" w:color="auto"/>
        <w:right w:val="none" w:sz="0" w:space="0" w:color="auto"/>
      </w:divBdr>
    </w:div>
    <w:div w:id="1532306221">
      <w:bodyDiv w:val="1"/>
      <w:marLeft w:val="0"/>
      <w:marRight w:val="0"/>
      <w:marTop w:val="0"/>
      <w:marBottom w:val="0"/>
      <w:divBdr>
        <w:top w:val="none" w:sz="0" w:space="0" w:color="auto"/>
        <w:left w:val="none" w:sz="0" w:space="0" w:color="auto"/>
        <w:bottom w:val="none" w:sz="0" w:space="0" w:color="auto"/>
        <w:right w:val="none" w:sz="0" w:space="0" w:color="auto"/>
      </w:divBdr>
    </w:div>
    <w:div w:id="1588686461">
      <w:bodyDiv w:val="1"/>
      <w:marLeft w:val="0"/>
      <w:marRight w:val="0"/>
      <w:marTop w:val="0"/>
      <w:marBottom w:val="0"/>
      <w:divBdr>
        <w:top w:val="none" w:sz="0" w:space="0" w:color="auto"/>
        <w:left w:val="none" w:sz="0" w:space="0" w:color="auto"/>
        <w:bottom w:val="none" w:sz="0" w:space="0" w:color="auto"/>
        <w:right w:val="none" w:sz="0" w:space="0" w:color="auto"/>
      </w:divBdr>
    </w:div>
    <w:div w:id="190560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ddive.com/news/consumers-food-prices-top-concern-morning-consult-economy-inflation-recession/702613/?utm_source=Sailthru&amp;utm_medium=email&amp;utm_campaign=Issue:%202023-12-15%20Food%20Dive%20Newsletter%20%5Bissue:57444%5D&amp;utm_term=Food%20Dive" TargetMode="External"/><Relationship Id="rId13" Type="http://schemas.openxmlformats.org/officeDocument/2006/relationships/hyperlink" Target="https://www.scirp.org/journal/paperinformation?paperid=91757"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justice.gov/opa/pr/department-justice-announces-initiative-protect-americans-collusive-schemes-amid-supply-chain" TargetMode="External"/><Relationship Id="rId7" Type="http://schemas.openxmlformats.org/officeDocument/2006/relationships/hyperlink" Target="https://www.ers.usda.gov/topics/food-nutrition-assistance/food-security-in-the-u-s/key-statistics-graphics/" TargetMode="External"/><Relationship Id="rId12" Type="http://schemas.openxmlformats.org/officeDocument/2006/relationships/image" Target="media/image1.png"/><Relationship Id="rId17" Type="http://schemas.openxmlformats.org/officeDocument/2006/relationships/hyperlink" Target="https://www.casey.senate.gov/imo/media/doc/shrinkflation_report.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nvestors.pepsico.com/docs/default-source/investors/q3-2022/q3-2022-pep_transcript_r9ltxf2sicuqx5kn.pdf" TargetMode="External"/><Relationship Id="rId20" Type="http://schemas.openxmlformats.org/officeDocument/2006/relationships/hyperlink" Target="https://finance.yahoo.com/news/greedflation-caused-more-half-last-10000089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d.stlouisfed.org/series/PCU311311" TargetMode="External"/><Relationship Id="rId24" Type="http://schemas.openxmlformats.org/officeDocument/2006/relationships/hyperlink" Target="https://www.reuters.com/business/retail-consumer/carrefour-pepsico-dispute-sheds-light-key-role-retailers-ad-business-2024-04-04/" TargetMode="External"/><Relationship Id="rId5" Type="http://schemas.openxmlformats.org/officeDocument/2006/relationships/footnotes" Target="footnotes.xml"/><Relationship Id="rId15" Type="http://schemas.openxmlformats.org/officeDocument/2006/relationships/hyperlink" Target="https://time.com/6269366/food-company-profits-make-groceries-expensive/" TargetMode="External"/><Relationship Id="rId23" Type="http://schemas.openxmlformats.org/officeDocument/2006/relationships/hyperlink" Target="https://www.reuters.com/markets/us/persistent-us-services-inflation-threatens-soft-landing-kemp-2024-02-14/" TargetMode="External"/><Relationship Id="rId28" Type="http://schemas.openxmlformats.org/officeDocument/2006/relationships/theme" Target="theme/theme1.xml"/><Relationship Id="rId10" Type="http://schemas.openxmlformats.org/officeDocument/2006/relationships/hyperlink" Target="https://fred.stlouisfed.org/series/CPIUFDN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ime.com/6269366/food-company-profits-make-groceries-expensive/" TargetMode="External"/><Relationship Id="rId14" Type="http://schemas.openxmlformats.org/officeDocument/2006/relationships/image" Target="media/image2.png"/><Relationship Id="rId22" Type="http://schemas.openxmlformats.org/officeDocument/2006/relationships/hyperlink" Target="https://www.pewresearch.org/short-reads/2023/07/19/what-the-data-says-about-food-stamps-in-the-u-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Ethan Toole</dc:creator>
  <cp:keywords/>
  <dc:description/>
  <cp:lastModifiedBy>Samuel Ethan Toole</cp:lastModifiedBy>
  <cp:revision>6</cp:revision>
  <dcterms:created xsi:type="dcterms:W3CDTF">2024-05-06T03:41:00Z</dcterms:created>
  <dcterms:modified xsi:type="dcterms:W3CDTF">2024-09-07T02:44:00Z</dcterms:modified>
</cp:coreProperties>
</file>