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Rule="auto" w:line="276"/>
        <w:jc w:val="center"/>
      </w:pPr>
      <w:r>
        <w:rPr>
          <w:rFonts w:ascii="Times New Roman" w:hAnsi="Times New Roman" w:eastAsia="Times New Roman"/>
          <w:b/>
          <w:i w:val="0"/>
          <w:color w:val="000000"/>
          <w:sz w:val="32"/>
        </w:rPr>
        <w:t>Before It Acts: A Scoping Review of Preview and Approval in Agentic AI Interfaces</w:t>
      </w:r>
    </w:p>
    <w:p>
      <w:pPr>
        <w:spacing w:after="160" w:before="0" w:lineRule="auto" w:line="276"/>
      </w:pPr>
      <w:r>
        <w:rPr>
          <w:rFonts w:ascii="Times New Roman" w:hAnsi="Times New Roman" w:eastAsia="Times New Roman"/>
          <w:b w:val="0"/>
          <w:i w:val="0"/>
          <w:color w:val="000000"/>
          <w:sz w:val="24"/>
        </w:rPr>
        <w:t>Tooba Jatoi</w:t>
      </w:r>
    </w:p>
    <w:p>
      <w:pPr>
        <w:spacing w:after="160" w:before="0" w:lineRule="auto" w:line="276"/>
      </w:pPr>
      <w:r>
        <w:rPr>
          <w:rFonts w:ascii="Times New Roman" w:hAnsi="Times New Roman" w:eastAsia="Times New Roman"/>
          <w:b w:val="0"/>
          <w:i w:val="0"/>
          <w:color w:val="000000"/>
          <w:sz w:val="24"/>
        </w:rPr>
        <w:t>Independent researcher, Karachi, Pakistan</w:t>
      </w:r>
    </w:p>
    <w:p>
      <w:pPr>
        <w:spacing w:after="160" w:before="0" w:lineRule="auto" w:line="276"/>
      </w:pPr>
      <w:r>
        <w:rPr>
          <w:rFonts w:ascii="Times New Roman" w:hAnsi="Times New Roman" w:eastAsia="Times New Roman"/>
          <w:b w:val="0"/>
          <w:i w:val="0"/>
          <w:color w:val="000000"/>
          <w:sz w:val="24"/>
        </w:rPr>
        <w:t>toobajatoi44@gmail.com</w:t>
      </w:r>
    </w:p>
    <w:p>
      <w:pPr>
        <w:spacing w:after="160" w:before="0" w:lineRule="auto" w:line="276"/>
      </w:pPr>
      <w:r>
        <w:rPr>
          <w:rFonts w:ascii="Times New Roman" w:hAnsi="Times New Roman" w:eastAsia="Times New Roman"/>
          <w:b w:val="0"/>
          <w:i w:val="0"/>
          <w:color w:val="000000"/>
          <w:sz w:val="24"/>
        </w:rPr>
        <w:t>ORCID: 0009-0008-9650-7290</w:t>
      </w:r>
    </w:p>
    <w:p>
      <w:pPr>
        <w:spacing w:after="160" w:before="0" w:lineRule="auto" w:line="276"/>
      </w:pPr>
      <w:r>
        <w:rPr>
          <w:rFonts w:ascii="Times New Roman" w:hAnsi="Times New Roman" w:eastAsia="Times New Roman"/>
          <w:b w:val="0"/>
          <w:i w:val="0"/>
          <w:color w:val="000000"/>
          <w:sz w:val="24"/>
        </w:rPr>
        <w:t>Corresponding author</w:t>
      </w:r>
    </w:p>
    <w:p>
      <w:pPr>
        <w:spacing w:after="160" w:before="0" w:lineRule="auto" w:line="276"/>
      </w:pPr>
      <w:r>
        <w:rPr>
          <w:rFonts w:ascii="Times New Roman" w:hAnsi="Times New Roman" w:eastAsia="Times New Roman"/>
          <w:b w:val="0"/>
          <w:i w:val="0"/>
          <w:color w:val="000000"/>
          <w:sz w:val="24"/>
        </w:rPr>
        <w:t>Word count: 9,045 words from the introduction through the conclusion, including the tables and excluding the references and declarations.</w:t>
      </w:r>
    </w:p>
    <w:p>
      <w:pPr>
        <w:pStyle w:val="Heading1"/>
        <w:spacing w:before="320" w:after="120"/>
      </w:pPr>
      <w:r>
        <w:t>Abstract</w:t>
      </w:r>
    </w:p>
    <w:p>
      <w:pPr>
        <w:spacing w:after="160" w:before="0" w:lineRule="auto" w:line="276"/>
      </w:pPr>
      <w:r>
        <w:rPr>
          <w:rFonts w:ascii="Times New Roman" w:hAnsi="Times New Roman" w:eastAsia="Times New Roman"/>
          <w:b w:val="0"/>
          <w:i w:val="0"/>
          <w:color w:val="000000"/>
          <w:sz w:val="24"/>
        </w:rPr>
        <w:t>Agents can send a message, change a file, or spend money at the moment a person is asked to approve. This scoping review asks what the interface shows then, what the person can still change or refuse, and whether the approval is bound to the action that runs. Fifteen studies were included. Where a preview appears, it takes one of six forms: a plan, a highlight, a description, a draft, a diff, or a risk card. Two studies instead report consequential actions with no usable preview. The central finding concerns approval integrity: a confirmation can record agreement while a different action executes. Three included papers prototype a check on that binding, and none tests whether people notice a mismatch. The design statements are propositions from this synthesis, not a validated framework.</w:t>
      </w:r>
    </w:p>
    <w:p>
      <w:pPr>
        <w:spacing w:after="160" w:before="0" w:lineRule="auto" w:line="276"/>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agentic artificial intelligence; approval integrity; preview; user control; human–AI interaction</w:t>
      </w:r>
    </w:p>
    <w:p>
      <w:pPr>
        <w:pStyle w:val="Heading1"/>
        <w:spacing w:before="320" w:after="120"/>
      </w:pPr>
      <w:r>
        <w:t>1. Introduction</w:t>
      </w:r>
    </w:p>
    <w:p>
      <w:pPr>
        <w:spacing w:after="160" w:before="0" w:lineRule="auto" w:line="276"/>
      </w:pPr>
      <w:r>
        <w:rPr>
          <w:rFonts w:ascii="Times New Roman" w:hAnsi="Times New Roman" w:eastAsia="Times New Roman"/>
          <w:b w:val="0"/>
          <w:i w:val="0"/>
          <w:color w:val="000000"/>
          <w:sz w:val="24"/>
        </w:rPr>
        <w:t>A person can still be the one who clicks. The click may come after an agent has already drafted the email, chosen the command, or filled the cart. The design question is what the interface shows before that action changes something outside the conversation, and what the person can still change or refuse.</w:t>
      </w:r>
    </w:p>
    <w:p>
      <w:pPr>
        <w:spacing w:after="160" w:before="0" w:lineRule="auto" w:line="276"/>
      </w:pPr>
      <w:r>
        <w:rPr>
          <w:rFonts w:ascii="Times New Roman" w:hAnsi="Times New Roman" w:eastAsia="Times New Roman"/>
          <w:b w:val="0"/>
          <w:i w:val="0"/>
          <w:color w:val="000000"/>
          <w:sz w:val="24"/>
        </w:rPr>
        <w:t>That question is narrower than whether people have agency when they work with AI. Y. Wang and G. Wang (2026) scoping-reviewed how user autonomy is supported in interaction with large language models, including clarification, alternatives, contestability, and human approval as one mechanism among twelve. Michael and Roesner (2026) surveyed how agent systems let a person specify a permission policy and how that policy is enforced. P. Wang, Li, and Tian (2026) analysed 59 academic papers, 21 production agent systems, and 26 security plugins, as of April 2026, and coded runtime approval along six dimensions. One dimension is how much information about the action is presented when the person decides. None of these reviews extracts what the person can still edit, or whether the approved object is the object that runs.</w:t>
      </w:r>
    </w:p>
    <w:p>
      <w:pPr>
        <w:spacing w:after="160" w:before="0" w:lineRule="auto" w:line="276"/>
      </w:pPr>
      <w:r>
        <w:rPr>
          <w:rFonts w:ascii="Times New Roman" w:hAnsi="Times New Roman" w:eastAsia="Times New Roman"/>
          <w:b w:val="0"/>
          <w:i w:val="0"/>
          <w:color w:val="000000"/>
          <w:sz w:val="24"/>
        </w:rPr>
        <w:t>This paper reviews that moment. The studies differ in domain, from a simulated daily assistant to a browser extension, a document editor, a seminar-scheduling agent, and a coding-agent dialog. They are alike in one respect: an agent proposes an action that can leave the conversation, and the interface either shows that proposal or fails to.</w:t>
      </w:r>
    </w:p>
    <w:p>
      <w:pPr>
        <w:spacing w:after="160" w:before="0" w:lineRule="auto" w:line="276"/>
      </w:pPr>
      <w:r>
        <w:rPr>
          <w:rFonts w:ascii="Times New Roman" w:hAnsi="Times New Roman" w:eastAsia="Times New Roman"/>
          <w:b w:val="0"/>
          <w:i w:val="0"/>
          <w:color w:val="000000"/>
          <w:sz w:val="24"/>
        </w:rPr>
        <w:t>The review asks three questions.</w:t>
      </w:r>
    </w:p>
    <w:p>
      <w:pPr>
        <w:spacing w:after="160" w:before="0" w:lineRule="auto" w:line="276"/>
      </w:pPr>
      <w:r>
        <w:rPr>
          <w:rFonts w:ascii="Times New Roman" w:hAnsi="Times New Roman" w:eastAsia="Times New Roman"/>
          <w:b w:val="0"/>
          <w:i w:val="0"/>
          <w:color w:val="000000"/>
          <w:sz w:val="24"/>
        </w:rPr>
        <w:t>1. What do published interfaces reveal before an agent takes an action?</w:t>
      </w:r>
    </w:p>
    <w:p>
      <w:pPr>
        <w:spacing w:after="160" w:before="0" w:lineRule="auto" w:line="276"/>
      </w:pPr>
      <w:r>
        <w:rPr>
          <w:rFonts w:ascii="Times New Roman" w:hAnsi="Times New Roman" w:eastAsia="Times New Roman"/>
          <w:b w:val="0"/>
          <w:i w:val="0"/>
          <w:color w:val="000000"/>
          <w:sz w:val="24"/>
        </w:rPr>
        <w:t>2. What can the person edit, limit, refuse, or undo at that moment?</w:t>
      </w:r>
    </w:p>
    <w:p>
      <w:pPr>
        <w:spacing w:after="160" w:before="0" w:lineRule="auto" w:line="276"/>
      </w:pPr>
      <w:r>
        <w:rPr>
          <w:rFonts w:ascii="Times New Roman" w:hAnsi="Times New Roman" w:eastAsia="Times New Roman"/>
          <w:b w:val="0"/>
          <w:i w:val="0"/>
          <w:color w:val="000000"/>
          <w:sz w:val="24"/>
        </w:rPr>
        <w:t>3. What design guidance follows for an approval screen that shows the action, its scope, and its consequence?</w:t>
      </w:r>
    </w:p>
    <w:p>
      <w:pPr>
        <w:spacing w:after="160" w:before="0" w:lineRule="auto" w:line="276"/>
      </w:pPr>
      <w:r>
        <w:rPr>
          <w:rFonts w:ascii="Times New Roman" w:hAnsi="Times New Roman" w:eastAsia="Times New Roman"/>
          <w:b w:val="0"/>
          <w:i w:val="0"/>
          <w:color w:val="000000"/>
          <w:sz w:val="24"/>
        </w:rPr>
        <w:t>This review makes three contributions, and they are not equal. The headline contribution is approval integrity. A button, a dialog, or a setting can record that a person agreed, while the action that runs is a different action. P. Wang, Li, and Tian (2026) already code how much information a runtime-approval prompt shows. What this review adds is the further question of whether that approval still refers to the action that executes, and an extraction of what the person can still edit, refuse, or undo. The taxonomy of six preview forms, plan, highlight, description, draft, diff, and risk card, is how the screens are grouped. The design statements in Section 5 are propositions read from the extraction. They are not a validated framework.</w:t>
      </w:r>
    </w:p>
    <w:p>
      <w:pPr>
        <w:pStyle w:val="Heading1"/>
        <w:spacing w:before="320" w:after="120"/>
      </w:pPr>
      <w:r>
        <w:t>2. Related work</w:t>
      </w:r>
    </w:p>
    <w:p>
      <w:pPr>
        <w:spacing w:after="160" w:before="0" w:lineRule="auto" w:line="276"/>
      </w:pPr>
      <w:r>
        <w:rPr>
          <w:rFonts w:ascii="Times New Roman" w:hAnsi="Times New Roman" w:eastAsia="Times New Roman"/>
          <w:b w:val="0"/>
          <w:i w:val="0"/>
          <w:color w:val="000000"/>
          <w:sz w:val="24"/>
        </w:rPr>
        <w:t>Three reviews set the boundary of this one.</w:t>
      </w:r>
    </w:p>
    <w:p>
      <w:pPr>
        <w:spacing w:after="160" w:before="0" w:lineRule="auto" w:line="276"/>
      </w:pPr>
      <w:r>
        <w:rPr>
          <w:rFonts w:ascii="Times New Roman" w:hAnsi="Times New Roman" w:eastAsia="Times New Roman"/>
          <w:b w:val="0"/>
          <w:i w:val="0"/>
          <w:color w:val="000000"/>
          <w:sz w:val="24"/>
        </w:rPr>
        <w:t>Y. Wang and G. Wang (2026) reviewed 80 papers on user autonomy in human–LLM interaction. They grouped design mechanisms into scaffolding, steerability, reflection, transparency, and collaborative coordination. Human-in-the-loop verification appears in that catalog as a way to keep decision authority with the person. Their corpus is organized by the kind of support the mechanism offers, and they excluded empirical studies that did not contribute a prototype or framework aimed at autonomy. This review starts from the opposite cut: the pending action, and the controls attached to it.</w:t>
      </w:r>
    </w:p>
    <w:p>
      <w:pPr>
        <w:spacing w:after="160" w:before="0" w:lineRule="auto" w:line="276"/>
      </w:pPr>
      <w:r>
        <w:rPr>
          <w:rFonts w:ascii="Times New Roman" w:hAnsi="Times New Roman" w:eastAsia="Times New Roman"/>
          <w:b w:val="0"/>
          <w:i w:val="0"/>
          <w:color w:val="000000"/>
          <w:sz w:val="24"/>
        </w:rPr>
        <w:t>Michael and Roesner (2026) reviewed 21 proposals for user-level permissions in agentic systems and walked through five commercial agents. Their taxonomy covers how a policy is specified, how a user selection becomes an internal rule, and how the rule is enforced. In their commercial walkthrough, a setting labeled as needing approval did not always pause the agent; in one observed case, a draft was created without a prompt. That finding belongs with the question of whether a control does what its label says. Their paper does not extract, study by study, what the person sees in the preview, whether the pending action can be edited, or whether the approved object is the object that runs.</w:t>
      </w:r>
    </w:p>
    <w:p>
      <w:pPr>
        <w:spacing w:after="160" w:before="0" w:lineRule="auto" w:line="276"/>
      </w:pPr>
      <w:r>
        <w:rPr>
          <w:rFonts w:ascii="Times New Roman" w:hAnsi="Times New Roman" w:eastAsia="Times New Roman"/>
          <w:b w:val="0"/>
          <w:i w:val="0"/>
          <w:color w:val="000000"/>
          <w:sz w:val="24"/>
        </w:rPr>
        <w:t>P. Wang, Li, and Tian (2026) treat agent security as an agent–human interaction problem. For runtime approval, the category that pauses execution for a person, they organise the design space along six dimensions: what is approved, the granularity of the approval, the trigger, the response options, fatigue mitigation, and how much information about the action is presented at decision time. On that last dimension they distinguish a minimal prompt, the raw command, a command plus a risk explanation, a diff, an abstract plan, and a multi-layer summary. Those types sit close to the six preview forms in this review. Their unit is the security mechanism, counted across papers, production systems, and plugins. They report runtime approval in 15 of 21 production systems, and they connect frequent prompts to warning fatigue. They do not chart, for each interface, what the person can still edit or whether the approved object is the one that executes. That chart — what each interface lets the person edit, refuse, or undo, and whether its approval is bound to the executed action — is the addition here. The binding property has been named in security work as consent integrity (Weng, 2026), approval integrity (Alpay &amp; Alpay, 2026), and stale consent (Q. Zhang, 2026); this review brings it into the HCI analysis of approval screens.</w:t>
      </w:r>
    </w:p>
    <w:p>
      <w:pPr>
        <w:spacing w:after="160" w:before="0" w:lineRule="auto" w:line="276"/>
      </w:pPr>
      <w:r>
        <w:rPr>
          <w:rFonts w:ascii="Times New Roman" w:hAnsi="Times New Roman" w:eastAsia="Times New Roman"/>
          <w:b w:val="0"/>
          <w:i w:val="0"/>
          <w:color w:val="000000"/>
          <w:sz w:val="24"/>
        </w:rPr>
        <w:t>Adjacent HCI work on plans and monitoring was screened and excluded when no external action was held for approval. VeriPlan asks a person to confirm constraints on an end-user plan and then checks the plan (Lee et al., 2025). WaitGPT visualizes analysis code as it is generated so a person can steer the analysis (Xie et al., 2024). Aporia collects design decisions and then implements them; the code change is not the object on the approval screen (Kasibatla et al., 2026). Zhou et al. (2025) model when a confirmation should be requested. AGDebugger lets a developer edit and reset agent messages, and its authors note that an email already sent cannot be pulled back by that reset (Epperson et al., 2025). CUGA pauses for a tool-approval checkpoint, but the demo does not describe what the person sees on that checkpoint (Shlomov et al., 2026). Those papers mark the edge of the search. They are not rows in the extraction.</w:t>
      </w:r>
    </w:p>
    <w:p>
      <w:pPr>
        <w:pStyle w:val="Heading1"/>
        <w:spacing w:before="320" w:after="120"/>
      </w:pPr>
      <w:r>
        <w:t>3. Method</w:t>
      </w:r>
    </w:p>
    <w:p>
      <w:pPr>
        <w:spacing w:after="160" w:before="0" w:lineRule="auto" w:line="276"/>
      </w:pPr>
      <w:r>
        <w:rPr>
          <w:rFonts w:ascii="Times New Roman" w:hAnsi="Times New Roman" w:eastAsia="Times New Roman"/>
          <w:b w:val="0"/>
          <w:i w:val="0"/>
          <w:color w:val="000000"/>
          <w:sz w:val="24"/>
        </w:rPr>
        <w:t>The review follows the PRISMA-ScR reporting guideline (Tricco et al., 2018). The checklist is included with the review record. The protocol, search log, screening log, and extraction sheet are that record. The author screened and extracted all records. A generative model proposed searches, screening decisions, and extraction cells. Those proposals were checked as described in the Generative AI disclosure. There was no second human screener.</w:t>
      </w:r>
    </w:p>
    <w:p>
      <w:pPr>
        <w:pStyle w:val="Heading2"/>
        <w:spacing w:before="240" w:after="120"/>
      </w:pPr>
      <w:r>
        <w:t>3.1. Eligibility</w:t>
      </w:r>
    </w:p>
    <w:p>
      <w:pPr>
        <w:spacing w:after="160" w:before="0" w:lineRule="auto" w:line="276"/>
      </w:pPr>
      <w:r>
        <w:rPr>
          <w:rFonts w:ascii="Times New Roman" w:hAnsi="Times New Roman" w:eastAsia="Times New Roman"/>
          <w:b w:val="0"/>
          <w:i w:val="0"/>
          <w:color w:val="000000"/>
          <w:sz w:val="24"/>
        </w:rPr>
        <w:t>A paper was included if it describes a generative or agentic interface in which a person can see a proposed action before that action changes something outside the conversation, or if it reports what the person could inspect or refuse at that moment. Eligible actions include a message, file change, purchase, booking, web step, shell command, or other tool call. Preprints were included and are labeled as preprints. A security paper was included only when it describes the approval surface.</w:t>
      </w:r>
    </w:p>
    <w:p>
      <w:pPr>
        <w:spacing w:after="160" w:before="0" w:lineRule="auto" w:line="276"/>
      </w:pPr>
      <w:r>
        <w:rPr>
          <w:rFonts w:ascii="Times New Roman" w:hAnsi="Times New Roman" w:eastAsia="Times New Roman"/>
          <w:b w:val="0"/>
          <w:i w:val="0"/>
          <w:color w:val="000000"/>
          <w:sz w:val="24"/>
        </w:rPr>
        <w:t>A paper was excluded if it studied chatbot usability or co-writing with no pending action, modeled the timing of a prompt without describing the screen, verified a plan that is not executed, surveyed permission architectures, or was documentation or a pattern guide.</w:t>
      </w:r>
    </w:p>
    <w:p>
      <w:pPr>
        <w:pStyle w:val="Heading2"/>
        <w:spacing w:before="240" w:after="120"/>
      </w:pPr>
      <w:r>
        <w:t>3.2. Search</w:t>
      </w:r>
    </w:p>
    <w:p>
      <w:pPr>
        <w:spacing w:after="160" w:before="0" w:lineRule="auto" w:line="276"/>
      </w:pPr>
      <w:r>
        <w:rPr>
          <w:rFonts w:ascii="Times New Roman" w:hAnsi="Times New Roman" w:eastAsia="Times New Roman"/>
          <w:b w:val="0"/>
          <w:i w:val="0"/>
          <w:color w:val="000000"/>
          <w:sz w:val="24"/>
        </w:rPr>
        <w:t>Searches were run on 1 October 2026 in three passes. The first pass used open web search. The second pass opened public pages from the ACM Digital Library and IEEE Xplore. Scopus and Web of Science were not available, and neither ACM nor IEEE was queried through an institutional export. Fifteen queries from those two passes are listed in the search log. They combined approval, preview, action guards, co-planning, and tool use with venue and year terms for 2024–2026. Hit totals for those two passes were not retained, and they are not invented here. Non-scholarly pages were set aside and were not counted. Duplicate titles were collapsed, and the number of duplicate hits was not kept. IEEE abstracts that described robot-motion previews, rather than a generative software agent, were excluded at abstract and are not in the scholarly count. Those two passes assessed twenty-one distinct scholarly records in full text. Eight were excluded. Thirteen were included.</w:t>
      </w:r>
    </w:p>
    <w:p>
      <w:pPr>
        <w:spacing w:after="160" w:before="0" w:lineRule="auto" w:line="276"/>
      </w:pPr>
      <w:r>
        <w:rPr>
          <w:rFonts w:ascii="Times New Roman" w:hAnsi="Times New Roman" w:eastAsia="Times New Roman"/>
          <w:b w:val="0"/>
          <w:i w:val="0"/>
          <w:color w:val="000000"/>
          <w:sz w:val="24"/>
        </w:rPr>
        <w:t xml:space="preserve">The third pass recorded database counts where the source returned them. The arXiv API was queried for </w:t>
      </w:r>
      <w:r>
        <w:rPr>
          <w:rFonts w:ascii="Consolas" w:hAnsi="Consolas" w:eastAsia="Consolas"/>
          <w:b w:val="0"/>
          <w:i w:val="0"/>
          <w:color w:val="000000"/>
          <w:sz w:val="22"/>
        </w:rPr>
        <w:t>cs.HC</w:t>
      </w:r>
      <w:r>
        <w:rPr>
          <w:rFonts w:ascii="Times New Roman" w:hAnsi="Times New Roman" w:eastAsia="Times New Roman"/>
          <w:b w:val="0"/>
          <w:i w:val="0"/>
          <w:color w:val="000000"/>
          <w:sz w:val="24"/>
        </w:rPr>
        <w:t xml:space="preserve"> and for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plus a phrase query for consent integrity, approval integrity, stale consent, the verifiable action card, and approval laundering. The queries and the </w:t>
      </w:r>
      <w:r>
        <w:rPr>
          <w:rFonts w:ascii="Consolas" w:hAnsi="Consolas" w:eastAsia="Consolas"/>
          <w:b w:val="0"/>
          <w:i w:val="0"/>
          <w:color w:val="000000"/>
          <w:sz w:val="22"/>
        </w:rPr>
        <w:t>totalResults</w:t>
      </w:r>
      <w:r>
        <w:rPr>
          <w:rFonts w:ascii="Times New Roman" w:hAnsi="Times New Roman" w:eastAsia="Times New Roman"/>
          <w:b w:val="0"/>
          <w:i w:val="0"/>
          <w:color w:val="000000"/>
          <w:sz w:val="24"/>
        </w:rPr>
        <w:t xml:space="preserve"> values are in the search log: 19, 111, and 6. The phrase query overlaps the category queries. Titles from the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list were scanned. Records whose titles concerned the approval surface, a binding between approval and execution, or a review of that surface were opened. A direct search of the ACM Digital Library was attempted the same day. The site returned a bot check and no result count, so no ACM hit total is reported. Forward-citation chasing used Semantic Scholar for He et al. (2025), which listed 91 citing works. The first 50 titles were scanned, and the remaining 41 were not opened. The same request for Weng (2026) and for Mozannar et al. (2025) returned HTTP 429, and Google Scholar citing lists were not retrieved. That chase is therefore incomplete.</w:t>
      </w:r>
    </w:p>
    <w:p>
      <w:pPr>
        <w:spacing w:after="160" w:before="0" w:lineRule="auto" w:line="276"/>
      </w:pPr>
      <w:r>
        <w:rPr>
          <w:rFonts w:ascii="Times New Roman" w:hAnsi="Times New Roman" w:eastAsia="Times New Roman"/>
          <w:b w:val="0"/>
          <w:i w:val="0"/>
          <w:color w:val="000000"/>
          <w:sz w:val="24"/>
        </w:rPr>
        <w:t>The third pass assessed eleven further records, at abstract, and in full HTML where an HTML version was available. Nine were excluded. Two were included: Irshad et al. (2026) and Q. Zhang (2026). The Q. Zhang (2026) workshop PDF was read on 2 October 2026. An earlier abstract on the workshop web page reported different counts. The figures below are from the PDF.</w:t>
      </w:r>
    </w:p>
    <w:p>
      <w:pPr>
        <w:spacing w:after="160" w:before="0" w:lineRule="auto" w:line="276"/>
      </w:pPr>
      <w:r>
        <w:rPr>
          <w:rFonts w:ascii="Times New Roman" w:hAnsi="Times New Roman" w:eastAsia="Times New Roman"/>
          <w:b w:val="0"/>
          <w:i w:val="0"/>
          <w:color w:val="000000"/>
          <w:sz w:val="24"/>
        </w:rPr>
        <w:t>The fourth pass queried OpenAlex on the same day. Six queries returned 47, 190, 47, 27, 437, and 5 works. Every title was retrieved and scanned. Software releases, datasets, and duplicate deposit versions were set aside and were not counted. Twenty-seven further scholarly records were assessed at abstract. J. Liu et al. (2026) was also read in HTML. All twenty-seven were excluded. None described a preview a person could inspect. Across the assessments, fifty-nine records were assessed and forty-four were excluded. Fifteen were included. Table 1 is the flow. Table 2 gives each exclusion reason.</w:t>
      </w:r>
    </w:p>
    <w:p>
      <w:pPr>
        <w:spacing w:after="160" w:before="0" w:lineRule="auto" w:line="276"/>
      </w:pPr>
      <w:r>
        <w:rPr>
          <w:rFonts w:ascii="Times New Roman" w:hAnsi="Times New Roman" w:eastAsia="Times New Roman"/>
          <w:b w:val="0"/>
          <w:i w:val="0"/>
          <w:color w:val="000000"/>
          <w:sz w:val="24"/>
        </w:rPr>
        <w:t>These searches did not identify a review that maps this preview and what the person can still edit. That sentence describes the queries that were run. It does not claim that no such review exists in Scopus, Web of Science, or an ACM Digital Library export. P. Wang, Li, and Tian (2026) are the nearest review of what a runtime-approval prompt shows, and they are cited as a boundary rather than as that missing map. Michael and Roesner (2026) own the neighboring survey of permission policies.</w:t>
      </w:r>
    </w:p>
    <w:p>
      <w:pPr>
        <w:spacing w:after="160" w:before="0" w:lineRule="auto" w:line="276"/>
      </w:pPr>
      <w:r>
        <w:rPr>
          <w:rFonts w:ascii="Times New Roman" w:hAnsi="Times New Roman" w:eastAsia="Times New Roman"/>
          <w:b/>
          <w:i w:val="0"/>
          <w:color w:val="000000"/>
          <w:sz w:val="24"/>
        </w:rPr>
        <w:t>Table 1. Screening flow for the searches of 1 October 2026.</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shd w:fill="F2F2F2" w:val="clear"/>
          </w:tcPr>
          <w:p>
            <w:pPr>
              <w:spacing w:after="40" w:before="40"/>
            </w:pPr>
            <w:r>
              <w:rPr>
                <w:b/>
              </w:rPr>
            </w:r>
            <w:r>
              <w:rPr>
                <w:rFonts w:ascii="Times New Roman" w:hAnsi="Times New Roman" w:eastAsia="Times New Roman"/>
                <w:b/>
                <w:i w:val="0"/>
                <w:color w:val="000000"/>
                <w:sz w:val="18"/>
              </w:rPr>
              <w:t>Stage</w:t>
            </w:r>
          </w:p>
        </w:tc>
        <w:tc>
          <w:tcPr>
            <w:tcW w:type="dxa" w:w="3009"/>
            <w:shd w:fill="F2F2F2" w:val="clear"/>
          </w:tcPr>
          <w:p>
            <w:pPr>
              <w:spacing w:after="40" w:before="40"/>
            </w:pPr>
            <w:r>
              <w:rPr>
                <w:b/>
              </w:rPr>
            </w:r>
            <w:r>
              <w:rPr>
                <w:rFonts w:ascii="Times New Roman" w:hAnsi="Times New Roman" w:eastAsia="Times New Roman"/>
                <w:b/>
                <w:i w:val="0"/>
                <w:color w:val="000000"/>
                <w:sz w:val="18"/>
              </w:rPr>
              <w:t>n</w:t>
            </w:r>
          </w:p>
        </w:tc>
        <w:tc>
          <w:tcPr>
            <w:tcW w:type="dxa" w:w="3009"/>
            <w:shd w:fill="F2F2F2" w:val="clear"/>
          </w:tcPr>
          <w:p>
            <w:pPr>
              <w:spacing w:after="40" w:before="40"/>
            </w:pPr>
            <w:r>
              <w:rPr>
                <w:b/>
              </w:rPr>
            </w:r>
            <w:r>
              <w:rPr>
                <w:rFonts w:ascii="Times New Roman" w:hAnsi="Times New Roman" w:eastAsia="Times New Roman"/>
                <w:b/>
                <w:i w:val="0"/>
                <w:color w:val="000000"/>
                <w:sz w:val="18"/>
              </w:rPr>
              <w:t>What the number means</w:t>
            </w:r>
          </w:p>
        </w:tc>
      </w:tr>
      <w:tr>
        <w:tc>
          <w:tcPr>
            <w:tcW w:type="dxa" w:w="3009"/>
          </w:tcPr>
          <w:p>
            <w:pPr>
              <w:spacing w:after="40" w:before="40"/>
            </w:pPr>
            <w:r/>
            <w:r>
              <w:rPr>
                <w:rFonts w:ascii="Times New Roman" w:hAnsi="Times New Roman" w:eastAsia="Times New Roman"/>
                <w:b w:val="0"/>
                <w:i w:val="0"/>
                <w:color w:val="000000"/>
                <w:sz w:val="18"/>
              </w:rPr>
              <w:t>Queries, first two passes</w:t>
            </w:r>
          </w:p>
        </w:tc>
        <w:tc>
          <w:tcPr>
            <w:tcW w:type="dxa" w:w="3009"/>
          </w:tcPr>
          <w:p>
            <w:pPr>
              <w:spacing w:after="40" w:before="40"/>
            </w:pPr>
            <w:r/>
            <w:r>
              <w:rPr>
                <w:rFonts w:ascii="Times New Roman" w:hAnsi="Times New Roman" w:eastAsia="Times New Roman"/>
                <w:b w:val="0"/>
                <w:i w:val="0"/>
                <w:color w:val="000000"/>
                <w:sz w:val="18"/>
              </w:rPr>
              <w:t>15</w:t>
            </w:r>
          </w:p>
        </w:tc>
        <w:tc>
          <w:tcPr>
            <w:tcW w:type="dxa" w:w="3009"/>
          </w:tcPr>
          <w:p>
            <w:pPr>
              <w:spacing w:after="40" w:before="40"/>
            </w:pPr>
            <w:r/>
            <w:r>
              <w:rPr>
                <w:rFonts w:ascii="Times New Roman" w:hAnsi="Times New Roman" w:eastAsia="Times New Roman"/>
                <w:b w:val="0"/>
                <w:i w:val="0"/>
                <w:color w:val="000000"/>
                <w:sz w:val="18"/>
              </w:rPr>
              <w:t>Open web, then public ACM and IEEE pages. Hit totals were not retained.</w:t>
            </w:r>
          </w:p>
        </w:tc>
      </w:tr>
      <w:tr>
        <w:tc>
          <w:tcPr>
            <w:tcW w:type="dxa" w:w="3009"/>
          </w:tcPr>
          <w:p>
            <w:pPr>
              <w:spacing w:after="40" w:before="40"/>
            </w:pPr>
            <w:r/>
            <w:r>
              <w:rPr>
                <w:rFonts w:ascii="Times New Roman" w:hAnsi="Times New Roman" w:eastAsia="Times New Roman"/>
                <w:b w:val="0"/>
                <w:i w:val="0"/>
                <w:color w:val="000000"/>
                <w:sz w:val="18"/>
              </w:rPr>
              <w:t>Non-scholarly pages set aside</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Software-development kits, pattern guides, and forum posts.</w:t>
            </w:r>
          </w:p>
        </w:tc>
      </w:tr>
      <w:tr>
        <w:tc>
          <w:tcPr>
            <w:tcW w:type="dxa" w:w="3009"/>
          </w:tcPr>
          <w:p>
            <w:pPr>
              <w:spacing w:after="40" w:before="40"/>
            </w:pPr>
            <w:r/>
            <w:r>
              <w:rPr>
                <w:rFonts w:ascii="Times New Roman" w:hAnsi="Times New Roman" w:eastAsia="Times New Roman"/>
                <w:b w:val="0"/>
                <w:i w:val="0"/>
                <w:color w:val="000000"/>
                <w:sz w:val="18"/>
              </w:rPr>
              <w:t>Robot-motion abstracts set aside</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IEEE pages on physical-robot previews, excluded before full text.</w:t>
            </w:r>
          </w:p>
        </w:tc>
      </w:tr>
      <w:tr>
        <w:tc>
          <w:tcPr>
            <w:tcW w:type="dxa" w:w="3009"/>
          </w:tcPr>
          <w:p>
            <w:pPr>
              <w:spacing w:after="40" w:before="40"/>
            </w:pPr>
            <w:r/>
            <w:r>
              <w:rPr>
                <w:rFonts w:ascii="Times New Roman" w:hAnsi="Times New Roman" w:eastAsia="Times New Roman"/>
                <w:b w:val="0"/>
                <w:i w:val="0"/>
                <w:color w:val="000000"/>
                <w:sz w:val="18"/>
              </w:rPr>
              <w:t>Duplicate titles removed</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Only the count after collapse was retained.</w:t>
            </w:r>
          </w:p>
        </w:tc>
      </w:tr>
      <w:tr>
        <w:tc>
          <w:tcPr>
            <w:tcW w:type="dxa" w:w="3009"/>
          </w:tcPr>
          <w:p>
            <w:pPr>
              <w:spacing w:after="40" w:before="40"/>
            </w:pPr>
            <w:r/>
            <w:r>
              <w:rPr>
                <w:rFonts w:ascii="Times New Roman" w:hAnsi="Times New Roman" w:eastAsia="Times New Roman"/>
                <w:b w:val="0"/>
                <w:i w:val="0"/>
                <w:color w:val="000000"/>
                <w:sz w:val="18"/>
              </w:rPr>
              <w:t>Records assessed in full text, first two passes</w:t>
            </w:r>
          </w:p>
        </w:tc>
        <w:tc>
          <w:tcPr>
            <w:tcW w:type="dxa" w:w="3009"/>
          </w:tcPr>
          <w:p>
            <w:pPr>
              <w:spacing w:after="40" w:before="40"/>
            </w:pPr>
            <w:r/>
            <w:r>
              <w:rPr>
                <w:rFonts w:ascii="Times New Roman" w:hAnsi="Times New Roman" w:eastAsia="Times New Roman"/>
                <w:b w:val="0"/>
                <w:i w:val="0"/>
                <w:color w:val="000000"/>
                <w:sz w:val="18"/>
              </w:rPr>
              <w:t>21</w:t>
            </w:r>
          </w:p>
        </w:tc>
        <w:tc>
          <w:tcPr>
            <w:tcW w:type="dxa" w:w="3009"/>
          </w:tcPr>
          <w:p>
            <w:pPr>
              <w:spacing w:after="40" w:before="40"/>
            </w:pPr>
            <w:r/>
            <w:r>
              <w:rPr>
                <w:rFonts w:ascii="Times New Roman" w:hAnsi="Times New Roman" w:eastAsia="Times New Roman"/>
                <w:b w:val="0"/>
                <w:i w:val="0"/>
                <w:color w:val="000000"/>
                <w:sz w:val="18"/>
              </w:rPr>
              <w:t>Sixteen from the first pass and five from the second.</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8</w:t>
            </w:r>
          </w:p>
        </w:tc>
        <w:tc>
          <w:tcPr>
            <w:tcW w:type="dxa" w:w="3009"/>
          </w:tcPr>
          <w:p>
            <w:pPr>
              <w:spacing w:after="40" w:before="40"/>
            </w:pPr>
            <w:r/>
            <w:r>
              <w:rPr>
                <w:rFonts w:ascii="Times New Roman" w:hAnsi="Times New Roman" w:eastAsia="Times New Roman"/>
                <w:b w:val="0"/>
                <w:i w:val="0"/>
                <w:color w:val="000000"/>
                <w:sz w:val="18"/>
              </w:rPr>
              <w:t>Rows 1–8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13</w:t>
            </w:r>
          </w:p>
        </w:tc>
        <w:tc>
          <w:tcPr>
            <w:tcW w:type="dxa" w:w="3009"/>
          </w:tcPr>
          <w:p>
            <w:pPr>
              <w:spacing w:after="40" w:before="40"/>
            </w:pPr>
            <w:r/>
          </w:p>
        </w:tc>
      </w:tr>
      <w:tr>
        <w:tc>
          <w:tcPr>
            <w:tcW w:type="dxa" w:w="3009"/>
          </w:tcPr>
          <w:p>
            <w:pPr>
              <w:spacing w:after="40" w:before="40"/>
            </w:pPr>
            <w:r/>
            <w:r>
              <w:rPr>
                <w:rFonts w:ascii="Times New Roman" w:hAnsi="Times New Roman" w:eastAsia="Times New Roman"/>
                <w:b w:val="0"/>
                <w:i w:val="0"/>
                <w:color w:val="000000"/>
                <w:sz w:val="18"/>
              </w:rPr>
              <w:t xml:space="preserve">arXiv </w:t>
            </w:r>
            <w:r>
              <w:rPr>
                <w:rFonts w:ascii="Consolas" w:hAnsi="Consolas" w:eastAsia="Consolas"/>
                <w:b w:val="0"/>
                <w:i w:val="0"/>
                <w:color w:val="000000"/>
                <w:sz w:val="16"/>
              </w:rPr>
              <w:t>cs.HC</w:t>
            </w:r>
            <w:r>
              <w:rPr>
                <w:rFonts w:ascii="Times New Roman" w:hAnsi="Times New Roman" w:eastAsia="Times New Roman"/>
                <w:b w:val="0"/>
                <w:i w:val="0"/>
                <w:color w:val="000000"/>
                <w:sz w:val="18"/>
              </w:rPr>
              <w:t xml:space="preserve"> query, third pass</w:t>
            </w:r>
          </w:p>
        </w:tc>
        <w:tc>
          <w:tcPr>
            <w:tcW w:type="dxa" w:w="3009"/>
          </w:tcPr>
          <w:p>
            <w:pPr>
              <w:spacing w:after="40" w:before="40"/>
            </w:pPr>
            <w:r/>
            <w:r>
              <w:rPr>
                <w:rFonts w:ascii="Times New Roman" w:hAnsi="Times New Roman" w:eastAsia="Times New Roman"/>
                <w:b w:val="0"/>
                <w:i w:val="0"/>
                <w:color w:val="000000"/>
                <w:sz w:val="18"/>
              </w:rPr>
              <w:t>19</w:t>
            </w:r>
          </w:p>
        </w:tc>
        <w:tc>
          <w:tcPr>
            <w:tcW w:type="dxa" w:w="3009"/>
          </w:tcPr>
          <w:p>
            <w:pPr>
              <w:spacing w:after="40" w:before="40"/>
            </w:pPr>
            <w:r/>
            <w:r>
              <w:rPr>
                <w:rFonts w:ascii="Times New Roman" w:hAnsi="Times New Roman" w:eastAsia="Times New Roman"/>
                <w:b w:val="0"/>
                <w:i w:val="0"/>
                <w:color w:val="000000"/>
                <w:sz w:val="18"/>
              </w:rPr>
              <w:t xml:space="preserve">API </w:t>
            </w:r>
            <w:r>
              <w:rPr>
                <w:rFonts w:ascii="Consolas" w:hAnsi="Consolas" w:eastAsia="Consolas"/>
                <w:b w:val="0"/>
                <w:i w:val="0"/>
                <w:color w:val="000000"/>
                <w:sz w:val="16"/>
              </w:rPr>
              <w:t>totalResults</w:t>
            </w:r>
            <w:r>
              <w:rPr>
                <w:rFonts w:ascii="Times New Roman" w:hAnsi="Times New Roman" w:eastAsia="Times New Roman"/>
                <w:b w:val="0"/>
                <w:i w:val="0"/>
                <w:color w:val="000000"/>
                <w:sz w:val="18"/>
              </w:rPr>
              <w:t>. Titles were not all assessed in full text.</w:t>
            </w:r>
          </w:p>
        </w:tc>
      </w:tr>
      <w:tr>
        <w:tc>
          <w:tcPr>
            <w:tcW w:type="dxa" w:w="3009"/>
          </w:tcPr>
          <w:p>
            <w:pPr>
              <w:spacing w:after="40" w:before="40"/>
            </w:pPr>
            <w:r/>
            <w:r>
              <w:rPr>
                <w:rFonts w:ascii="Times New Roman" w:hAnsi="Times New Roman" w:eastAsia="Times New Roman"/>
                <w:b w:val="0"/>
                <w:i w:val="0"/>
                <w:color w:val="000000"/>
                <w:sz w:val="18"/>
              </w:rPr>
              <w:t xml:space="preserve">arXiv </w:t>
            </w:r>
            <w:r>
              <w:rPr>
                <w:rFonts w:ascii="Consolas" w:hAnsi="Consolas" w:eastAsia="Consolas"/>
                <w:b w:val="0"/>
                <w:i w:val="0"/>
                <w:color w:val="000000"/>
                <w:sz w:val="16"/>
              </w:rPr>
              <w:t>cs.CR</w:t>
            </w:r>
            <w:r>
              <w:rPr>
                <w:rFonts w:ascii="Times New Roman" w:hAnsi="Times New Roman" w:eastAsia="Times New Roman"/>
                <w:b w:val="0"/>
                <w:i w:val="0"/>
                <w:color w:val="000000"/>
                <w:sz w:val="18"/>
              </w:rPr>
              <w:t xml:space="preserve"> query, third pass</w:t>
            </w:r>
          </w:p>
        </w:tc>
        <w:tc>
          <w:tcPr>
            <w:tcW w:type="dxa" w:w="3009"/>
          </w:tcPr>
          <w:p>
            <w:pPr>
              <w:spacing w:after="40" w:before="40"/>
            </w:pPr>
            <w:r/>
            <w:r>
              <w:rPr>
                <w:rFonts w:ascii="Times New Roman" w:hAnsi="Times New Roman" w:eastAsia="Times New Roman"/>
                <w:b w:val="0"/>
                <w:i w:val="0"/>
                <w:color w:val="000000"/>
                <w:sz w:val="18"/>
              </w:rPr>
              <w:t>111</w:t>
            </w:r>
          </w:p>
        </w:tc>
        <w:tc>
          <w:tcPr>
            <w:tcW w:type="dxa" w:w="3009"/>
          </w:tcPr>
          <w:p>
            <w:pPr>
              <w:spacing w:after="40" w:before="40"/>
            </w:pPr>
            <w:r/>
            <w:r>
              <w:rPr>
                <w:rFonts w:ascii="Times New Roman" w:hAnsi="Times New Roman" w:eastAsia="Times New Roman"/>
                <w:b w:val="0"/>
                <w:i w:val="0"/>
                <w:color w:val="000000"/>
                <w:sz w:val="18"/>
              </w:rPr>
              <w:t xml:space="preserve">API </w:t>
            </w:r>
            <w:r>
              <w:rPr>
                <w:rFonts w:ascii="Consolas" w:hAnsi="Consolas" w:eastAsia="Consolas"/>
                <w:b w:val="0"/>
                <w:i w:val="0"/>
                <w:color w:val="000000"/>
                <w:sz w:val="16"/>
              </w:rPr>
              <w:t>totalResults</w:t>
            </w:r>
            <w:r>
              <w:rPr>
                <w:rFonts w:ascii="Times New Roman" w:hAnsi="Times New Roman" w:eastAsia="Times New Roman"/>
                <w:b w:val="0"/>
                <w:i w:val="0"/>
                <w:color w:val="000000"/>
                <w:sz w:val="18"/>
              </w:rPr>
              <w:t>. Titles were scanned.</w:t>
            </w:r>
          </w:p>
        </w:tc>
      </w:tr>
      <w:tr>
        <w:tc>
          <w:tcPr>
            <w:tcW w:type="dxa" w:w="3009"/>
          </w:tcPr>
          <w:p>
            <w:pPr>
              <w:spacing w:after="40" w:before="40"/>
            </w:pPr>
            <w:r/>
            <w:r>
              <w:rPr>
                <w:rFonts w:ascii="Times New Roman" w:hAnsi="Times New Roman" w:eastAsia="Times New Roman"/>
                <w:b w:val="0"/>
                <w:i w:val="0"/>
                <w:color w:val="000000"/>
                <w:sz w:val="18"/>
              </w:rPr>
              <w:t>arXiv phrase query, third pass</w:t>
            </w:r>
          </w:p>
        </w:tc>
        <w:tc>
          <w:tcPr>
            <w:tcW w:type="dxa" w:w="3009"/>
          </w:tcPr>
          <w:p>
            <w:pPr>
              <w:spacing w:after="40" w:before="40"/>
            </w:pPr>
            <w:r/>
            <w:r>
              <w:rPr>
                <w:rFonts w:ascii="Times New Roman" w:hAnsi="Times New Roman" w:eastAsia="Times New Roman"/>
                <w:b w:val="0"/>
                <w:i w:val="0"/>
                <w:color w:val="000000"/>
                <w:sz w:val="18"/>
              </w:rPr>
              <w:t>6</w:t>
            </w:r>
          </w:p>
        </w:tc>
        <w:tc>
          <w:tcPr>
            <w:tcW w:type="dxa" w:w="3009"/>
          </w:tcPr>
          <w:p>
            <w:pPr>
              <w:spacing w:after="40" w:before="40"/>
            </w:pPr>
            <w:r/>
            <w:r>
              <w:rPr>
                <w:rFonts w:ascii="Times New Roman" w:hAnsi="Times New Roman" w:eastAsia="Times New Roman"/>
                <w:b w:val="0"/>
                <w:i w:val="0"/>
                <w:color w:val="000000"/>
                <w:sz w:val="18"/>
              </w:rPr>
              <w:t>Overlaps the two category queries.</w:t>
            </w:r>
          </w:p>
        </w:tc>
      </w:tr>
      <w:tr>
        <w:tc>
          <w:tcPr>
            <w:tcW w:type="dxa" w:w="3009"/>
          </w:tcPr>
          <w:p>
            <w:pPr>
              <w:spacing w:after="40" w:before="40"/>
            </w:pPr>
            <w:r/>
            <w:r>
              <w:rPr>
                <w:rFonts w:ascii="Times New Roman" w:hAnsi="Times New Roman" w:eastAsia="Times New Roman"/>
                <w:b w:val="0"/>
                <w:i w:val="0"/>
                <w:color w:val="000000"/>
                <w:sz w:val="18"/>
              </w:rPr>
              <w:t>ACM Digital Library search</w:t>
            </w:r>
          </w:p>
        </w:tc>
        <w:tc>
          <w:tcPr>
            <w:tcW w:type="dxa" w:w="3009"/>
          </w:tcPr>
          <w:p>
            <w:pPr>
              <w:spacing w:after="40" w:before="40"/>
            </w:pPr>
            <w:r/>
            <w:r>
              <w:rPr>
                <w:rFonts w:ascii="Times New Roman" w:hAnsi="Times New Roman" w:eastAsia="Times New Roman"/>
                <w:b w:val="0"/>
                <w:i w:val="0"/>
                <w:color w:val="000000"/>
                <w:sz w:val="18"/>
              </w:rPr>
              <w:t>Not obtained</w:t>
            </w:r>
          </w:p>
        </w:tc>
        <w:tc>
          <w:tcPr>
            <w:tcW w:type="dxa" w:w="3009"/>
          </w:tcPr>
          <w:p>
            <w:pPr>
              <w:spacing w:after="40" w:before="40"/>
            </w:pPr>
            <w:r/>
            <w:r>
              <w:rPr>
                <w:rFonts w:ascii="Times New Roman" w:hAnsi="Times New Roman" w:eastAsia="Times New Roman"/>
                <w:b w:val="0"/>
                <w:i w:val="0"/>
                <w:color w:val="000000"/>
                <w:sz w:val="18"/>
              </w:rPr>
              <w:t>The search page returned a bot check and no result count.</w:t>
            </w:r>
          </w:p>
        </w:tc>
      </w:tr>
      <w:tr>
        <w:tc>
          <w:tcPr>
            <w:tcW w:type="dxa" w:w="3009"/>
          </w:tcPr>
          <w:p>
            <w:pPr>
              <w:spacing w:after="40" w:before="40"/>
            </w:pPr>
            <w:r/>
            <w:r>
              <w:rPr>
                <w:rFonts w:ascii="Times New Roman" w:hAnsi="Times New Roman" w:eastAsia="Times New Roman"/>
                <w:b w:val="0"/>
                <w:i w:val="0"/>
                <w:color w:val="000000"/>
                <w:sz w:val="18"/>
              </w:rPr>
              <w:t>Citing works of He et al. (2025)</w:t>
            </w:r>
          </w:p>
        </w:tc>
        <w:tc>
          <w:tcPr>
            <w:tcW w:type="dxa" w:w="3009"/>
          </w:tcPr>
          <w:p>
            <w:pPr>
              <w:spacing w:after="40" w:before="40"/>
            </w:pPr>
            <w:r/>
            <w:r>
              <w:rPr>
                <w:rFonts w:ascii="Times New Roman" w:hAnsi="Times New Roman" w:eastAsia="Times New Roman"/>
                <w:b w:val="0"/>
                <w:i w:val="0"/>
                <w:color w:val="000000"/>
                <w:sz w:val="18"/>
              </w:rPr>
              <w:t>91</w:t>
            </w:r>
          </w:p>
        </w:tc>
        <w:tc>
          <w:tcPr>
            <w:tcW w:type="dxa" w:w="3009"/>
          </w:tcPr>
          <w:p>
            <w:pPr>
              <w:spacing w:after="40" w:before="40"/>
            </w:pPr>
            <w:r/>
            <w:r>
              <w:rPr>
                <w:rFonts w:ascii="Times New Roman" w:hAnsi="Times New Roman" w:eastAsia="Times New Roman"/>
                <w:b w:val="0"/>
                <w:i w:val="0"/>
                <w:color w:val="000000"/>
                <w:sz w:val="18"/>
              </w:rPr>
              <w:t>Semantic Scholar. The first 50 titles were scanned.</w:t>
            </w:r>
          </w:p>
        </w:tc>
      </w:tr>
      <w:tr>
        <w:tc>
          <w:tcPr>
            <w:tcW w:type="dxa" w:w="3009"/>
          </w:tcPr>
          <w:p>
            <w:pPr>
              <w:spacing w:after="40" w:before="40"/>
            </w:pPr>
            <w:r/>
            <w:r>
              <w:rPr>
                <w:rFonts w:ascii="Times New Roman" w:hAnsi="Times New Roman" w:eastAsia="Times New Roman"/>
                <w:b w:val="0"/>
                <w:i w:val="0"/>
                <w:color w:val="000000"/>
                <w:sz w:val="18"/>
              </w:rPr>
              <w:t>Citing works of Weng (2026) and Mozannar et al. (2025)</w:t>
            </w:r>
          </w:p>
        </w:tc>
        <w:tc>
          <w:tcPr>
            <w:tcW w:type="dxa" w:w="3009"/>
          </w:tcPr>
          <w:p>
            <w:pPr>
              <w:spacing w:after="40" w:before="40"/>
            </w:pPr>
            <w:r/>
            <w:r>
              <w:rPr>
                <w:rFonts w:ascii="Times New Roman" w:hAnsi="Times New Roman" w:eastAsia="Times New Roman"/>
                <w:b w:val="0"/>
                <w:i w:val="0"/>
                <w:color w:val="000000"/>
                <w:sz w:val="18"/>
              </w:rPr>
              <w:t>Not obtained</w:t>
            </w:r>
          </w:p>
        </w:tc>
        <w:tc>
          <w:tcPr>
            <w:tcW w:type="dxa" w:w="3009"/>
          </w:tcPr>
          <w:p>
            <w:pPr>
              <w:spacing w:after="40" w:before="40"/>
            </w:pPr>
            <w:r/>
            <w:r>
              <w:rPr>
                <w:rFonts w:ascii="Times New Roman" w:hAnsi="Times New Roman" w:eastAsia="Times New Roman"/>
                <w:b w:val="0"/>
                <w:i w:val="0"/>
                <w:color w:val="000000"/>
                <w:sz w:val="18"/>
              </w:rPr>
              <w:t>Semantic Scholar returned HTTP 429. Google Scholar lists were not retrieved.</w:t>
            </w:r>
          </w:p>
        </w:tc>
      </w:tr>
      <w:tr>
        <w:tc>
          <w:tcPr>
            <w:tcW w:type="dxa" w:w="3009"/>
          </w:tcPr>
          <w:p>
            <w:pPr>
              <w:spacing w:after="40" w:before="40"/>
            </w:pPr>
            <w:r/>
            <w:r>
              <w:rPr>
                <w:rFonts w:ascii="Times New Roman" w:hAnsi="Times New Roman" w:eastAsia="Times New Roman"/>
                <w:b w:val="0"/>
                <w:i w:val="0"/>
                <w:color w:val="000000"/>
                <w:sz w:val="18"/>
              </w:rPr>
              <w:t>Additional records assessed, third pass</w:t>
            </w:r>
          </w:p>
        </w:tc>
        <w:tc>
          <w:tcPr>
            <w:tcW w:type="dxa" w:w="3009"/>
          </w:tcPr>
          <w:p>
            <w:pPr>
              <w:spacing w:after="40" w:before="40"/>
            </w:pPr>
            <w:r/>
            <w:r>
              <w:rPr>
                <w:rFonts w:ascii="Times New Roman" w:hAnsi="Times New Roman" w:eastAsia="Times New Roman"/>
                <w:b w:val="0"/>
                <w:i w:val="0"/>
                <w:color w:val="000000"/>
                <w:sz w:val="18"/>
              </w:rPr>
              <w:t>11</w:t>
            </w:r>
          </w:p>
        </w:tc>
        <w:tc>
          <w:tcPr>
            <w:tcW w:type="dxa" w:w="3009"/>
          </w:tcPr>
          <w:p>
            <w:pPr>
              <w:spacing w:after="40" w:before="40"/>
            </w:pPr>
            <w:r/>
            <w:r>
              <w:rPr>
                <w:rFonts w:ascii="Times New Roman" w:hAnsi="Times New Roman" w:eastAsia="Times New Roman"/>
                <w:b w:val="0"/>
                <w:i w:val="0"/>
                <w:color w:val="000000"/>
                <w:sz w:val="18"/>
              </w:rPr>
              <w:t>Abstract, plus full HTML where it was available.</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9</w:t>
            </w:r>
          </w:p>
        </w:tc>
        <w:tc>
          <w:tcPr>
            <w:tcW w:type="dxa" w:w="3009"/>
          </w:tcPr>
          <w:p>
            <w:pPr>
              <w:spacing w:after="40" w:before="40"/>
            </w:pPr>
            <w:r/>
            <w:r>
              <w:rPr>
                <w:rFonts w:ascii="Times New Roman" w:hAnsi="Times New Roman" w:eastAsia="Times New Roman"/>
                <w:b w:val="0"/>
                <w:i w:val="0"/>
                <w:color w:val="000000"/>
                <w:sz w:val="18"/>
              </w:rPr>
              <w:t>Rows 9–17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2</w:t>
            </w:r>
          </w:p>
        </w:tc>
        <w:tc>
          <w:tcPr>
            <w:tcW w:type="dxa" w:w="3009"/>
          </w:tcPr>
          <w:p>
            <w:pPr>
              <w:spacing w:after="40" w:before="40"/>
            </w:pPr>
            <w:r/>
            <w:r>
              <w:rPr>
                <w:rFonts w:ascii="Times New Roman" w:hAnsi="Times New Roman" w:eastAsia="Times New Roman"/>
                <w:b w:val="0"/>
                <w:i w:val="0"/>
                <w:color w:val="000000"/>
                <w:sz w:val="18"/>
              </w:rPr>
              <w:t>Irshad et al. (2026); Q. Zhang (2026).</w:t>
            </w:r>
          </w:p>
        </w:tc>
      </w:tr>
      <w:tr>
        <w:tc>
          <w:tcPr>
            <w:tcW w:type="dxa" w:w="3009"/>
          </w:tcPr>
          <w:p>
            <w:pPr>
              <w:spacing w:after="40" w:before="40"/>
            </w:pPr>
            <w:r/>
            <w:r>
              <w:rPr>
                <w:rFonts w:ascii="Times New Roman" w:hAnsi="Times New Roman" w:eastAsia="Times New Roman"/>
                <w:b w:val="0"/>
                <w:i w:val="0"/>
                <w:color w:val="000000"/>
                <w:sz w:val="18"/>
              </w:rPr>
              <w:t>OpenAlex queries, fourth pass</w:t>
            </w:r>
          </w:p>
        </w:tc>
        <w:tc>
          <w:tcPr>
            <w:tcW w:type="dxa" w:w="3009"/>
          </w:tcPr>
          <w:p>
            <w:pPr>
              <w:spacing w:after="40" w:before="40"/>
            </w:pPr>
            <w:r/>
            <w:r>
              <w:rPr>
                <w:rFonts w:ascii="Times New Roman" w:hAnsi="Times New Roman" w:eastAsia="Times New Roman"/>
                <w:b w:val="0"/>
                <w:i w:val="0"/>
                <w:color w:val="000000"/>
                <w:sz w:val="18"/>
              </w:rPr>
              <w:t>47; 190; 47; 27; 437; 5</w:t>
            </w:r>
          </w:p>
        </w:tc>
        <w:tc>
          <w:tcPr>
            <w:tcW w:type="dxa" w:w="3009"/>
          </w:tcPr>
          <w:p>
            <w:pPr>
              <w:spacing w:after="40" w:before="40"/>
            </w:pPr>
            <w:r/>
            <w:r>
              <w:rPr>
                <w:rFonts w:ascii="Times New Roman" w:hAnsi="Times New Roman" w:eastAsia="Times New Roman"/>
                <w:b w:val="0"/>
                <w:i w:val="0"/>
                <w:color w:val="000000"/>
                <w:sz w:val="18"/>
              </w:rPr>
              <w:t>Every title was scanned. The queries are in the search log. Software releases and datasets were set aside.</w:t>
            </w:r>
          </w:p>
        </w:tc>
      </w:tr>
      <w:tr>
        <w:tc>
          <w:tcPr>
            <w:tcW w:type="dxa" w:w="3009"/>
          </w:tcPr>
          <w:p>
            <w:pPr>
              <w:spacing w:after="40" w:before="40"/>
            </w:pPr>
            <w:r/>
            <w:r>
              <w:rPr>
                <w:rFonts w:ascii="Times New Roman" w:hAnsi="Times New Roman" w:eastAsia="Times New Roman"/>
                <w:b w:val="0"/>
                <w:i w:val="0"/>
                <w:color w:val="000000"/>
                <w:sz w:val="18"/>
              </w:rPr>
              <w:t>Additional records assessed, fourth pass</w:t>
            </w:r>
          </w:p>
        </w:tc>
        <w:tc>
          <w:tcPr>
            <w:tcW w:type="dxa" w:w="3009"/>
          </w:tcPr>
          <w:p>
            <w:pPr>
              <w:spacing w:after="40" w:before="40"/>
            </w:pPr>
            <w:r/>
            <w:r>
              <w:rPr>
                <w:rFonts w:ascii="Times New Roman" w:hAnsi="Times New Roman" w:eastAsia="Times New Roman"/>
                <w:b w:val="0"/>
                <w:i w:val="0"/>
                <w:color w:val="000000"/>
                <w:sz w:val="18"/>
              </w:rPr>
              <w:t>27</w:t>
            </w:r>
          </w:p>
        </w:tc>
        <w:tc>
          <w:tcPr>
            <w:tcW w:type="dxa" w:w="3009"/>
          </w:tcPr>
          <w:p>
            <w:pPr>
              <w:spacing w:after="40" w:before="40"/>
            </w:pPr>
            <w:r/>
            <w:r>
              <w:rPr>
                <w:rFonts w:ascii="Times New Roman" w:hAnsi="Times New Roman" w:eastAsia="Times New Roman"/>
                <w:b w:val="0"/>
                <w:i w:val="0"/>
                <w:color w:val="000000"/>
                <w:sz w:val="18"/>
              </w:rPr>
              <w:t>Abstract. J. Liu et al. (2026) was also read in HTML.</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27</w:t>
            </w:r>
          </w:p>
        </w:tc>
        <w:tc>
          <w:tcPr>
            <w:tcW w:type="dxa" w:w="3009"/>
          </w:tcPr>
          <w:p>
            <w:pPr>
              <w:spacing w:after="40" w:before="40"/>
            </w:pPr>
            <w:r/>
            <w:r>
              <w:rPr>
                <w:rFonts w:ascii="Times New Roman" w:hAnsi="Times New Roman" w:eastAsia="Times New Roman"/>
                <w:b w:val="0"/>
                <w:i w:val="0"/>
                <w:color w:val="000000"/>
                <w:sz w:val="18"/>
              </w:rPr>
              <w:t>Rows 18–44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0</w:t>
            </w:r>
          </w:p>
        </w:tc>
        <w:tc>
          <w:tcPr>
            <w:tcW w:type="dxa" w:w="3009"/>
          </w:tcPr>
          <w:p>
            <w:pPr>
              <w:spacing w:after="40" w:before="40"/>
            </w:pPr>
            <w:r/>
          </w:p>
        </w:tc>
      </w:tr>
      <w:tr>
        <w:tc>
          <w:tcPr>
            <w:tcW w:type="dxa" w:w="3009"/>
          </w:tcPr>
          <w:p>
            <w:pPr>
              <w:spacing w:after="40" w:before="40"/>
            </w:pPr>
            <w:r/>
            <w:r>
              <w:rPr>
                <w:rFonts w:ascii="Times New Roman" w:hAnsi="Times New Roman" w:eastAsia="Times New Roman"/>
                <w:b w:val="0"/>
                <w:i w:val="0"/>
                <w:color w:val="000000"/>
                <w:sz w:val="18"/>
              </w:rPr>
              <w:t>Included in the extraction</w:t>
            </w:r>
          </w:p>
        </w:tc>
        <w:tc>
          <w:tcPr>
            <w:tcW w:type="dxa" w:w="3009"/>
          </w:tcPr>
          <w:p>
            <w:pPr>
              <w:spacing w:after="40" w:before="40"/>
            </w:pPr>
            <w:r/>
            <w:r>
              <w:rPr>
                <w:rFonts w:ascii="Times New Roman" w:hAnsi="Times New Roman" w:eastAsia="Times New Roman"/>
                <w:b w:val="0"/>
                <w:i w:val="0"/>
                <w:color w:val="000000"/>
                <w:sz w:val="18"/>
              </w:rPr>
              <w:t>15</w:t>
            </w:r>
          </w:p>
        </w:tc>
        <w:tc>
          <w:tcPr>
            <w:tcW w:type="dxa" w:w="3009"/>
          </w:tcPr>
          <w:p>
            <w:pPr>
              <w:spacing w:after="40" w:before="40"/>
            </w:pPr>
            <w:r/>
            <w:r>
              <w:rPr>
                <w:rFonts w:ascii="Times New Roman" w:hAnsi="Times New Roman" w:eastAsia="Times New Roman"/>
                <w:b w:val="0"/>
                <w:i w:val="0"/>
                <w:color w:val="000000"/>
                <w:sz w:val="18"/>
              </w:rPr>
              <w:t>Table 3.</w:t>
            </w:r>
          </w:p>
        </w:tc>
      </w:tr>
    </w:tbl>
    <w:p/>
    <w:p>
      <w:pPr>
        <w:spacing w:after="160" w:before="0" w:lineRule="auto" w:line="276"/>
      </w:pPr>
      <w:r>
        <w:rPr>
          <w:rFonts w:ascii="Times New Roman" w:hAnsi="Times New Roman" w:eastAsia="Times New Roman"/>
          <w:b/>
          <w:i w:val="0"/>
          <w:color w:val="000000"/>
          <w:sz w:val="24"/>
        </w:rPr>
        <w:t>Table 2. Records excluded after assessment.</w:t>
      </w:r>
    </w:p>
    <w:tbl>
      <w:tblPr>
        <w:tblStyle w:val="TableGrid"/>
        <w:tblW w:type="auto" w:w="0"/>
        <w:tblLayout w:type="autofit"/>
        <w:tblLook w:firstColumn="1" w:firstRow="1" w:lastColumn="0" w:lastRow="0" w:noHBand="0" w:noVBand="1" w:val="04A0"/>
      </w:tblPr>
      <w:tblGrid>
        <w:gridCol w:w="4513"/>
        <w:gridCol w:w="4513"/>
      </w:tblGrid>
      <w:tr>
        <w:tc>
          <w:tcPr>
            <w:tcW w:type="dxa" w:w="4513"/>
            <w:shd w:fill="F2F2F2" w:val="clear"/>
          </w:tcPr>
          <w:p>
            <w:pPr>
              <w:spacing w:after="40" w:before="40"/>
            </w:pPr>
            <w:r>
              <w:rPr>
                <w:b/>
              </w:rPr>
            </w:r>
            <w:r>
              <w:rPr>
                <w:rFonts w:ascii="Times New Roman" w:hAnsi="Times New Roman" w:eastAsia="Times New Roman"/>
                <w:b/>
                <w:i w:val="0"/>
                <w:color w:val="000000"/>
                <w:sz w:val="18"/>
              </w:rPr>
              <w:t>Record</w:t>
            </w:r>
          </w:p>
        </w:tc>
        <w:tc>
          <w:tcPr>
            <w:tcW w:type="dxa" w:w="4513"/>
            <w:shd w:fill="F2F2F2" w:val="clear"/>
          </w:tcPr>
          <w:p>
            <w:pPr>
              <w:spacing w:after="40" w:before="40"/>
            </w:pPr>
            <w:r>
              <w:rPr>
                <w:b/>
              </w:rPr>
            </w:r>
            <w:r>
              <w:rPr>
                <w:rFonts w:ascii="Times New Roman" w:hAnsi="Times New Roman" w:eastAsia="Times New Roman"/>
                <w:b/>
                <w:i w:val="0"/>
                <w:color w:val="000000"/>
                <w:sz w:val="18"/>
              </w:rPr>
              <w:t>Reason</w:t>
            </w:r>
          </w:p>
        </w:tc>
      </w:tr>
      <w:tr>
        <w:tc>
          <w:tcPr>
            <w:tcW w:type="dxa" w:w="4513"/>
          </w:tcPr>
          <w:p>
            <w:pPr>
              <w:spacing w:after="40" w:before="40"/>
            </w:pPr>
            <w:r/>
            <w:r>
              <w:rPr>
                <w:rFonts w:ascii="Times New Roman" w:hAnsi="Times New Roman" w:eastAsia="Times New Roman"/>
                <w:b w:val="0"/>
                <w:i w:val="0"/>
                <w:color w:val="000000"/>
                <w:sz w:val="18"/>
              </w:rPr>
              <w:t>Y. Wang and G. Wang (2026)</w:t>
            </w:r>
          </w:p>
        </w:tc>
        <w:tc>
          <w:tcPr>
            <w:tcW w:type="dxa" w:w="4513"/>
          </w:tcPr>
          <w:p>
            <w:pPr>
              <w:spacing w:after="40" w:before="40"/>
            </w:pPr>
            <w:r/>
            <w:r>
              <w:rPr>
                <w:rFonts w:ascii="Times New Roman" w:hAnsi="Times New Roman" w:eastAsia="Times New Roman"/>
                <w:b w:val="0"/>
                <w:i w:val="0"/>
                <w:color w:val="000000"/>
                <w:sz w:val="18"/>
              </w:rPr>
              <w:t>Reviews autonomy mechanisms in conversation with language models. It does not map the content of a pending-action preview.</w:t>
            </w:r>
          </w:p>
        </w:tc>
      </w:tr>
      <w:tr>
        <w:tc>
          <w:tcPr>
            <w:tcW w:type="dxa" w:w="4513"/>
          </w:tcPr>
          <w:p>
            <w:pPr>
              <w:spacing w:after="40" w:before="40"/>
            </w:pPr>
            <w:r/>
            <w:r>
              <w:rPr>
                <w:rFonts w:ascii="Times New Roman" w:hAnsi="Times New Roman" w:eastAsia="Times New Roman"/>
                <w:b w:val="0"/>
                <w:i w:val="0"/>
                <w:color w:val="000000"/>
                <w:sz w:val="18"/>
              </w:rPr>
              <w:t>Michael and Roesner (2026)</w:t>
            </w:r>
          </w:p>
        </w:tc>
        <w:tc>
          <w:tcPr>
            <w:tcW w:type="dxa" w:w="4513"/>
          </w:tcPr>
          <w:p>
            <w:pPr>
              <w:spacing w:after="40" w:before="40"/>
            </w:pPr>
            <w:r/>
            <w:r>
              <w:rPr>
                <w:rFonts w:ascii="Times New Roman" w:hAnsi="Times New Roman" w:eastAsia="Times New Roman"/>
                <w:b w:val="0"/>
                <w:i w:val="0"/>
                <w:color w:val="000000"/>
                <w:sz w:val="18"/>
              </w:rPr>
              <w:t>Surveys how permission policies are specified and enforced. Cited as a boundary, not extracted as one interface.</w:t>
            </w:r>
          </w:p>
        </w:tc>
      </w:tr>
      <w:tr>
        <w:tc>
          <w:tcPr>
            <w:tcW w:type="dxa" w:w="4513"/>
          </w:tcPr>
          <w:p>
            <w:pPr>
              <w:spacing w:after="40" w:before="40"/>
            </w:pPr>
            <w:r/>
            <w:r>
              <w:rPr>
                <w:rFonts w:ascii="Times New Roman" w:hAnsi="Times New Roman" w:eastAsia="Times New Roman"/>
                <w:b w:val="0"/>
                <w:i w:val="0"/>
                <w:color w:val="000000"/>
                <w:sz w:val="18"/>
              </w:rPr>
              <w:t>Lee et al. (2025)</w:t>
            </w:r>
          </w:p>
        </w:tc>
        <w:tc>
          <w:tcPr>
            <w:tcW w:type="dxa" w:w="4513"/>
          </w:tcPr>
          <w:p>
            <w:pPr>
              <w:spacing w:after="40" w:before="40"/>
            </w:pPr>
            <w:r/>
            <w:r>
              <w:rPr>
                <w:rFonts w:ascii="Times New Roman" w:hAnsi="Times New Roman" w:eastAsia="Times New Roman"/>
                <w:b w:val="0"/>
                <w:i w:val="0"/>
                <w:color w:val="000000"/>
                <w:sz w:val="18"/>
              </w:rPr>
              <w:t>The person confirms constraints on a plan. The system does not execute an action outside the conversation.</w:t>
            </w:r>
          </w:p>
        </w:tc>
      </w:tr>
      <w:tr>
        <w:tc>
          <w:tcPr>
            <w:tcW w:type="dxa" w:w="4513"/>
          </w:tcPr>
          <w:p>
            <w:pPr>
              <w:spacing w:after="40" w:before="40"/>
            </w:pPr>
            <w:r/>
            <w:r>
              <w:rPr>
                <w:rFonts w:ascii="Times New Roman" w:hAnsi="Times New Roman" w:eastAsia="Times New Roman"/>
                <w:b w:val="0"/>
                <w:i w:val="0"/>
                <w:color w:val="000000"/>
                <w:sz w:val="18"/>
              </w:rPr>
              <w:t>Xie et al. (2024)</w:t>
            </w:r>
          </w:p>
        </w:tc>
        <w:tc>
          <w:tcPr>
            <w:tcW w:type="dxa" w:w="4513"/>
          </w:tcPr>
          <w:p>
            <w:pPr>
              <w:spacing w:after="40" w:before="40"/>
            </w:pPr>
            <w:r/>
            <w:r>
              <w:rPr>
                <w:rFonts w:ascii="Times New Roman" w:hAnsi="Times New Roman" w:eastAsia="Times New Roman"/>
                <w:b w:val="0"/>
                <w:i w:val="0"/>
                <w:color w:val="000000"/>
                <w:sz w:val="18"/>
              </w:rPr>
              <w:t>Visualizes analysis code as it is generated. It does not hold an external action until the person approves it.</w:t>
            </w:r>
          </w:p>
        </w:tc>
      </w:tr>
      <w:tr>
        <w:tc>
          <w:tcPr>
            <w:tcW w:type="dxa" w:w="4513"/>
          </w:tcPr>
          <w:p>
            <w:pPr>
              <w:spacing w:after="40" w:before="40"/>
            </w:pPr>
            <w:r/>
            <w:r>
              <w:rPr>
                <w:rFonts w:ascii="Times New Roman" w:hAnsi="Times New Roman" w:eastAsia="Times New Roman"/>
                <w:b w:val="0"/>
                <w:i w:val="0"/>
                <w:color w:val="000000"/>
                <w:sz w:val="18"/>
              </w:rPr>
              <w:t>Kasibatla et al. (2026)</w:t>
            </w:r>
          </w:p>
        </w:tc>
        <w:tc>
          <w:tcPr>
            <w:tcW w:type="dxa" w:w="4513"/>
          </w:tcPr>
          <w:p>
            <w:pPr>
              <w:spacing w:after="40" w:before="40"/>
            </w:pPr>
            <w:r/>
            <w:r>
              <w:rPr>
                <w:rFonts w:ascii="Times New Roman" w:hAnsi="Times New Roman" w:eastAsia="Times New Roman"/>
                <w:b w:val="0"/>
                <w:i w:val="0"/>
                <w:color w:val="000000"/>
                <w:sz w:val="18"/>
              </w:rPr>
              <w:t>The person approves design decisions. The code change that follows is not the object on the approval screen.</w:t>
            </w:r>
          </w:p>
        </w:tc>
      </w:tr>
      <w:tr>
        <w:tc>
          <w:tcPr>
            <w:tcW w:type="dxa" w:w="4513"/>
          </w:tcPr>
          <w:p>
            <w:pPr>
              <w:spacing w:after="40" w:before="40"/>
            </w:pPr>
            <w:r/>
            <w:r>
              <w:rPr>
                <w:rFonts w:ascii="Times New Roman" w:hAnsi="Times New Roman" w:eastAsia="Times New Roman"/>
                <w:b w:val="0"/>
                <w:i w:val="0"/>
                <w:color w:val="000000"/>
                <w:sz w:val="18"/>
              </w:rPr>
              <w:t>Zhou et al. (2025)</w:t>
            </w:r>
          </w:p>
        </w:tc>
        <w:tc>
          <w:tcPr>
            <w:tcW w:type="dxa" w:w="4513"/>
          </w:tcPr>
          <w:p>
            <w:pPr>
              <w:spacing w:after="40" w:before="40"/>
            </w:pPr>
            <w:r/>
            <w:r>
              <w:rPr>
                <w:rFonts w:ascii="Times New Roman" w:hAnsi="Times New Roman" w:eastAsia="Times New Roman"/>
                <w:b w:val="0"/>
                <w:i w:val="0"/>
                <w:color w:val="000000"/>
                <w:sz w:val="18"/>
              </w:rPr>
              <w:t>Models when a confirmation should be requested. It does not describe what the confirmation screen shows.</w:t>
            </w:r>
          </w:p>
        </w:tc>
      </w:tr>
      <w:tr>
        <w:tc>
          <w:tcPr>
            <w:tcW w:type="dxa" w:w="4513"/>
          </w:tcPr>
          <w:p>
            <w:pPr>
              <w:spacing w:after="40" w:before="40"/>
            </w:pPr>
            <w:r/>
            <w:r>
              <w:rPr>
                <w:rFonts w:ascii="Times New Roman" w:hAnsi="Times New Roman" w:eastAsia="Times New Roman"/>
                <w:b w:val="0"/>
                <w:i w:val="0"/>
                <w:color w:val="000000"/>
                <w:sz w:val="18"/>
              </w:rPr>
              <w:t>Epperson et al. (2025)</w:t>
            </w:r>
          </w:p>
        </w:tc>
        <w:tc>
          <w:tcPr>
            <w:tcW w:type="dxa" w:w="4513"/>
          </w:tcPr>
          <w:p>
            <w:pPr>
              <w:spacing w:after="40" w:before="40"/>
            </w:pPr>
            <w:r/>
            <w:r>
              <w:rPr>
                <w:rFonts w:ascii="Times New Roman" w:hAnsi="Times New Roman" w:eastAsia="Times New Roman"/>
                <w:b w:val="0"/>
                <w:i w:val="0"/>
                <w:color w:val="000000"/>
                <w:sz w:val="18"/>
              </w:rPr>
              <w:t>Lets a developer reset and edit agent messages. A sent email cannot be undone by that reset, and the tool does not preview the external action before it runs.</w:t>
            </w:r>
          </w:p>
        </w:tc>
      </w:tr>
      <w:tr>
        <w:tc>
          <w:tcPr>
            <w:tcW w:type="dxa" w:w="4513"/>
          </w:tcPr>
          <w:p>
            <w:pPr>
              <w:spacing w:after="40" w:before="40"/>
            </w:pPr>
            <w:r/>
            <w:r>
              <w:rPr>
                <w:rFonts w:ascii="Times New Roman" w:hAnsi="Times New Roman" w:eastAsia="Times New Roman"/>
                <w:b w:val="0"/>
                <w:i w:val="0"/>
                <w:color w:val="000000"/>
                <w:sz w:val="18"/>
              </w:rPr>
              <w:t>Shlomov et al. (2026)</w:t>
            </w:r>
          </w:p>
        </w:tc>
        <w:tc>
          <w:tcPr>
            <w:tcW w:type="dxa" w:w="4513"/>
          </w:tcPr>
          <w:p>
            <w:pPr>
              <w:spacing w:after="40" w:before="40"/>
            </w:pPr>
            <w:r/>
            <w:r>
              <w:rPr>
                <w:rFonts w:ascii="Times New Roman" w:hAnsi="Times New Roman" w:eastAsia="Times New Roman"/>
                <w:b w:val="0"/>
                <w:i w:val="0"/>
                <w:color w:val="000000"/>
                <w:sz w:val="18"/>
              </w:rPr>
              <w:t>Pauses for human confirmation before a sensitive tool runs. The demo does not describe the contents of that approval screen.</w:t>
            </w:r>
          </w:p>
        </w:tc>
      </w:tr>
      <w:tr>
        <w:tc>
          <w:tcPr>
            <w:tcW w:type="dxa" w:w="4513"/>
          </w:tcPr>
          <w:p>
            <w:pPr>
              <w:spacing w:after="40" w:before="40"/>
            </w:pPr>
            <w:r/>
            <w:r>
              <w:rPr>
                <w:rFonts w:ascii="Times New Roman" w:hAnsi="Times New Roman" w:eastAsia="Times New Roman"/>
                <w:b w:val="0"/>
                <w:i w:val="0"/>
                <w:color w:val="000000"/>
                <w:sz w:val="18"/>
              </w:rPr>
              <w:t>P. Wang, Li, and Tian (2026)</w:t>
            </w:r>
          </w:p>
        </w:tc>
        <w:tc>
          <w:tcPr>
            <w:tcW w:type="dxa" w:w="4513"/>
          </w:tcPr>
          <w:p>
            <w:pPr>
              <w:spacing w:after="40" w:before="40"/>
            </w:pPr>
            <w:r/>
            <w:r>
              <w:rPr>
                <w:rFonts w:ascii="Times New Roman" w:hAnsi="Times New Roman" w:eastAsia="Times New Roman"/>
                <w:b w:val="0"/>
                <w:i w:val="0"/>
                <w:color w:val="000000"/>
                <w:sz w:val="18"/>
              </w:rPr>
              <w:t>Systematically analyses runtime approval, including how much information is shown at decision time. Cited as a boundary. It does not extract what the person can edit, or whether approval is bound to the executed action.</w:t>
            </w:r>
          </w:p>
        </w:tc>
      </w:tr>
      <w:tr>
        <w:tc>
          <w:tcPr>
            <w:tcW w:type="dxa" w:w="4513"/>
          </w:tcPr>
          <w:p>
            <w:pPr>
              <w:spacing w:after="40" w:before="40"/>
            </w:pPr>
            <w:r/>
            <w:r>
              <w:rPr>
                <w:rFonts w:ascii="Times New Roman" w:hAnsi="Times New Roman" w:eastAsia="Times New Roman"/>
                <w:b w:val="0"/>
                <w:i w:val="0"/>
                <w:color w:val="000000"/>
                <w:sz w:val="18"/>
              </w:rPr>
              <w:t>Cheng et al. (2026)</w:t>
            </w:r>
          </w:p>
        </w:tc>
        <w:tc>
          <w:tcPr>
            <w:tcW w:type="dxa" w:w="4513"/>
          </w:tcPr>
          <w:p>
            <w:pPr>
              <w:spacing w:after="40" w:before="40"/>
            </w:pPr>
            <w:r/>
            <w:r>
              <w:rPr>
                <w:rFonts w:ascii="Times New Roman" w:hAnsi="Times New Roman" w:eastAsia="Times New Roman"/>
                <w:b w:val="0"/>
                <w:i w:val="0"/>
                <w:color w:val="000000"/>
                <w:sz w:val="18"/>
              </w:rPr>
              <w:t>Maps the user-experience design space of computer-use agents, including user control. It does not extract the pending-action preview.</w:t>
            </w:r>
          </w:p>
        </w:tc>
      </w:tr>
      <w:tr>
        <w:tc>
          <w:tcPr>
            <w:tcW w:type="dxa" w:w="4513"/>
          </w:tcPr>
          <w:p>
            <w:pPr>
              <w:spacing w:after="40" w:before="40"/>
            </w:pPr>
            <w:r/>
            <w:r>
              <w:rPr>
                <w:rFonts w:ascii="Times New Roman" w:hAnsi="Times New Roman" w:eastAsia="Times New Roman"/>
                <w:b w:val="0"/>
                <w:i w:val="0"/>
                <w:color w:val="000000"/>
                <w:sz w:val="18"/>
              </w:rPr>
              <w:t>Chen et al. (2026)</w:t>
            </w:r>
          </w:p>
        </w:tc>
        <w:tc>
          <w:tcPr>
            <w:tcW w:type="dxa" w:w="4513"/>
          </w:tcPr>
          <w:p>
            <w:pPr>
              <w:spacing w:after="40" w:before="40"/>
            </w:pPr>
            <w:r/>
            <w:r>
              <w:rPr>
                <w:rFonts w:ascii="Times New Roman" w:hAnsi="Times New Roman" w:eastAsia="Times New Roman"/>
                <w:b w:val="0"/>
                <w:i w:val="0"/>
                <w:color w:val="000000"/>
                <w:sz w:val="18"/>
              </w:rPr>
              <w:t>Compares when oversight returns during a computer-use trajectory. The abstract does not describe a pending-action preview.</w:t>
            </w:r>
          </w:p>
        </w:tc>
      </w:tr>
      <w:tr>
        <w:tc>
          <w:tcPr>
            <w:tcW w:type="dxa" w:w="4513"/>
          </w:tcPr>
          <w:p>
            <w:pPr>
              <w:spacing w:after="40" w:before="40"/>
            </w:pPr>
            <w:r/>
            <w:r>
              <w:rPr>
                <w:rFonts w:ascii="Times New Roman" w:hAnsi="Times New Roman" w:eastAsia="Times New Roman"/>
                <w:b w:val="0"/>
                <w:i w:val="0"/>
                <w:color w:val="000000"/>
                <w:sz w:val="18"/>
              </w:rPr>
              <w:t>Grunde-McLaughlin et al. (2026)</w:t>
            </w:r>
          </w:p>
        </w:tc>
        <w:tc>
          <w:tcPr>
            <w:tcW w:type="dxa" w:w="4513"/>
          </w:tcPr>
          <w:p>
            <w:pPr>
              <w:spacing w:after="40" w:before="40"/>
            </w:pPr>
            <w:r/>
            <w:r>
              <w:rPr>
                <w:rFonts w:ascii="Times New Roman" w:hAnsi="Times New Roman" w:eastAsia="Times New Roman"/>
                <w:b w:val="0"/>
                <w:i w:val="0"/>
                <w:color w:val="000000"/>
                <w:sz w:val="18"/>
              </w:rPr>
              <w:t>Studies action traces used to find errors. The trace is not a gate that holds an external action until the person approves it.</w:t>
            </w:r>
          </w:p>
        </w:tc>
      </w:tr>
      <w:tr>
        <w:tc>
          <w:tcPr>
            <w:tcW w:type="dxa" w:w="4513"/>
          </w:tcPr>
          <w:p>
            <w:pPr>
              <w:spacing w:after="40" w:before="40"/>
            </w:pPr>
            <w:r/>
            <w:r>
              <w:rPr>
                <w:rFonts w:ascii="Times New Roman" w:hAnsi="Times New Roman" w:eastAsia="Times New Roman"/>
                <w:b w:val="0"/>
                <w:i w:val="0"/>
                <w:color w:val="000000"/>
                <w:sz w:val="18"/>
              </w:rPr>
              <w:t>Alpay and Alpay (2026)</w:t>
            </w:r>
          </w:p>
        </w:tc>
        <w:tc>
          <w:tcPr>
            <w:tcW w:type="dxa" w:w="4513"/>
          </w:tcPr>
          <w:p>
            <w:pPr>
              <w:spacing w:after="40" w:before="40"/>
            </w:pPr>
            <w:r/>
            <w:r>
              <w:rPr>
                <w:rFonts w:ascii="Times New Roman" w:hAnsi="Times New Roman" w:eastAsia="Times New Roman"/>
                <w:b w:val="0"/>
                <w:i w:val="0"/>
                <w:color w:val="000000"/>
                <w:sz w:val="18"/>
              </w:rPr>
              <w:t>Binds an approved language-model answer to a publication check. The object is not an agent action leaving the conversation.</w:t>
            </w:r>
          </w:p>
        </w:tc>
      </w:tr>
      <w:tr>
        <w:tc>
          <w:tcPr>
            <w:tcW w:type="dxa" w:w="4513"/>
          </w:tcPr>
          <w:p>
            <w:pPr>
              <w:spacing w:after="40" w:before="40"/>
            </w:pPr>
            <w:r/>
            <w:r>
              <w:rPr>
                <w:rFonts w:ascii="Times New Roman" w:hAnsi="Times New Roman" w:eastAsia="Times New Roman"/>
                <w:b w:val="0"/>
                <w:i w:val="0"/>
                <w:color w:val="000000"/>
                <w:sz w:val="18"/>
              </w:rPr>
              <w:t>H. Zhang et al. (2026)</w:t>
            </w:r>
          </w:p>
        </w:tc>
        <w:tc>
          <w:tcPr>
            <w:tcW w:type="dxa" w:w="4513"/>
          </w:tcPr>
          <w:p>
            <w:pPr>
              <w:spacing w:after="40" w:before="40"/>
            </w:pPr>
            <w:r/>
            <w:r>
              <w:rPr>
                <w:rFonts w:ascii="Times New Roman" w:hAnsi="Times New Roman" w:eastAsia="Times New Roman"/>
                <w:b w:val="0"/>
                <w:i w:val="0"/>
                <w:color w:val="000000"/>
                <w:sz w:val="18"/>
              </w:rPr>
              <w:t>Checks persistent outcomes against an application approval. It does not describe a preview a person sees.</w:t>
            </w:r>
          </w:p>
        </w:tc>
      </w:tr>
      <w:tr>
        <w:tc>
          <w:tcPr>
            <w:tcW w:type="dxa" w:w="4513"/>
          </w:tcPr>
          <w:p>
            <w:pPr>
              <w:spacing w:after="40" w:before="40"/>
            </w:pPr>
            <w:r/>
            <w:r>
              <w:rPr>
                <w:rFonts w:ascii="Times New Roman" w:hAnsi="Times New Roman" w:eastAsia="Times New Roman"/>
                <w:b w:val="0"/>
                <w:i w:val="0"/>
                <w:color w:val="000000"/>
                <w:sz w:val="18"/>
              </w:rPr>
              <w:t>Y. Wang (2026)</w:t>
            </w:r>
          </w:p>
        </w:tc>
        <w:tc>
          <w:tcPr>
            <w:tcW w:type="dxa" w:w="4513"/>
          </w:tcPr>
          <w:p>
            <w:pPr>
              <w:spacing w:after="40" w:before="40"/>
            </w:pPr>
            <w:r/>
            <w:r>
              <w:rPr>
                <w:rFonts w:ascii="Times New Roman" w:hAnsi="Times New Roman" w:eastAsia="Times New Roman"/>
                <w:b w:val="0"/>
                <w:i w:val="0"/>
                <w:color w:val="000000"/>
                <w:sz w:val="18"/>
              </w:rPr>
              <w:t>Systematises six ways a coding-agent harness can execute a different action from the one that was approved. Cited with the integrity finding. It is not one preview.</w:t>
            </w:r>
          </w:p>
        </w:tc>
      </w:tr>
      <w:tr>
        <w:tc>
          <w:tcPr>
            <w:tcW w:type="dxa" w:w="4513"/>
          </w:tcPr>
          <w:p>
            <w:pPr>
              <w:spacing w:after="40" w:before="40"/>
            </w:pPr>
            <w:r/>
            <w:r>
              <w:rPr>
                <w:rFonts w:ascii="Times New Roman" w:hAnsi="Times New Roman" w:eastAsia="Times New Roman"/>
                <w:b w:val="0"/>
                <w:i w:val="0"/>
                <w:color w:val="000000"/>
                <w:sz w:val="18"/>
              </w:rPr>
              <w:t>Kumar (2026)</w:t>
            </w:r>
          </w:p>
        </w:tc>
        <w:tc>
          <w:tcPr>
            <w:tcW w:type="dxa" w:w="4513"/>
          </w:tcPr>
          <w:p>
            <w:pPr>
              <w:spacing w:after="40" w:before="40"/>
            </w:pPr>
            <w:r/>
            <w:r>
              <w:rPr>
                <w:rFonts w:ascii="Times New Roman" w:hAnsi="Times New Roman" w:eastAsia="Times New Roman"/>
                <w:b w:val="0"/>
                <w:i w:val="0"/>
                <w:color w:val="000000"/>
                <w:sz w:val="18"/>
              </w:rPr>
              <w:t>Names two attacks in which the approved operation and the executed operation differ. Cited with the integrity finding. It does not specify an editable preview.</w:t>
            </w:r>
          </w:p>
        </w:tc>
      </w:tr>
      <w:tr>
        <w:tc>
          <w:tcPr>
            <w:tcW w:type="dxa" w:w="4513"/>
          </w:tcPr>
          <w:p>
            <w:pPr>
              <w:spacing w:after="40" w:before="40"/>
            </w:pPr>
            <w:r/>
            <w:r>
              <w:rPr>
                <w:rFonts w:ascii="Times New Roman" w:hAnsi="Times New Roman" w:eastAsia="Times New Roman"/>
                <w:b w:val="0"/>
                <w:i w:val="0"/>
                <w:color w:val="000000"/>
                <w:sz w:val="18"/>
              </w:rPr>
              <w:t>J. Zhang et al. (2026)</w:t>
            </w:r>
          </w:p>
        </w:tc>
        <w:tc>
          <w:tcPr>
            <w:tcW w:type="dxa" w:w="4513"/>
          </w:tcPr>
          <w:p>
            <w:pPr>
              <w:spacing w:after="40" w:before="40"/>
            </w:pPr>
            <w:r/>
            <w:r>
              <w:rPr>
                <w:rFonts w:ascii="Times New Roman" w:hAnsi="Times New Roman" w:eastAsia="Times New Roman"/>
                <w:b w:val="0"/>
                <w:i w:val="0"/>
                <w:color w:val="000000"/>
                <w:sz w:val="18"/>
              </w:rPr>
              <w:t>Shows that an approval record can name a command while the workflow it launches has further effects. Cited with the integrity finding. The integration does not describe what the person can edit.</w:t>
            </w:r>
          </w:p>
        </w:tc>
      </w:tr>
      <w:tr>
        <w:tc>
          <w:tcPr>
            <w:tcW w:type="dxa" w:w="4513"/>
          </w:tcPr>
          <w:p>
            <w:pPr>
              <w:spacing w:after="40" w:before="40"/>
            </w:pPr>
            <w:r/>
            <w:r>
              <w:rPr>
                <w:rFonts w:ascii="Times New Roman" w:hAnsi="Times New Roman" w:eastAsia="Times New Roman"/>
                <w:b w:val="0"/>
                <w:i w:val="0"/>
                <w:color w:val="000000"/>
                <w:sz w:val="18"/>
              </w:rPr>
              <w:t>Z. Wang (2026a)</w:t>
            </w:r>
          </w:p>
        </w:tc>
        <w:tc>
          <w:tcPr>
            <w:tcW w:type="dxa" w:w="4513"/>
          </w:tcPr>
          <w:p>
            <w:pPr>
              <w:spacing w:after="40" w:before="40"/>
            </w:pPr>
            <w:r/>
            <w:r>
              <w:rPr>
                <w:rFonts w:ascii="Times New Roman" w:hAnsi="Times New Roman" w:eastAsia="Times New Roman"/>
                <w:b w:val="0"/>
                <w:i w:val="0"/>
                <w:color w:val="000000"/>
                <w:sz w:val="18"/>
              </w:rPr>
              <w:t>Defines a canonical action identity for approval binding. It does not describe a preview a person sees.</w:t>
            </w:r>
          </w:p>
        </w:tc>
      </w:tr>
      <w:tr>
        <w:tc>
          <w:tcPr>
            <w:tcW w:type="dxa" w:w="4513"/>
          </w:tcPr>
          <w:p>
            <w:pPr>
              <w:spacing w:after="40" w:before="40"/>
            </w:pPr>
            <w:r/>
            <w:r>
              <w:rPr>
                <w:rFonts w:ascii="Times New Roman" w:hAnsi="Times New Roman" w:eastAsia="Times New Roman"/>
                <w:b w:val="0"/>
                <w:i w:val="0"/>
                <w:color w:val="000000"/>
                <w:sz w:val="18"/>
              </w:rPr>
              <w:t>Z. Wang (2026b)</w:t>
            </w:r>
          </w:p>
        </w:tc>
        <w:tc>
          <w:tcPr>
            <w:tcW w:type="dxa" w:w="4513"/>
          </w:tcPr>
          <w:p>
            <w:pPr>
              <w:spacing w:after="40" w:before="40"/>
            </w:pPr>
            <w:r/>
            <w:r>
              <w:rPr>
                <w:rFonts w:ascii="Times New Roman" w:hAnsi="Times New Roman" w:eastAsia="Times New Roman"/>
                <w:b w:val="0"/>
                <w:i w:val="0"/>
                <w:color w:val="000000"/>
                <w:sz w:val="18"/>
              </w:rPr>
              <w:t>Describes approval as a certificate checkpoint. It does not describe the approval screen.</w:t>
            </w:r>
          </w:p>
        </w:tc>
      </w:tr>
      <w:tr>
        <w:tc>
          <w:tcPr>
            <w:tcW w:type="dxa" w:w="4513"/>
          </w:tcPr>
          <w:p>
            <w:pPr>
              <w:spacing w:after="40" w:before="40"/>
            </w:pPr>
            <w:r/>
            <w:r>
              <w:rPr>
                <w:rFonts w:ascii="Times New Roman" w:hAnsi="Times New Roman" w:eastAsia="Times New Roman"/>
                <w:b w:val="0"/>
                <w:i w:val="0"/>
                <w:color w:val="000000"/>
                <w:sz w:val="18"/>
              </w:rPr>
              <w:t>Zhu et al. (2026)</w:t>
            </w:r>
          </w:p>
        </w:tc>
        <w:tc>
          <w:tcPr>
            <w:tcW w:type="dxa" w:w="4513"/>
          </w:tcPr>
          <w:p>
            <w:pPr>
              <w:spacing w:after="40" w:before="40"/>
            </w:pPr>
            <w:r/>
            <w:r>
              <w:rPr>
                <w:rFonts w:ascii="Times New Roman" w:hAnsi="Times New Roman" w:eastAsia="Times New Roman"/>
                <w:b w:val="0"/>
                <w:i w:val="0"/>
                <w:color w:val="000000"/>
                <w:sz w:val="18"/>
              </w:rPr>
              <w:t>Shows that the action presented for approval can be reconstructed before execution. Cited with the integrity finding. It is not one preview.</w:t>
            </w:r>
          </w:p>
        </w:tc>
      </w:tr>
      <w:tr>
        <w:tc>
          <w:tcPr>
            <w:tcW w:type="dxa" w:w="4513"/>
          </w:tcPr>
          <w:p>
            <w:pPr>
              <w:spacing w:after="40" w:before="40"/>
            </w:pPr>
            <w:r/>
            <w:r>
              <w:rPr>
                <w:rFonts w:ascii="Times New Roman" w:hAnsi="Times New Roman" w:eastAsia="Times New Roman"/>
                <w:b w:val="0"/>
                <w:i w:val="0"/>
                <w:color w:val="000000"/>
                <w:sz w:val="18"/>
              </w:rPr>
              <w:t>Saleme (2026)</w:t>
            </w:r>
          </w:p>
        </w:tc>
        <w:tc>
          <w:tcPr>
            <w:tcW w:type="dxa" w:w="4513"/>
          </w:tcPr>
          <w:p>
            <w:pPr>
              <w:spacing w:after="40" w:before="40"/>
            </w:pPr>
            <w:r/>
            <w:r>
              <w:rPr>
                <w:rFonts w:ascii="Times New Roman" w:hAnsi="Times New Roman" w:eastAsia="Times New Roman"/>
                <w:b w:val="0"/>
                <w:i w:val="0"/>
                <w:color w:val="000000"/>
                <w:sz w:val="18"/>
              </w:rPr>
              <w:t>Compares whether three protocol records bind approval to execution. It does not describe a preview.</w:t>
            </w:r>
          </w:p>
        </w:tc>
      </w:tr>
      <w:tr>
        <w:tc>
          <w:tcPr>
            <w:tcW w:type="dxa" w:w="4513"/>
          </w:tcPr>
          <w:p>
            <w:pPr>
              <w:spacing w:after="40" w:before="40"/>
            </w:pPr>
            <w:r/>
            <w:r>
              <w:rPr>
                <w:rFonts w:ascii="Times New Roman" w:hAnsi="Times New Roman" w:eastAsia="Times New Roman"/>
                <w:b w:val="0"/>
                <w:i w:val="0"/>
                <w:color w:val="000000"/>
                <w:sz w:val="18"/>
              </w:rPr>
              <w:t>Kollia (2026)</w:t>
            </w:r>
          </w:p>
        </w:tc>
        <w:tc>
          <w:tcPr>
            <w:tcW w:type="dxa" w:w="4513"/>
          </w:tcPr>
          <w:p>
            <w:pPr>
              <w:spacing w:after="40" w:before="40"/>
            </w:pPr>
            <w:r/>
            <w:r>
              <w:rPr>
                <w:rFonts w:ascii="Times New Roman" w:hAnsi="Times New Roman" w:eastAsia="Times New Roman"/>
                <w:b w:val="0"/>
                <w:i w:val="0"/>
                <w:color w:val="000000"/>
                <w:sz w:val="18"/>
              </w:rPr>
              <w:t>Revalidates whether a recorded approval is still the current authority. It does not describe the approval screen.</w:t>
            </w:r>
          </w:p>
        </w:tc>
      </w:tr>
      <w:tr>
        <w:tc>
          <w:tcPr>
            <w:tcW w:type="dxa" w:w="4513"/>
          </w:tcPr>
          <w:p>
            <w:pPr>
              <w:spacing w:after="40" w:before="40"/>
            </w:pPr>
            <w:r/>
            <w:r>
              <w:rPr>
                <w:rFonts w:ascii="Times New Roman" w:hAnsi="Times New Roman" w:eastAsia="Times New Roman"/>
                <w:b w:val="0"/>
                <w:i w:val="0"/>
                <w:color w:val="000000"/>
                <w:sz w:val="18"/>
              </w:rPr>
              <w:t>Yuan et al. (2026)</w:t>
            </w:r>
          </w:p>
        </w:tc>
        <w:tc>
          <w:tcPr>
            <w:tcW w:type="dxa" w:w="4513"/>
          </w:tcPr>
          <w:p>
            <w:pPr>
              <w:spacing w:after="40" w:before="40"/>
            </w:pPr>
            <w:r/>
            <w:r>
              <w:rPr>
                <w:rFonts w:ascii="Times New Roman" w:hAnsi="Times New Roman" w:eastAsia="Times New Roman"/>
                <w:b w:val="0"/>
                <w:i w:val="0"/>
                <w:color w:val="000000"/>
                <w:sz w:val="18"/>
              </w:rPr>
              <w:t>Can hold a high-risk tool call for human approval. It does not describe what that approval shows.</w:t>
            </w:r>
          </w:p>
        </w:tc>
      </w:tr>
      <w:tr>
        <w:tc>
          <w:tcPr>
            <w:tcW w:type="dxa" w:w="4513"/>
          </w:tcPr>
          <w:p>
            <w:pPr>
              <w:spacing w:after="40" w:before="40"/>
            </w:pPr>
            <w:r/>
            <w:r>
              <w:rPr>
                <w:rFonts w:ascii="Times New Roman" w:hAnsi="Times New Roman" w:eastAsia="Times New Roman"/>
                <w:b w:val="0"/>
                <w:i w:val="0"/>
                <w:color w:val="000000"/>
                <w:sz w:val="18"/>
              </w:rPr>
              <w:t>Qin et al. (2026)</w:t>
            </w:r>
          </w:p>
        </w:tc>
        <w:tc>
          <w:tcPr>
            <w:tcW w:type="dxa" w:w="4513"/>
          </w:tcPr>
          <w:p>
            <w:pPr>
              <w:spacing w:after="40" w:before="40"/>
            </w:pPr>
            <w:r/>
            <w:r>
              <w:rPr>
                <w:rFonts w:ascii="Times New Roman" w:hAnsi="Times New Roman" w:eastAsia="Times New Roman"/>
                <w:b w:val="0"/>
                <w:i w:val="0"/>
                <w:color w:val="000000"/>
                <w:sz w:val="18"/>
              </w:rPr>
              <w:t>Enforces action-time authorization in the runtime.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Turan (2026)</w:t>
            </w:r>
          </w:p>
        </w:tc>
        <w:tc>
          <w:tcPr>
            <w:tcW w:type="dxa" w:w="4513"/>
          </w:tcPr>
          <w:p>
            <w:pPr>
              <w:spacing w:after="40" w:before="40"/>
            </w:pPr>
            <w:r/>
            <w:r>
              <w:rPr>
                <w:rFonts w:ascii="Times New Roman" w:hAnsi="Times New Roman" w:eastAsia="Times New Roman"/>
                <w:b w:val="0"/>
                <w:i w:val="0"/>
                <w:color w:val="000000"/>
                <w:sz w:val="18"/>
              </w:rPr>
              <w:t>Models which actions to escalate to a fatiguing reviewer. It does not describe the approval screen.</w:t>
            </w:r>
          </w:p>
        </w:tc>
      </w:tr>
      <w:tr>
        <w:tc>
          <w:tcPr>
            <w:tcW w:type="dxa" w:w="4513"/>
          </w:tcPr>
          <w:p>
            <w:pPr>
              <w:spacing w:after="40" w:before="40"/>
            </w:pPr>
            <w:r/>
            <w:r>
              <w:rPr>
                <w:rFonts w:ascii="Times New Roman" w:hAnsi="Times New Roman" w:eastAsia="Times New Roman"/>
                <w:b w:val="0"/>
                <w:i w:val="0"/>
                <w:color w:val="000000"/>
                <w:sz w:val="18"/>
              </w:rPr>
              <w:t>S. Kang et al. (2026b)</w:t>
            </w:r>
          </w:p>
        </w:tc>
        <w:tc>
          <w:tcPr>
            <w:tcW w:type="dxa" w:w="4513"/>
          </w:tcPr>
          <w:p>
            <w:pPr>
              <w:spacing w:after="40" w:before="40"/>
            </w:pPr>
            <w:r/>
            <w:r>
              <w:rPr>
                <w:rFonts w:ascii="Times New Roman" w:hAnsi="Times New Roman" w:eastAsia="Times New Roman"/>
                <w:b w:val="0"/>
                <w:i w:val="0"/>
                <w:color w:val="000000"/>
                <w:sz w:val="18"/>
              </w:rPr>
              <w:t>Verifies policy steps for an agent. It does not describe a pending-action preview.</w:t>
            </w:r>
          </w:p>
        </w:tc>
      </w:tr>
      <w:tr>
        <w:tc>
          <w:tcPr>
            <w:tcW w:type="dxa" w:w="4513"/>
          </w:tcPr>
          <w:p>
            <w:pPr>
              <w:spacing w:after="40" w:before="40"/>
            </w:pPr>
            <w:r/>
            <w:r>
              <w:rPr>
                <w:rFonts w:ascii="Times New Roman" w:hAnsi="Times New Roman" w:eastAsia="Times New Roman"/>
                <w:b w:val="0"/>
                <w:i w:val="0"/>
                <w:color w:val="000000"/>
                <w:sz w:val="18"/>
              </w:rPr>
              <w:t>S. Kang et al. (2026a)</w:t>
            </w:r>
          </w:p>
        </w:tc>
        <w:tc>
          <w:tcPr>
            <w:tcW w:type="dxa" w:w="4513"/>
          </w:tcPr>
          <w:p>
            <w:pPr>
              <w:spacing w:after="40" w:before="40"/>
            </w:pPr>
            <w:r/>
            <w:r>
              <w:rPr>
                <w:rFonts w:ascii="Times New Roman" w:hAnsi="Times New Roman" w:eastAsia="Times New Roman"/>
                <w:b w:val="0"/>
                <w:i w:val="0"/>
                <w:color w:val="000000"/>
                <w:sz w:val="18"/>
              </w:rPr>
              <w:t>Mentions user confirmation as a policy requirement. It does not describe the confirmation screen.</w:t>
            </w:r>
          </w:p>
        </w:tc>
      </w:tr>
      <w:tr>
        <w:tc>
          <w:tcPr>
            <w:tcW w:type="dxa" w:w="4513"/>
          </w:tcPr>
          <w:p>
            <w:pPr>
              <w:spacing w:after="40" w:before="40"/>
            </w:pPr>
            <w:r/>
            <w:r>
              <w:rPr>
                <w:rFonts w:ascii="Times New Roman" w:hAnsi="Times New Roman" w:eastAsia="Times New Roman"/>
                <w:b w:val="0"/>
                <w:i w:val="0"/>
                <w:color w:val="000000"/>
                <w:sz w:val="18"/>
              </w:rPr>
              <w:t>J. Liu et al. (2026)</w:t>
            </w:r>
          </w:p>
        </w:tc>
        <w:tc>
          <w:tcPr>
            <w:tcW w:type="dxa" w:w="4513"/>
          </w:tcPr>
          <w:p>
            <w:pPr>
              <w:spacing w:after="40" w:before="40"/>
            </w:pPr>
            <w:r/>
            <w:r>
              <w:rPr>
                <w:rFonts w:ascii="Times New Roman" w:hAnsi="Times New Roman" w:eastAsia="Times New Roman"/>
                <w:b w:val="0"/>
                <w:i w:val="0"/>
                <w:color w:val="000000"/>
                <w:sz w:val="18"/>
              </w:rPr>
              <w:t>Compares permission architectures in three coding agents. It does not extract what a pending-action preview shows.</w:t>
            </w:r>
          </w:p>
        </w:tc>
      </w:tr>
      <w:tr>
        <w:tc>
          <w:tcPr>
            <w:tcW w:type="dxa" w:w="4513"/>
          </w:tcPr>
          <w:p>
            <w:pPr>
              <w:spacing w:after="40" w:before="40"/>
            </w:pPr>
            <w:r/>
            <w:r>
              <w:rPr>
                <w:rFonts w:ascii="Times New Roman" w:hAnsi="Times New Roman" w:eastAsia="Times New Roman"/>
                <w:b w:val="0"/>
                <w:i w:val="0"/>
                <w:color w:val="000000"/>
                <w:sz w:val="18"/>
              </w:rPr>
              <w:t>Kadaboina (2026)</w:t>
            </w:r>
          </w:p>
        </w:tc>
        <w:tc>
          <w:tcPr>
            <w:tcW w:type="dxa" w:w="4513"/>
          </w:tcPr>
          <w:p>
            <w:pPr>
              <w:spacing w:after="40" w:before="40"/>
            </w:pPr>
            <w:r/>
            <w:r>
              <w:rPr>
                <w:rFonts w:ascii="Times New Roman" w:hAnsi="Times New Roman" w:eastAsia="Times New Roman"/>
                <w:b w:val="0"/>
                <w:i w:val="0"/>
                <w:color w:val="000000"/>
                <w:sz w:val="18"/>
              </w:rPr>
              <w:t>A consent protocol between agents. It is not a screen a person sees.</w:t>
            </w:r>
          </w:p>
        </w:tc>
      </w:tr>
      <w:tr>
        <w:tc>
          <w:tcPr>
            <w:tcW w:type="dxa" w:w="4513"/>
          </w:tcPr>
          <w:p>
            <w:pPr>
              <w:spacing w:after="40" w:before="40"/>
            </w:pPr>
            <w:r/>
            <w:r>
              <w:rPr>
                <w:rFonts w:ascii="Times New Roman" w:hAnsi="Times New Roman" w:eastAsia="Times New Roman"/>
                <w:b w:val="0"/>
                <w:i w:val="0"/>
                <w:color w:val="000000"/>
                <w:sz w:val="18"/>
              </w:rPr>
              <w:t>Qu et al. (2026)</w:t>
            </w:r>
          </w:p>
        </w:tc>
        <w:tc>
          <w:tcPr>
            <w:tcW w:type="dxa" w:w="4513"/>
          </w:tcPr>
          <w:p>
            <w:pPr>
              <w:spacing w:after="40" w:before="40"/>
            </w:pPr>
            <w:r/>
            <w:r>
              <w:rPr>
                <w:rFonts w:ascii="Times New Roman" w:hAnsi="Times New Roman" w:eastAsia="Times New Roman"/>
                <w:b w:val="0"/>
                <w:i w:val="0"/>
                <w:color w:val="000000"/>
                <w:sz w:val="18"/>
              </w:rPr>
              <w:t>Measures actions beyond the requested scope. It names an ask-to-continue framework and does not describe that screen.</w:t>
            </w:r>
          </w:p>
        </w:tc>
      </w:tr>
      <w:tr>
        <w:tc>
          <w:tcPr>
            <w:tcW w:type="dxa" w:w="4513"/>
          </w:tcPr>
          <w:p>
            <w:pPr>
              <w:spacing w:after="40" w:before="40"/>
            </w:pPr>
            <w:r/>
            <w:r>
              <w:rPr>
                <w:rFonts w:ascii="Times New Roman" w:hAnsi="Times New Roman" w:eastAsia="Times New Roman"/>
                <w:b w:val="0"/>
                <w:i w:val="0"/>
                <w:color w:val="000000"/>
                <w:sz w:val="18"/>
              </w:rPr>
              <w:t>X. Yang et al. (2026)</w:t>
            </w:r>
          </w:p>
        </w:tc>
        <w:tc>
          <w:tcPr>
            <w:tcW w:type="dxa" w:w="4513"/>
          </w:tcPr>
          <w:p>
            <w:pPr>
              <w:spacing w:after="40" w:before="40"/>
            </w:pPr>
            <w:r/>
            <w:r>
              <w:rPr>
                <w:rFonts w:ascii="Times New Roman" w:hAnsi="Times New Roman" w:eastAsia="Times New Roman"/>
                <w:b w:val="0"/>
                <w:i w:val="0"/>
                <w:color w:val="000000"/>
                <w:sz w:val="18"/>
              </w:rPr>
              <w:t>Routes an action to allow, replan, or confirmation. It does not describe the confirmation screen.</w:t>
            </w:r>
          </w:p>
        </w:tc>
      </w:tr>
      <w:tr>
        <w:tc>
          <w:tcPr>
            <w:tcW w:type="dxa" w:w="4513"/>
          </w:tcPr>
          <w:p>
            <w:pPr>
              <w:spacing w:after="40" w:before="40"/>
            </w:pPr>
            <w:r/>
            <w:r>
              <w:rPr>
                <w:rFonts w:ascii="Times New Roman" w:hAnsi="Times New Roman" w:eastAsia="Times New Roman"/>
                <w:b w:val="0"/>
                <w:i w:val="0"/>
                <w:color w:val="000000"/>
                <w:sz w:val="18"/>
              </w:rPr>
              <w:t>Y. Zhang et al. (2026)</w:t>
            </w:r>
          </w:p>
        </w:tc>
        <w:tc>
          <w:tcPr>
            <w:tcW w:type="dxa" w:w="4513"/>
          </w:tcPr>
          <w:p>
            <w:pPr>
              <w:spacing w:after="40" w:before="40"/>
            </w:pPr>
            <w:r/>
            <w:r>
              <w:rPr>
                <w:rFonts w:ascii="Times New Roman" w:hAnsi="Times New Roman" w:eastAsia="Times New Roman"/>
                <w:b w:val="0"/>
                <w:i w:val="0"/>
                <w:color w:val="000000"/>
                <w:sz w:val="18"/>
              </w:rPr>
              <w:t>Benchmarks automated guardrails that over-refuse. It is not a person-facing preview.</w:t>
            </w:r>
          </w:p>
        </w:tc>
      </w:tr>
      <w:tr>
        <w:tc>
          <w:tcPr>
            <w:tcW w:type="dxa" w:w="4513"/>
          </w:tcPr>
          <w:p>
            <w:pPr>
              <w:spacing w:after="40" w:before="40"/>
            </w:pPr>
            <w:r/>
            <w:r>
              <w:rPr>
                <w:rFonts w:ascii="Times New Roman" w:hAnsi="Times New Roman" w:eastAsia="Times New Roman"/>
                <w:b w:val="0"/>
                <w:i w:val="0"/>
                <w:color w:val="000000"/>
                <w:sz w:val="18"/>
              </w:rPr>
              <w:t>Salfeld-Nebgen (2026)</w:t>
            </w:r>
          </w:p>
        </w:tc>
        <w:tc>
          <w:tcPr>
            <w:tcW w:type="dxa" w:w="4513"/>
          </w:tcPr>
          <w:p>
            <w:pPr>
              <w:spacing w:after="40" w:before="40"/>
            </w:pPr>
            <w:r/>
            <w:r>
              <w:rPr>
                <w:rFonts w:ascii="Times New Roman" w:hAnsi="Times New Roman" w:eastAsia="Times New Roman"/>
                <w:b w:val="0"/>
                <w:i w:val="0"/>
                <w:color w:val="000000"/>
                <w:sz w:val="18"/>
              </w:rPr>
              <w:t>Requires attested evidence before execution. It does not describe a preview.</w:t>
            </w:r>
          </w:p>
        </w:tc>
      </w:tr>
      <w:tr>
        <w:tc>
          <w:tcPr>
            <w:tcW w:type="dxa" w:w="4513"/>
          </w:tcPr>
          <w:p>
            <w:pPr>
              <w:spacing w:after="40" w:before="40"/>
            </w:pPr>
            <w:r/>
            <w:r>
              <w:rPr>
                <w:rFonts w:ascii="Times New Roman" w:hAnsi="Times New Roman" w:eastAsia="Times New Roman"/>
                <w:b w:val="0"/>
                <w:i w:val="0"/>
                <w:color w:val="000000"/>
                <w:sz w:val="18"/>
              </w:rPr>
              <w:t>Medda and Gong (2026)</w:t>
            </w:r>
          </w:p>
        </w:tc>
        <w:tc>
          <w:tcPr>
            <w:tcW w:type="dxa" w:w="4513"/>
          </w:tcPr>
          <w:p>
            <w:pPr>
              <w:spacing w:after="40" w:before="40"/>
            </w:pPr>
            <w:r/>
            <w:r>
              <w:rPr>
                <w:rFonts w:ascii="Times New Roman" w:hAnsi="Times New Roman" w:eastAsia="Times New Roman"/>
                <w:b w:val="0"/>
                <w:i w:val="0"/>
                <w:color w:val="000000"/>
                <w:sz w:val="18"/>
              </w:rPr>
              <w:t>Architecture for care workflows with a human hand-off.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Katkar et al. (2026)</w:t>
            </w:r>
          </w:p>
        </w:tc>
        <w:tc>
          <w:tcPr>
            <w:tcW w:type="dxa" w:w="4513"/>
          </w:tcPr>
          <w:p>
            <w:pPr>
              <w:spacing w:after="40" w:before="40"/>
            </w:pPr>
            <w:r/>
            <w:r>
              <w:rPr>
                <w:rFonts w:ascii="Times New Roman" w:hAnsi="Times New Roman" w:eastAsia="Times New Roman"/>
                <w:b w:val="0"/>
                <w:i w:val="0"/>
                <w:color w:val="000000"/>
                <w:sz w:val="18"/>
              </w:rPr>
              <w:t>Cryptographic gate on tool calls.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D. Z. Liu (2026)</w:t>
            </w:r>
          </w:p>
        </w:tc>
        <w:tc>
          <w:tcPr>
            <w:tcW w:type="dxa" w:w="4513"/>
          </w:tcPr>
          <w:p>
            <w:pPr>
              <w:spacing w:after="40" w:before="40"/>
            </w:pPr>
            <w:r/>
            <w:r>
              <w:rPr>
                <w:rFonts w:ascii="Times New Roman" w:hAnsi="Times New Roman" w:eastAsia="Times New Roman"/>
                <w:b w:val="0"/>
                <w:i w:val="0"/>
                <w:color w:val="000000"/>
                <w:sz w:val="18"/>
              </w:rPr>
              <w:t>Benchmark of consent constraints for personal agents.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Sharma (2026)</w:t>
            </w:r>
          </w:p>
        </w:tc>
        <w:tc>
          <w:tcPr>
            <w:tcW w:type="dxa" w:w="4513"/>
          </w:tcPr>
          <w:p>
            <w:pPr>
              <w:spacing w:after="40" w:before="40"/>
            </w:pPr>
            <w:r/>
            <w:r>
              <w:rPr>
                <w:rFonts w:ascii="Times New Roman" w:hAnsi="Times New Roman" w:eastAsia="Times New Roman"/>
                <w:b w:val="0"/>
                <w:i w:val="0"/>
                <w:color w:val="000000"/>
                <w:sz w:val="18"/>
              </w:rPr>
              <w:t>Runtime validation of telecom decisions.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Mou et al. (2026)</w:t>
            </w:r>
          </w:p>
        </w:tc>
        <w:tc>
          <w:tcPr>
            <w:tcW w:type="dxa" w:w="4513"/>
          </w:tcPr>
          <w:p>
            <w:pPr>
              <w:spacing w:after="40" w:before="40"/>
            </w:pPr>
            <w:r/>
            <w:r>
              <w:rPr>
                <w:rFonts w:ascii="Times New Roman" w:hAnsi="Times New Roman" w:eastAsia="Times New Roman"/>
                <w:b w:val="0"/>
                <w:i w:val="0"/>
                <w:color w:val="000000"/>
                <w:sz w:val="18"/>
              </w:rPr>
              <w:t>Automated step-level guardrail before tool execution.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Y. Feng et al. (2026a)</w:t>
            </w:r>
          </w:p>
        </w:tc>
        <w:tc>
          <w:tcPr>
            <w:tcW w:type="dxa" w:w="4513"/>
          </w:tcPr>
          <w:p>
            <w:pPr>
              <w:spacing w:after="40" w:before="40"/>
            </w:pPr>
            <w:r/>
            <w:r>
              <w:rPr>
                <w:rFonts w:ascii="Times New Roman" w:hAnsi="Times New Roman" w:eastAsia="Times New Roman"/>
                <w:b w:val="0"/>
                <w:i w:val="0"/>
                <w:color w:val="000000"/>
                <w:sz w:val="18"/>
              </w:rPr>
              <w:t>Guard model under user-defined policies.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Xiang et al. (2024)</w:t>
            </w:r>
          </w:p>
        </w:tc>
        <w:tc>
          <w:tcPr>
            <w:tcW w:type="dxa" w:w="4513"/>
          </w:tcPr>
          <w:p>
            <w:pPr>
              <w:spacing w:after="40" w:before="40"/>
            </w:pPr>
            <w:r/>
            <w:r>
              <w:rPr>
                <w:rFonts w:ascii="Times New Roman" w:hAnsi="Times New Roman" w:eastAsia="Times New Roman"/>
                <w:b w:val="0"/>
                <w:i w:val="0"/>
                <w:color w:val="000000"/>
                <w:sz w:val="18"/>
              </w:rPr>
              <w:t>Guard agent that checks actions against safety requests.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Y. Feng et al. (2026b)</w:t>
            </w:r>
          </w:p>
        </w:tc>
        <w:tc>
          <w:tcPr>
            <w:tcW w:type="dxa" w:w="4513"/>
          </w:tcPr>
          <w:p>
            <w:pPr>
              <w:spacing w:after="40" w:before="40"/>
            </w:pPr>
            <w:r/>
            <w:r>
              <w:rPr>
                <w:rFonts w:ascii="Times New Roman" w:hAnsi="Times New Roman" w:eastAsia="Times New Roman"/>
                <w:b w:val="0"/>
                <w:i w:val="0"/>
                <w:color w:val="000000"/>
                <w:sz w:val="18"/>
              </w:rPr>
              <w:t>Guard model for computer-use trajectories.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Agarwal et al. (2026)</w:t>
            </w:r>
          </w:p>
        </w:tc>
        <w:tc>
          <w:tcPr>
            <w:tcW w:type="dxa" w:w="4513"/>
          </w:tcPr>
          <w:p>
            <w:pPr>
              <w:spacing w:after="40" w:before="40"/>
            </w:pPr>
            <w:r/>
            <w:r>
              <w:rPr>
                <w:rFonts w:ascii="Times New Roman" w:hAnsi="Times New Roman" w:eastAsia="Times New Roman"/>
                <w:b w:val="0"/>
                <w:i w:val="0"/>
                <w:color w:val="000000"/>
                <w:sz w:val="18"/>
              </w:rPr>
              <w:t>Trains the agent to act or refuse. The refusal is the model’s, not a person’s preview.</w:t>
            </w:r>
          </w:p>
        </w:tc>
      </w:tr>
      <w:tr>
        <w:tc>
          <w:tcPr>
            <w:tcW w:type="dxa" w:w="4513"/>
          </w:tcPr>
          <w:p>
            <w:pPr>
              <w:spacing w:after="40" w:before="40"/>
            </w:pPr>
            <w:r/>
            <w:r>
              <w:rPr>
                <w:rFonts w:ascii="Times New Roman" w:hAnsi="Times New Roman" w:eastAsia="Times New Roman"/>
                <w:b w:val="0"/>
                <w:i w:val="0"/>
                <w:color w:val="000000"/>
                <w:sz w:val="18"/>
              </w:rPr>
              <w:t>Zhijie Zheng et al. (2026)</w:t>
            </w:r>
          </w:p>
        </w:tc>
        <w:tc>
          <w:tcPr>
            <w:tcW w:type="dxa" w:w="4513"/>
          </w:tcPr>
          <w:p>
            <w:pPr>
              <w:spacing w:after="40" w:before="40"/>
            </w:pPr>
            <w:r/>
            <w:r>
              <w:rPr>
                <w:rFonts w:ascii="Times New Roman" w:hAnsi="Times New Roman" w:eastAsia="Times New Roman"/>
                <w:b w:val="0"/>
                <w:i w:val="0"/>
                <w:color w:val="000000"/>
                <w:sz w:val="18"/>
              </w:rPr>
              <w:t>Step-level guard model before tool execution.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Zihao Zheng et al. (2026)</w:t>
            </w:r>
          </w:p>
        </w:tc>
        <w:tc>
          <w:tcPr>
            <w:tcW w:type="dxa" w:w="4513"/>
          </w:tcPr>
          <w:p>
            <w:pPr>
              <w:spacing w:after="40" w:before="40"/>
            </w:pPr>
            <w:r/>
            <w:r>
              <w:rPr>
                <w:rFonts w:ascii="Times New Roman" w:hAnsi="Times New Roman" w:eastAsia="Times New Roman"/>
                <w:b w:val="0"/>
                <w:i w:val="0"/>
                <w:color w:val="000000"/>
                <w:sz w:val="18"/>
              </w:rPr>
              <w:t>Compares commit-time guards under state races. Cited with the integrity finding. It does not describe a preview a person sees.</w:t>
            </w:r>
          </w:p>
        </w:tc>
      </w:tr>
    </w:tbl>
    <w:p/>
    <w:p>
      <w:pPr>
        <w:pStyle w:val="Heading2"/>
        <w:spacing w:before="240" w:after="120"/>
      </w:pPr>
      <w:r>
        <w:t>3.3. Extraction</w:t>
      </w:r>
    </w:p>
    <w:p>
      <w:pPr>
        <w:spacing w:after="160" w:before="0" w:lineRule="auto" w:line="276"/>
      </w:pPr>
      <w:r>
        <w:rPr>
          <w:rFonts w:ascii="Times New Roman" w:hAnsi="Times New Roman" w:eastAsia="Times New Roman"/>
          <w:b w:val="0"/>
          <w:i w:val="0"/>
          <w:color w:val="000000"/>
          <w:sz w:val="24"/>
        </w:rPr>
        <w:t>Each included paper is one row. The columns are the proposed action, what is shown, what can be edited, the refuse path, reversibility, and whether approval is tied to the action that runs. The author extracted every row. A cell is “not reported” when the paper does not say. No statistic was recomputed. The design propositions in Section 5 were written from this sheet.</w:t>
      </w:r>
    </w:p>
    <w:p>
      <w:pPr>
        <w:pStyle w:val="Heading2"/>
        <w:spacing w:before="240" w:after="120"/>
      </w:pPr>
      <w:r>
        <w:t>3.4. Corpus</w:t>
      </w:r>
    </w:p>
    <w:p>
      <w:pPr>
        <w:spacing w:after="160" w:before="0" w:lineRule="auto" w:line="276"/>
      </w:pPr>
      <w:r>
        <w:rPr>
          <w:rFonts w:ascii="Times New Roman" w:hAnsi="Times New Roman" w:eastAsia="Times New Roman"/>
          <w:b w:val="0"/>
          <w:i w:val="0"/>
          <w:color w:val="000000"/>
          <w:sz w:val="24"/>
        </w:rPr>
        <w:t>Table 3 summarizes the fifteen papers. Seven are journal or conference papers. One, Q. Zhang (2026), is a paper in The Second Workshop on Agents in the Wild: Safety, Security, and Beyond. The workshop PDF was read on 2 October 2026. Seven are preprints: Mozannar et al. (2025), Long et al. (2025), Zhuang et al. (2026), Yan (2026), Weng (2026), Pochampally et al. (2026), and Irshad et al. (2026). A secondary index lists Zhuang et al. as accepted to a 2026 demonstration track; that proceedings record was not verified, so the paper is cited from its preprint.</w:t>
      </w:r>
    </w:p>
    <w:p>
      <w:pPr>
        <w:spacing w:after="160" w:before="0" w:lineRule="auto" w:line="276"/>
      </w:pPr>
      <w:r>
        <w:rPr>
          <w:rFonts w:ascii="Times New Roman" w:hAnsi="Times New Roman" w:eastAsia="Times New Roman"/>
          <w:b/>
          <w:i w:val="0"/>
          <w:color w:val="000000"/>
          <w:sz w:val="24"/>
        </w:rPr>
        <w:t>Table 3. Included studies.</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shd w:fill="F2F2F2" w:val="clear"/>
          </w:tcPr>
          <w:p>
            <w:pPr>
              <w:spacing w:after="40" w:before="40"/>
            </w:pPr>
            <w:r>
              <w:rPr>
                <w:b/>
              </w:rPr>
            </w:r>
            <w:r>
              <w:rPr>
                <w:rFonts w:ascii="Times New Roman" w:hAnsi="Times New Roman" w:eastAsia="Times New Roman"/>
                <w:b/>
                <w:i w:val="0"/>
                <w:color w:val="000000"/>
                <w:sz w:val="18"/>
              </w:rPr>
              <w:t>Study</w:t>
            </w:r>
          </w:p>
        </w:tc>
        <w:tc>
          <w:tcPr>
            <w:tcW w:type="dxa" w:w="2256"/>
            <w:shd w:fill="F2F2F2" w:val="clear"/>
          </w:tcPr>
          <w:p>
            <w:pPr>
              <w:spacing w:after="40" w:before="40"/>
            </w:pPr>
            <w:r>
              <w:rPr>
                <w:b/>
              </w:rPr>
            </w:r>
            <w:r>
              <w:rPr>
                <w:rFonts w:ascii="Times New Roman" w:hAnsi="Times New Roman" w:eastAsia="Times New Roman"/>
                <w:b/>
                <w:i w:val="0"/>
                <w:color w:val="000000"/>
                <w:sz w:val="18"/>
              </w:rPr>
              <w:t>Status</w:t>
            </w:r>
          </w:p>
        </w:tc>
        <w:tc>
          <w:tcPr>
            <w:tcW w:type="dxa" w:w="2256"/>
            <w:shd w:fill="F2F2F2" w:val="clear"/>
          </w:tcPr>
          <w:p>
            <w:pPr>
              <w:spacing w:after="40" w:before="40"/>
            </w:pPr>
            <w:r>
              <w:rPr>
                <w:b/>
              </w:rPr>
            </w:r>
            <w:r>
              <w:rPr>
                <w:rFonts w:ascii="Times New Roman" w:hAnsi="Times New Roman" w:eastAsia="Times New Roman"/>
                <w:b/>
                <w:i w:val="0"/>
                <w:color w:val="000000"/>
                <w:sz w:val="18"/>
              </w:rPr>
              <w:t>What was examined</w:t>
            </w:r>
          </w:p>
        </w:tc>
        <w:tc>
          <w:tcPr>
            <w:tcW w:type="dxa" w:w="2256"/>
            <w:shd w:fill="F2F2F2" w:val="clear"/>
          </w:tcPr>
          <w:p>
            <w:pPr>
              <w:spacing w:after="40" w:before="40"/>
            </w:pPr>
            <w:r>
              <w:rPr>
                <w:b/>
              </w:rPr>
            </w:r>
            <w:r>
              <w:rPr>
                <w:rFonts w:ascii="Times New Roman" w:hAnsi="Times New Roman" w:eastAsia="Times New Roman"/>
                <w:b/>
                <w:i w:val="0"/>
                <w:color w:val="000000"/>
                <w:sz w:val="18"/>
              </w:rPr>
              <w:t>People</w:t>
            </w:r>
          </w:p>
        </w:tc>
      </w:tr>
      <w:tr>
        <w:tc>
          <w:tcPr>
            <w:tcW w:type="dxa" w:w="2256"/>
          </w:tcPr>
          <w:p>
            <w:pPr>
              <w:spacing w:after="40" w:before="40"/>
            </w:pPr>
            <w:r/>
            <w:r>
              <w:rPr>
                <w:rFonts w:ascii="Times New Roman" w:hAnsi="Times New Roman" w:eastAsia="Times New Roman"/>
                <w:b w:val="0"/>
                <w:i w:val="0"/>
                <w:color w:val="000000"/>
                <w:sz w:val="18"/>
              </w:rPr>
              <w:t>He et al. (2025)</w:t>
            </w:r>
          </w:p>
        </w:tc>
        <w:tc>
          <w:tcPr>
            <w:tcW w:type="dxa" w:w="2256"/>
          </w:tcPr>
          <w:p>
            <w:pPr>
              <w:spacing w:after="40" w:before="40"/>
            </w:pPr>
            <w:r/>
            <w:r>
              <w:rPr>
                <w:rFonts w:ascii="Times New Roman" w:hAnsi="Times New Roman" w:eastAsia="Times New Roman"/>
                <w:b w:val="0"/>
                <w:i w:val="0"/>
                <w:color w:val="000000"/>
                <w:sz w:val="18"/>
              </w:rPr>
              <w:t>CHI 2025</w:t>
            </w:r>
          </w:p>
        </w:tc>
        <w:tc>
          <w:tcPr>
            <w:tcW w:type="dxa" w:w="2256"/>
          </w:tcPr>
          <w:p>
            <w:pPr>
              <w:spacing w:after="40" w:before="40"/>
            </w:pPr>
            <w:r/>
            <w:r>
              <w:rPr>
                <w:rFonts w:ascii="Times New Roman" w:hAnsi="Times New Roman" w:eastAsia="Times New Roman"/>
                <w:b w:val="0"/>
                <w:i w:val="0"/>
                <w:color w:val="000000"/>
                <w:sz w:val="18"/>
              </w:rPr>
              <w:t>Simulated assistant; plan, then predicted action</w:t>
            </w:r>
          </w:p>
        </w:tc>
        <w:tc>
          <w:tcPr>
            <w:tcW w:type="dxa" w:w="2256"/>
          </w:tcPr>
          <w:p>
            <w:pPr>
              <w:spacing w:after="40" w:before="40"/>
            </w:pPr>
            <w:r/>
            <w:r>
              <w:rPr>
                <w:rFonts w:ascii="Times New Roman" w:hAnsi="Times New Roman" w:eastAsia="Times New Roman"/>
                <w:b w:val="0"/>
                <w:i w:val="0"/>
                <w:color w:val="000000"/>
                <w:sz w:val="18"/>
              </w:rPr>
              <w:t>248</w:t>
            </w:r>
          </w:p>
        </w:tc>
      </w:tr>
      <w:tr>
        <w:tc>
          <w:tcPr>
            <w:tcW w:type="dxa" w:w="2256"/>
          </w:tcPr>
          <w:p>
            <w:pPr>
              <w:spacing w:after="40" w:before="40"/>
            </w:pPr>
            <w:r/>
            <w:r>
              <w:rPr>
                <w:rFonts w:ascii="Times New Roman" w:hAnsi="Times New Roman" w:eastAsia="Times New Roman"/>
                <w:b w:val="0"/>
                <w:i w:val="0"/>
                <w:color w:val="000000"/>
                <w:sz w:val="18"/>
              </w:rPr>
              <w:t>Feng et al. (2026)</w:t>
            </w:r>
          </w:p>
        </w:tc>
        <w:tc>
          <w:tcPr>
            <w:tcW w:type="dxa" w:w="2256"/>
          </w:tcPr>
          <w:p>
            <w:pPr>
              <w:spacing w:after="40" w:before="40"/>
            </w:pPr>
            <w:r/>
            <w:r>
              <w:rPr>
                <w:rFonts w:ascii="Times New Roman" w:hAnsi="Times New Roman" w:eastAsia="Times New Roman"/>
                <w:b w:val="0"/>
                <w:i w:val="0"/>
                <w:color w:val="000000"/>
                <w:sz w:val="18"/>
              </w:rPr>
              <w:t>CHI 2026</w:t>
            </w:r>
          </w:p>
        </w:tc>
        <w:tc>
          <w:tcPr>
            <w:tcW w:type="dxa" w:w="2256"/>
          </w:tcPr>
          <w:p>
            <w:pPr>
              <w:spacing w:after="40" w:before="40"/>
            </w:pPr>
            <w:r/>
            <w:r>
              <w:rPr>
                <w:rFonts w:ascii="Times New Roman" w:hAnsi="Times New Roman" w:eastAsia="Times New Roman"/>
                <w:b w:val="0"/>
                <w:i w:val="0"/>
                <w:color w:val="000000"/>
                <w:sz w:val="18"/>
              </w:rPr>
              <w:t>Editable research plan in a document</w:t>
            </w:r>
          </w:p>
        </w:tc>
        <w:tc>
          <w:tcPr>
            <w:tcW w:type="dxa" w:w="2256"/>
          </w:tcPr>
          <w:p>
            <w:pPr>
              <w:spacing w:after="40" w:before="40"/>
            </w:pPr>
            <w:r/>
            <w:r>
              <w:rPr>
                <w:rFonts w:ascii="Times New Roman" w:hAnsi="Times New Roman" w:eastAsia="Times New Roman"/>
                <w:b w:val="0"/>
                <w:i w:val="0"/>
                <w:color w:val="000000"/>
                <w:sz w:val="18"/>
              </w:rPr>
              <w:t>16 lab; 7 field</w:t>
            </w:r>
          </w:p>
        </w:tc>
      </w:tr>
      <w:tr>
        <w:tc>
          <w:tcPr>
            <w:tcW w:type="dxa" w:w="2256"/>
          </w:tcPr>
          <w:p>
            <w:pPr>
              <w:spacing w:after="40" w:before="40"/>
            </w:pPr>
            <w:r/>
            <w:r>
              <w:rPr>
                <w:rFonts w:ascii="Times New Roman" w:hAnsi="Times New Roman" w:eastAsia="Times New Roman"/>
                <w:b w:val="0"/>
                <w:i w:val="0"/>
                <w:color w:val="000000"/>
                <w:sz w:val="18"/>
              </w:rPr>
              <w:t>Huq et al. (2025)</w:t>
            </w:r>
          </w:p>
        </w:tc>
        <w:tc>
          <w:tcPr>
            <w:tcW w:type="dxa" w:w="2256"/>
          </w:tcPr>
          <w:p>
            <w:pPr>
              <w:spacing w:after="40" w:before="40"/>
            </w:pPr>
            <w:r/>
            <w:r>
              <w:rPr>
                <w:rFonts w:ascii="Times New Roman" w:hAnsi="Times New Roman" w:eastAsia="Times New Roman"/>
                <w:b w:val="0"/>
                <w:i w:val="0"/>
                <w:color w:val="000000"/>
                <w:sz w:val="18"/>
              </w:rPr>
              <w:t>NAACL 2025 demo</w:t>
            </w:r>
          </w:p>
        </w:tc>
        <w:tc>
          <w:tcPr>
            <w:tcW w:type="dxa" w:w="2256"/>
          </w:tcPr>
          <w:p>
            <w:pPr>
              <w:spacing w:after="40" w:before="40"/>
            </w:pPr>
            <w:r/>
            <w:r>
              <w:rPr>
                <w:rFonts w:ascii="Times New Roman" w:hAnsi="Times New Roman" w:eastAsia="Times New Roman"/>
                <w:b w:val="0"/>
                <w:i w:val="0"/>
                <w:color w:val="000000"/>
                <w:sz w:val="18"/>
              </w:rPr>
              <w:t>Next web action in a browser extension</w:t>
            </w:r>
          </w:p>
        </w:tc>
        <w:tc>
          <w:tcPr>
            <w:tcW w:type="dxa" w:w="2256"/>
          </w:tcPr>
          <w:p>
            <w:pPr>
              <w:spacing w:after="40" w:before="40"/>
            </w:pPr>
            <w:r/>
            <w:r>
              <w:rPr>
                <w:rFonts w:ascii="Times New Roman" w:hAnsi="Times New Roman" w:eastAsia="Times New Roman"/>
                <w:b w:val="0"/>
                <w:i w:val="0"/>
                <w:color w:val="000000"/>
                <w:sz w:val="18"/>
              </w:rPr>
              <w:t>Case studies</w:t>
            </w:r>
          </w:p>
        </w:tc>
      </w:tr>
      <w:tr>
        <w:tc>
          <w:tcPr>
            <w:tcW w:type="dxa" w:w="2256"/>
          </w:tcPr>
          <w:p>
            <w:pPr>
              <w:spacing w:after="40" w:before="40"/>
            </w:pPr>
            <w:r/>
            <w:r>
              <w:rPr>
                <w:rFonts w:ascii="Times New Roman" w:hAnsi="Times New Roman" w:eastAsia="Times New Roman"/>
                <w:b w:val="0"/>
                <w:i w:val="0"/>
                <w:color w:val="000000"/>
                <w:sz w:val="18"/>
              </w:rPr>
              <w:t>Mozannar et al. (2025)</w:t>
            </w:r>
          </w:p>
        </w:tc>
        <w:tc>
          <w:tcPr>
            <w:tcW w:type="dxa" w:w="2256"/>
          </w:tcPr>
          <w:p>
            <w:pPr>
              <w:spacing w:after="40" w:before="40"/>
            </w:pPr>
            <w:r/>
            <w:r>
              <w:rPr>
                <w:rFonts w:ascii="Times New Roman" w:hAnsi="Times New Roman" w:eastAsia="Times New Roman"/>
                <w:b w:val="0"/>
                <w:i w:val="0"/>
                <w:color w:val="000000"/>
                <w:sz w:val="18"/>
              </w:rPr>
              <w:t>Preprint</w:t>
            </w:r>
          </w:p>
        </w:tc>
        <w:tc>
          <w:tcPr>
            <w:tcW w:type="dxa" w:w="2256"/>
          </w:tcPr>
          <w:p>
            <w:pPr>
              <w:spacing w:after="40" w:before="40"/>
            </w:pPr>
            <w:r/>
            <w:r>
              <w:rPr>
                <w:rFonts w:ascii="Times New Roman" w:hAnsi="Times New Roman" w:eastAsia="Times New Roman"/>
                <w:b w:val="0"/>
                <w:i w:val="0"/>
                <w:color w:val="000000"/>
                <w:sz w:val="18"/>
              </w:rPr>
              <w:t>Plan editor and action guard</w:t>
            </w:r>
          </w:p>
        </w:tc>
        <w:tc>
          <w:tcPr>
            <w:tcW w:type="dxa" w:w="2256"/>
          </w:tcPr>
          <w:p>
            <w:pPr>
              <w:spacing w:after="40" w:before="40"/>
            </w:pPr>
            <w:r/>
            <w:r>
              <w:rPr>
                <w:rFonts w:ascii="Times New Roman" w:hAnsi="Times New Roman" w:eastAsia="Times New Roman"/>
                <w:b w:val="0"/>
                <w:i w:val="0"/>
                <w:color w:val="000000"/>
                <w:sz w:val="18"/>
              </w:rPr>
              <w:t>12</w:t>
            </w:r>
          </w:p>
        </w:tc>
      </w:tr>
      <w:tr>
        <w:tc>
          <w:tcPr>
            <w:tcW w:type="dxa" w:w="2256"/>
          </w:tcPr>
          <w:p>
            <w:pPr>
              <w:spacing w:after="40" w:before="40"/>
            </w:pPr>
            <w:r/>
            <w:r>
              <w:rPr>
                <w:rFonts w:ascii="Times New Roman" w:hAnsi="Times New Roman" w:eastAsia="Times New Roman"/>
                <w:b w:val="0"/>
                <w:i w:val="0"/>
                <w:color w:val="000000"/>
                <w:sz w:val="18"/>
              </w:rPr>
              <w:t>Long et al. (2025)</w:t>
            </w:r>
          </w:p>
        </w:tc>
        <w:tc>
          <w:tcPr>
            <w:tcW w:type="dxa" w:w="2256"/>
          </w:tcPr>
          <w:p>
            <w:pPr>
              <w:spacing w:after="40" w:before="40"/>
            </w:pPr>
            <w:r/>
            <w:r>
              <w:rPr>
                <w:rFonts w:ascii="Times New Roman" w:hAnsi="Times New Roman" w:eastAsia="Times New Roman"/>
                <w:b w:val="0"/>
                <w:i w:val="0"/>
                <w:color w:val="000000"/>
                <w:sz w:val="18"/>
              </w:rPr>
              <w:t>Preprint</w:t>
            </w:r>
          </w:p>
        </w:tc>
        <w:tc>
          <w:tcPr>
            <w:tcW w:type="dxa" w:w="2256"/>
          </w:tcPr>
          <w:p>
            <w:pPr>
              <w:spacing w:after="40" w:before="40"/>
            </w:pPr>
            <w:r/>
            <w:r>
              <w:rPr>
                <w:rFonts w:ascii="Times New Roman" w:hAnsi="Times New Roman" w:eastAsia="Times New Roman"/>
                <w:b w:val="0"/>
                <w:i w:val="0"/>
                <w:color w:val="000000"/>
                <w:sz w:val="18"/>
              </w:rPr>
              <w:t>Plan and email drafts before send</w:t>
            </w:r>
          </w:p>
        </w:tc>
        <w:tc>
          <w:tcPr>
            <w:tcW w:type="dxa" w:w="2256"/>
          </w:tcPr>
          <w:p>
            <w:pPr>
              <w:spacing w:after="40" w:before="40"/>
            </w:pPr>
            <w:r/>
            <w:r>
              <w:rPr>
                <w:rFonts w:ascii="Times New Roman" w:hAnsi="Times New Roman" w:eastAsia="Times New Roman"/>
                <w:b w:val="0"/>
                <w:i w:val="0"/>
                <w:color w:val="000000"/>
                <w:sz w:val="18"/>
              </w:rPr>
              <w:t>10 lab; 3 deployments</w:t>
            </w:r>
          </w:p>
        </w:tc>
      </w:tr>
      <w:tr>
        <w:tc>
          <w:tcPr>
            <w:tcW w:type="dxa" w:w="2256"/>
          </w:tcPr>
          <w:p>
            <w:pPr>
              <w:spacing w:after="40" w:before="40"/>
            </w:pPr>
            <w:r/>
            <w:r>
              <w:rPr>
                <w:rFonts w:ascii="Times New Roman" w:hAnsi="Times New Roman" w:eastAsia="Times New Roman"/>
                <w:b w:val="0"/>
                <w:i w:val="0"/>
                <w:color w:val="000000"/>
                <w:sz w:val="18"/>
              </w:rPr>
              <w:t>Zhuang et al. (2026)</w:t>
            </w:r>
          </w:p>
        </w:tc>
        <w:tc>
          <w:tcPr>
            <w:tcW w:type="dxa" w:w="2256"/>
          </w:tcPr>
          <w:p>
            <w:pPr>
              <w:spacing w:after="40" w:before="40"/>
            </w:pPr>
            <w:r/>
            <w:r>
              <w:rPr>
                <w:rFonts w:ascii="Times New Roman" w:hAnsi="Times New Roman" w:eastAsia="Times New Roman"/>
                <w:b w:val="0"/>
                <w:i w:val="0"/>
                <w:color w:val="000000"/>
                <w:sz w:val="18"/>
              </w:rPr>
              <w:t>Preprint</w:t>
            </w:r>
          </w:p>
        </w:tc>
        <w:tc>
          <w:tcPr>
            <w:tcW w:type="dxa" w:w="2256"/>
          </w:tcPr>
          <w:p>
            <w:pPr>
              <w:spacing w:after="40" w:before="40"/>
            </w:pPr>
            <w:r/>
            <w:r>
              <w:rPr>
                <w:rFonts w:ascii="Times New Roman" w:hAnsi="Times New Roman" w:eastAsia="Times New Roman"/>
                <w:b w:val="0"/>
                <w:i w:val="0"/>
                <w:color w:val="000000"/>
                <w:sz w:val="18"/>
              </w:rPr>
              <w:t>Email confirmation and code diff</w:t>
            </w:r>
          </w:p>
        </w:tc>
        <w:tc>
          <w:tcPr>
            <w:tcW w:type="dxa" w:w="2256"/>
          </w:tcPr>
          <w:p>
            <w:pPr>
              <w:spacing w:after="40" w:before="40"/>
            </w:pPr>
            <w:r/>
            <w:r>
              <w:rPr>
                <w:rFonts w:ascii="Times New Roman" w:hAnsi="Times New Roman" w:eastAsia="Times New Roman"/>
                <w:b w:val="0"/>
                <w:i w:val="0"/>
                <w:color w:val="000000"/>
                <w:sz w:val="18"/>
              </w:rPr>
              <w:t>No user study</w:t>
            </w:r>
          </w:p>
        </w:tc>
      </w:tr>
      <w:tr>
        <w:tc>
          <w:tcPr>
            <w:tcW w:type="dxa" w:w="2256"/>
          </w:tcPr>
          <w:p>
            <w:pPr>
              <w:spacing w:after="40" w:before="40"/>
            </w:pPr>
            <w:r/>
            <w:r>
              <w:rPr>
                <w:rFonts w:ascii="Times New Roman" w:hAnsi="Times New Roman" w:eastAsia="Times New Roman"/>
                <w:b w:val="0"/>
                <w:i w:val="0"/>
                <w:color w:val="000000"/>
                <w:sz w:val="18"/>
              </w:rPr>
              <w:t>Yan (2026)</w:t>
            </w:r>
          </w:p>
        </w:tc>
        <w:tc>
          <w:tcPr>
            <w:tcW w:type="dxa" w:w="2256"/>
          </w:tcPr>
          <w:p>
            <w:pPr>
              <w:spacing w:after="40" w:before="40"/>
            </w:pPr>
            <w:r/>
            <w:r>
              <w:rPr>
                <w:rFonts w:ascii="Times New Roman" w:hAnsi="Times New Roman" w:eastAsia="Times New Roman"/>
                <w:b w:val="0"/>
                <w:i w:val="0"/>
                <w:color w:val="000000"/>
                <w:sz w:val="18"/>
              </w:rPr>
              <w:t>Preprint</w:t>
            </w:r>
          </w:p>
        </w:tc>
        <w:tc>
          <w:tcPr>
            <w:tcW w:type="dxa" w:w="2256"/>
          </w:tcPr>
          <w:p>
            <w:pPr>
              <w:spacing w:after="40" w:before="40"/>
            </w:pPr>
            <w:r/>
            <w:r>
              <w:rPr>
                <w:rFonts w:ascii="Times New Roman" w:hAnsi="Times New Roman" w:eastAsia="Times New Roman"/>
                <w:b w:val="0"/>
                <w:i w:val="0"/>
                <w:color w:val="000000"/>
                <w:sz w:val="18"/>
              </w:rPr>
              <w:t>Per-action approval versus standing rules</w:t>
            </w:r>
          </w:p>
        </w:tc>
        <w:tc>
          <w:tcPr>
            <w:tcW w:type="dxa" w:w="2256"/>
          </w:tcPr>
          <w:p>
            <w:pPr>
              <w:spacing w:after="40" w:before="40"/>
            </w:pPr>
            <w:r/>
            <w:r>
              <w:rPr>
                <w:rFonts w:ascii="Times New Roman" w:hAnsi="Times New Roman" w:eastAsia="Times New Roman"/>
                <w:b w:val="0"/>
                <w:i w:val="0"/>
                <w:color w:val="000000"/>
                <w:sz w:val="18"/>
              </w:rPr>
              <w:t>113</w:t>
            </w:r>
          </w:p>
        </w:tc>
      </w:tr>
      <w:tr>
        <w:tc>
          <w:tcPr>
            <w:tcW w:type="dxa" w:w="2256"/>
          </w:tcPr>
          <w:p>
            <w:pPr>
              <w:spacing w:after="40" w:before="40"/>
            </w:pPr>
            <w:r/>
            <w:r>
              <w:rPr>
                <w:rFonts w:ascii="Times New Roman" w:hAnsi="Times New Roman" w:eastAsia="Times New Roman"/>
                <w:b w:val="0"/>
                <w:i w:val="0"/>
                <w:color w:val="000000"/>
                <w:sz w:val="18"/>
              </w:rPr>
              <w:t>Weng (2026)</w:t>
            </w:r>
          </w:p>
        </w:tc>
        <w:tc>
          <w:tcPr>
            <w:tcW w:type="dxa" w:w="2256"/>
          </w:tcPr>
          <w:p>
            <w:pPr>
              <w:spacing w:after="40" w:before="40"/>
            </w:pPr>
            <w:r/>
            <w:r>
              <w:rPr>
                <w:rFonts w:ascii="Times New Roman" w:hAnsi="Times New Roman" w:eastAsia="Times New Roman"/>
                <w:b w:val="0"/>
                <w:i w:val="0"/>
                <w:color w:val="000000"/>
                <w:sz w:val="18"/>
              </w:rPr>
              <w:t>Preprint</w:t>
            </w:r>
          </w:p>
        </w:tc>
        <w:tc>
          <w:tcPr>
            <w:tcW w:type="dxa" w:w="2256"/>
          </w:tcPr>
          <w:p>
            <w:pPr>
              <w:spacing w:after="40" w:before="40"/>
            </w:pPr>
            <w:r/>
            <w:r>
              <w:rPr>
                <w:rFonts w:ascii="Times New Roman" w:hAnsi="Times New Roman" w:eastAsia="Times New Roman"/>
                <w:b w:val="0"/>
                <w:i w:val="0"/>
                <w:color w:val="000000"/>
                <w:sz w:val="18"/>
              </w:rPr>
              <w:t>Whether the dialog matches the command</w:t>
            </w:r>
          </w:p>
        </w:tc>
        <w:tc>
          <w:tcPr>
            <w:tcW w:type="dxa" w:w="2256"/>
          </w:tcPr>
          <w:p>
            <w:pPr>
              <w:spacing w:after="40" w:before="40"/>
            </w:pPr>
            <w:r/>
            <w:r>
              <w:rPr>
                <w:rFonts w:ascii="Times New Roman" w:hAnsi="Times New Roman" w:eastAsia="Times New Roman"/>
                <w:b w:val="0"/>
                <w:i w:val="0"/>
                <w:color w:val="000000"/>
                <w:sz w:val="18"/>
              </w:rPr>
              <w:t>No user study</w:t>
            </w:r>
          </w:p>
        </w:tc>
      </w:tr>
      <w:tr>
        <w:tc>
          <w:tcPr>
            <w:tcW w:type="dxa" w:w="2256"/>
          </w:tcPr>
          <w:p>
            <w:pPr>
              <w:spacing w:after="40" w:before="40"/>
            </w:pPr>
            <w:r/>
            <w:r>
              <w:rPr>
                <w:rFonts w:ascii="Times New Roman" w:hAnsi="Times New Roman" w:eastAsia="Times New Roman"/>
                <w:b w:val="0"/>
                <w:i w:val="0"/>
                <w:color w:val="000000"/>
                <w:sz w:val="18"/>
              </w:rPr>
              <w:t>Pochampally et al. (2026)</w:t>
            </w:r>
          </w:p>
        </w:tc>
        <w:tc>
          <w:tcPr>
            <w:tcW w:type="dxa" w:w="2256"/>
          </w:tcPr>
          <w:p>
            <w:pPr>
              <w:spacing w:after="40" w:before="40"/>
            </w:pPr>
            <w:r/>
            <w:r>
              <w:rPr>
                <w:rFonts w:ascii="Times New Roman" w:hAnsi="Times New Roman" w:eastAsia="Times New Roman"/>
                <w:b w:val="0"/>
                <w:i w:val="0"/>
                <w:color w:val="000000"/>
                <w:sz w:val="18"/>
              </w:rPr>
              <w:t>Preprint</w:t>
            </w:r>
          </w:p>
        </w:tc>
        <w:tc>
          <w:tcPr>
            <w:tcW w:type="dxa" w:w="2256"/>
          </w:tcPr>
          <w:p>
            <w:pPr>
              <w:spacing w:after="40" w:before="40"/>
            </w:pPr>
            <w:r/>
            <w:r>
              <w:rPr>
                <w:rFonts w:ascii="Times New Roman" w:hAnsi="Times New Roman" w:eastAsia="Times New Roman"/>
                <w:b w:val="0"/>
                <w:i w:val="0"/>
                <w:color w:val="000000"/>
                <w:sz w:val="18"/>
              </w:rPr>
              <w:t>Agent that sent email without a preview</w:t>
            </w:r>
          </w:p>
        </w:tc>
        <w:tc>
          <w:tcPr>
            <w:tcW w:type="dxa" w:w="2256"/>
          </w:tcPr>
          <w:p>
            <w:pPr>
              <w:spacing w:after="40" w:before="40"/>
            </w:pPr>
            <w:r/>
            <w:r>
              <w:rPr>
                <w:rFonts w:ascii="Times New Roman" w:hAnsi="Times New Roman" w:eastAsia="Times New Roman"/>
                <w:b w:val="0"/>
                <w:i w:val="0"/>
                <w:color w:val="000000"/>
                <w:sz w:val="18"/>
              </w:rPr>
              <w:t>20</w:t>
            </w:r>
          </w:p>
        </w:tc>
      </w:tr>
      <w:tr>
        <w:tc>
          <w:tcPr>
            <w:tcW w:type="dxa" w:w="2256"/>
          </w:tcPr>
          <w:p>
            <w:pPr>
              <w:spacing w:after="40" w:before="40"/>
            </w:pPr>
            <w:r/>
            <w:r>
              <w:rPr>
                <w:rFonts w:ascii="Times New Roman" w:hAnsi="Times New Roman" w:eastAsia="Times New Roman"/>
                <w:b w:val="0"/>
                <w:i w:val="0"/>
                <w:color w:val="000000"/>
                <w:sz w:val="18"/>
              </w:rPr>
              <w:t>Su et al. (2026)</w:t>
            </w:r>
          </w:p>
        </w:tc>
        <w:tc>
          <w:tcPr>
            <w:tcW w:type="dxa" w:w="2256"/>
          </w:tcPr>
          <w:p>
            <w:pPr>
              <w:spacing w:after="40" w:before="40"/>
            </w:pPr>
            <w:r/>
            <w:r>
              <w:rPr>
                <w:rFonts w:ascii="Times New Roman" w:hAnsi="Times New Roman" w:eastAsia="Times New Roman"/>
                <w:b w:val="0"/>
                <w:i w:val="0"/>
                <w:color w:val="000000"/>
                <w:sz w:val="18"/>
              </w:rPr>
              <w:t>Journal 2026</w:t>
            </w:r>
          </w:p>
        </w:tc>
        <w:tc>
          <w:tcPr>
            <w:tcW w:type="dxa" w:w="2256"/>
          </w:tcPr>
          <w:p>
            <w:pPr>
              <w:spacing w:after="40" w:before="40"/>
            </w:pPr>
            <w:r/>
            <w:r>
              <w:rPr>
                <w:rFonts w:ascii="Times New Roman" w:hAnsi="Times New Roman" w:eastAsia="Times New Roman"/>
                <w:b w:val="0"/>
                <w:i w:val="0"/>
                <w:color w:val="000000"/>
                <w:sz w:val="18"/>
              </w:rPr>
              <w:t>Risk card versus log and text warning</w:t>
            </w:r>
          </w:p>
        </w:tc>
        <w:tc>
          <w:tcPr>
            <w:tcW w:type="dxa" w:w="2256"/>
          </w:tcPr>
          <w:p>
            <w:pPr>
              <w:spacing w:after="40" w:before="40"/>
            </w:pPr>
            <w:r/>
            <w:r>
              <w:rPr>
                <w:rFonts w:ascii="Times New Roman" w:hAnsi="Times New Roman" w:eastAsia="Times New Roman"/>
                <w:b w:val="0"/>
                <w:i w:val="0"/>
                <w:color w:val="000000"/>
                <w:sz w:val="18"/>
              </w:rPr>
              <w:t>Proxy, not participants</w:t>
            </w:r>
          </w:p>
        </w:tc>
      </w:tr>
      <w:tr>
        <w:tc>
          <w:tcPr>
            <w:tcW w:type="dxa" w:w="2256"/>
          </w:tcPr>
          <w:p>
            <w:pPr>
              <w:spacing w:after="40" w:before="40"/>
            </w:pPr>
            <w:r/>
            <w:r>
              <w:rPr>
                <w:rFonts w:ascii="Times New Roman" w:hAnsi="Times New Roman" w:eastAsia="Times New Roman"/>
                <w:b w:val="0"/>
                <w:i w:val="0"/>
                <w:color w:val="000000"/>
                <w:sz w:val="18"/>
              </w:rPr>
              <w:t>S. Zhang et al. (2026)</w:t>
            </w:r>
          </w:p>
        </w:tc>
        <w:tc>
          <w:tcPr>
            <w:tcW w:type="dxa" w:w="2256"/>
          </w:tcPr>
          <w:p>
            <w:pPr>
              <w:spacing w:after="40" w:before="40"/>
            </w:pPr>
            <w:r/>
            <w:r>
              <w:rPr>
                <w:rFonts w:ascii="Times New Roman" w:hAnsi="Times New Roman" w:eastAsia="Times New Roman"/>
                <w:b w:val="0"/>
                <w:i w:val="0"/>
                <w:color w:val="000000"/>
                <w:sz w:val="18"/>
              </w:rPr>
              <w:t>CHI 2026</w:t>
            </w:r>
          </w:p>
        </w:tc>
        <w:tc>
          <w:tcPr>
            <w:tcW w:type="dxa" w:w="2256"/>
          </w:tcPr>
          <w:p>
            <w:pPr>
              <w:spacing w:after="40" w:before="40"/>
            </w:pPr>
            <w:r/>
            <w:r>
              <w:rPr>
                <w:rFonts w:ascii="Times New Roman" w:hAnsi="Times New Roman" w:eastAsia="Times New Roman"/>
                <w:b w:val="0"/>
                <w:i w:val="0"/>
                <w:color w:val="000000"/>
                <w:sz w:val="18"/>
              </w:rPr>
              <w:t>Complaints about GUI agents that act on the web</w:t>
            </w:r>
          </w:p>
        </w:tc>
        <w:tc>
          <w:tcPr>
            <w:tcW w:type="dxa" w:w="2256"/>
          </w:tcPr>
          <w:p>
            <w:pPr>
              <w:spacing w:after="40" w:before="40"/>
            </w:pPr>
            <w:r/>
            <w:r>
              <w:rPr>
                <w:rFonts w:ascii="Times New Roman" w:hAnsi="Times New Roman" w:eastAsia="Times New Roman"/>
                <w:b w:val="0"/>
                <w:i w:val="0"/>
                <w:color w:val="000000"/>
                <w:sz w:val="18"/>
              </w:rPr>
              <w:t>221 posts; 21 interviews</w:t>
            </w:r>
          </w:p>
        </w:tc>
      </w:tr>
      <w:tr>
        <w:tc>
          <w:tcPr>
            <w:tcW w:type="dxa" w:w="2256"/>
          </w:tcPr>
          <w:p>
            <w:pPr>
              <w:spacing w:after="40" w:before="40"/>
            </w:pPr>
            <w:r/>
            <w:r>
              <w:rPr>
                <w:rFonts w:ascii="Times New Roman" w:hAnsi="Times New Roman" w:eastAsia="Times New Roman"/>
                <w:b w:val="0"/>
                <w:i w:val="0"/>
                <w:color w:val="000000"/>
                <w:sz w:val="18"/>
              </w:rPr>
              <w:t>Lehmann et al. (2026)</w:t>
            </w:r>
          </w:p>
        </w:tc>
        <w:tc>
          <w:tcPr>
            <w:tcW w:type="dxa" w:w="2256"/>
          </w:tcPr>
          <w:p>
            <w:pPr>
              <w:spacing w:after="40" w:before="40"/>
            </w:pPr>
            <w:r/>
            <w:r>
              <w:rPr>
                <w:rFonts w:ascii="Times New Roman" w:hAnsi="Times New Roman" w:eastAsia="Times New Roman"/>
                <w:b w:val="0"/>
                <w:i w:val="0"/>
                <w:color w:val="000000"/>
                <w:sz w:val="18"/>
              </w:rPr>
              <w:t>CHI 2026</w:t>
            </w:r>
          </w:p>
        </w:tc>
        <w:tc>
          <w:tcPr>
            <w:tcW w:type="dxa" w:w="2256"/>
          </w:tcPr>
          <w:p>
            <w:pPr>
              <w:spacing w:after="40" w:before="40"/>
            </w:pPr>
            <w:r/>
            <w:r>
              <w:rPr>
                <w:rFonts w:ascii="Times New Roman" w:hAnsi="Times New Roman" w:eastAsia="Times New Roman"/>
                <w:b w:val="0"/>
                <w:i w:val="0"/>
                <w:color w:val="000000"/>
                <w:sz w:val="18"/>
              </w:rPr>
              <w:t>Side-by-side preview before a document change is approved</w:t>
            </w:r>
          </w:p>
        </w:tc>
        <w:tc>
          <w:tcPr>
            <w:tcW w:type="dxa" w:w="2256"/>
          </w:tcPr>
          <w:p>
            <w:pPr>
              <w:spacing w:after="40" w:before="40"/>
            </w:pPr>
            <w:r/>
            <w:r>
              <w:rPr>
                <w:rFonts w:ascii="Times New Roman" w:hAnsi="Times New Roman" w:eastAsia="Times New Roman"/>
                <w:b w:val="0"/>
                <w:i w:val="0"/>
                <w:color w:val="000000"/>
                <w:sz w:val="18"/>
              </w:rPr>
              <w:t>30 people; 14 teams</w:t>
            </w:r>
          </w:p>
        </w:tc>
      </w:tr>
      <w:tr>
        <w:tc>
          <w:tcPr>
            <w:tcW w:type="dxa" w:w="2256"/>
          </w:tcPr>
          <w:p>
            <w:pPr>
              <w:spacing w:after="40" w:before="40"/>
            </w:pPr>
            <w:r/>
            <w:r>
              <w:rPr>
                <w:rFonts w:ascii="Times New Roman" w:hAnsi="Times New Roman" w:eastAsia="Times New Roman"/>
                <w:b w:val="0"/>
                <w:i w:val="0"/>
                <w:color w:val="000000"/>
                <w:sz w:val="18"/>
              </w:rPr>
              <w:t>Kretzer et al. (2025)</w:t>
            </w:r>
          </w:p>
        </w:tc>
        <w:tc>
          <w:tcPr>
            <w:tcW w:type="dxa" w:w="2256"/>
          </w:tcPr>
          <w:p>
            <w:pPr>
              <w:spacing w:after="40" w:before="40"/>
            </w:pPr>
            <w:r/>
            <w:r>
              <w:rPr>
                <w:rFonts w:ascii="Times New Roman" w:hAnsi="Times New Roman" w:eastAsia="Times New Roman"/>
                <w:b w:val="0"/>
                <w:i w:val="0"/>
                <w:color w:val="000000"/>
                <w:sz w:val="18"/>
              </w:rPr>
              <w:t>CHI 2025</w:t>
            </w:r>
          </w:p>
        </w:tc>
        <w:tc>
          <w:tcPr>
            <w:tcW w:type="dxa" w:w="2256"/>
          </w:tcPr>
          <w:p>
            <w:pPr>
              <w:spacing w:after="40" w:before="40"/>
            </w:pPr>
            <w:r/>
            <w:r>
              <w:rPr>
                <w:rFonts w:ascii="Times New Roman" w:hAnsi="Times New Roman" w:eastAsia="Times New Roman"/>
                <w:b w:val="0"/>
                <w:i w:val="0"/>
                <w:color w:val="000000"/>
                <w:sz w:val="18"/>
              </w:rPr>
              <w:t>Component recommendation previewed before it is drawn into a design file</w:t>
            </w:r>
          </w:p>
        </w:tc>
        <w:tc>
          <w:tcPr>
            <w:tcW w:type="dxa" w:w="2256"/>
          </w:tcPr>
          <w:p>
            <w:pPr>
              <w:spacing w:after="40" w:before="40"/>
            </w:pPr>
            <w:r/>
            <w:r>
              <w:rPr>
                <w:rFonts w:ascii="Times New Roman" w:hAnsi="Times New Roman" w:eastAsia="Times New Roman"/>
                <w:b w:val="0"/>
                <w:i w:val="0"/>
                <w:color w:val="000000"/>
                <w:sz w:val="18"/>
              </w:rPr>
              <w:t>Interface description</w:t>
            </w:r>
          </w:p>
        </w:tc>
      </w:tr>
      <w:tr>
        <w:tc>
          <w:tcPr>
            <w:tcW w:type="dxa" w:w="2256"/>
          </w:tcPr>
          <w:p>
            <w:pPr>
              <w:spacing w:after="40" w:before="40"/>
            </w:pPr>
            <w:r/>
            <w:r>
              <w:rPr>
                <w:rFonts w:ascii="Times New Roman" w:hAnsi="Times New Roman" w:eastAsia="Times New Roman"/>
                <w:b w:val="0"/>
                <w:i w:val="0"/>
                <w:color w:val="000000"/>
                <w:sz w:val="18"/>
              </w:rPr>
              <w:t>Irshad et al. (2026)</w:t>
            </w:r>
          </w:p>
        </w:tc>
        <w:tc>
          <w:tcPr>
            <w:tcW w:type="dxa" w:w="2256"/>
          </w:tcPr>
          <w:p>
            <w:pPr>
              <w:spacing w:after="40" w:before="40"/>
            </w:pPr>
            <w:r/>
            <w:r>
              <w:rPr>
                <w:rFonts w:ascii="Times New Roman" w:hAnsi="Times New Roman" w:eastAsia="Times New Roman"/>
                <w:b w:val="0"/>
                <w:i w:val="0"/>
                <w:color w:val="000000"/>
                <w:sz w:val="18"/>
              </w:rPr>
              <w:t>Preprint</w:t>
            </w:r>
          </w:p>
        </w:tc>
        <w:tc>
          <w:tcPr>
            <w:tcW w:type="dxa" w:w="2256"/>
          </w:tcPr>
          <w:p>
            <w:pPr>
              <w:spacing w:after="40" w:before="40"/>
            </w:pPr>
            <w:r/>
            <w:r>
              <w:rPr>
                <w:rFonts w:ascii="Times New Roman" w:hAnsi="Times New Roman" w:eastAsia="Times New Roman"/>
                <w:b w:val="0"/>
                <w:i w:val="0"/>
                <w:color w:val="000000"/>
                <w:sz w:val="18"/>
              </w:rPr>
              <w:t>Browser card rebuilt from the pending action and checked again at dispatch</w:t>
            </w:r>
          </w:p>
        </w:tc>
        <w:tc>
          <w:tcPr>
            <w:tcW w:type="dxa" w:w="2256"/>
          </w:tcPr>
          <w:p>
            <w:pPr>
              <w:spacing w:after="40" w:before="40"/>
            </w:pPr>
            <w:r/>
            <w:r>
              <w:rPr>
                <w:rFonts w:ascii="Times New Roman" w:hAnsi="Times New Roman" w:eastAsia="Times New Roman"/>
                <w:b w:val="0"/>
                <w:i w:val="0"/>
                <w:color w:val="000000"/>
                <w:sz w:val="18"/>
              </w:rPr>
              <w:t>No user study; 24 scenarios</w:t>
            </w:r>
          </w:p>
        </w:tc>
      </w:tr>
      <w:tr>
        <w:tc>
          <w:tcPr>
            <w:tcW w:type="dxa" w:w="2256"/>
          </w:tcPr>
          <w:p>
            <w:pPr>
              <w:spacing w:after="40" w:before="40"/>
            </w:pPr>
            <w:r/>
            <w:r>
              <w:rPr>
                <w:rFonts w:ascii="Times New Roman" w:hAnsi="Times New Roman" w:eastAsia="Times New Roman"/>
                <w:b w:val="0"/>
                <w:i w:val="0"/>
                <w:color w:val="000000"/>
                <w:sz w:val="18"/>
              </w:rPr>
              <w:t>Q. Zhang (2026)</w:t>
            </w:r>
          </w:p>
        </w:tc>
        <w:tc>
          <w:tcPr>
            <w:tcW w:type="dxa" w:w="2256"/>
          </w:tcPr>
          <w:p>
            <w:pPr>
              <w:spacing w:after="40" w:before="40"/>
            </w:pPr>
            <w:r/>
            <w:r>
              <w:rPr>
                <w:rFonts w:ascii="Times New Roman" w:hAnsi="Times New Roman" w:eastAsia="Times New Roman"/>
                <w:b w:val="0"/>
                <w:i w:val="0"/>
                <w:color w:val="000000"/>
                <w:sz w:val="18"/>
              </w:rPr>
              <w:t>ICML 2026 workshop</w:t>
            </w:r>
          </w:p>
        </w:tc>
        <w:tc>
          <w:tcPr>
            <w:tcW w:type="dxa" w:w="2256"/>
          </w:tcPr>
          <w:p>
            <w:pPr>
              <w:spacing w:after="40" w:before="40"/>
            </w:pPr>
            <w:r/>
            <w:r>
              <w:rPr>
                <w:rFonts w:ascii="Times New Roman" w:hAnsi="Times New Roman" w:eastAsia="Times New Roman"/>
                <w:b w:val="0"/>
                <w:i w:val="0"/>
                <w:color w:val="000000"/>
                <w:sz w:val="18"/>
              </w:rPr>
              <w:t>Approval of the resolved effect, rechecked before execution</w:t>
            </w:r>
          </w:p>
        </w:tc>
        <w:tc>
          <w:tcPr>
            <w:tcW w:type="dxa" w:w="2256"/>
          </w:tcPr>
          <w:p>
            <w:pPr>
              <w:spacing w:after="40" w:before="40"/>
            </w:pPr>
            <w:r/>
            <w:r>
              <w:rPr>
                <w:rFonts w:ascii="Times New Roman" w:hAnsi="Times New Roman" w:eastAsia="Times New Roman"/>
                <w:b w:val="0"/>
                <w:i w:val="0"/>
                <w:color w:val="000000"/>
                <w:sz w:val="18"/>
              </w:rPr>
              <w:t>No user study; 1,500 proposals</w:t>
            </w:r>
          </w:p>
        </w:tc>
      </w:tr>
    </w:tbl>
    <w:p/>
    <w:p>
      <w:pPr>
        <w:pStyle w:val="Heading1"/>
        <w:spacing w:before="320" w:after="120"/>
      </w:pPr>
      <w:r>
        <w:t>4. Results</w:t>
      </w:r>
    </w:p>
    <w:p>
      <w:pPr>
        <w:pStyle w:val="Heading2"/>
        <w:spacing w:before="240" w:after="120"/>
      </w:pPr>
      <w:r>
        <w:t>4.1. What the interface shows</w:t>
      </w:r>
    </w:p>
    <w:p>
      <w:pPr>
        <w:spacing w:after="160" w:before="0" w:lineRule="auto" w:line="276"/>
      </w:pPr>
      <w:r>
        <w:rPr>
          <w:rFonts w:ascii="Times New Roman" w:hAnsi="Times New Roman" w:eastAsia="Times New Roman"/>
          <w:b w:val="0"/>
          <w:i w:val="0"/>
          <w:color w:val="000000"/>
          <w:sz w:val="24"/>
        </w:rPr>
        <w:t>The fifteen interfaces do not show the same object. Reading across the extraction sheet, the previews that do appear fall into six forms. Table 4 is that taxonomy. It states what each form exposes and which control the source papers actually describe. A cell is limited to those papers. Two studies sit outside the table because the preview was missing. Pochampally et al. (2026) report an email sent without a draft. S. Zhang et al. (2026) report purchases, installs, and other web actions taken without a confirmation the person could inspect first.</w:t>
      </w:r>
    </w:p>
    <w:p>
      <w:pPr>
        <w:spacing w:after="160" w:before="0" w:lineRule="auto" w:line="276"/>
      </w:pPr>
      <w:r>
        <w:rPr>
          <w:rFonts w:ascii="Times New Roman" w:hAnsi="Times New Roman" w:eastAsia="Times New Roman"/>
          <w:b/>
          <w:i w:val="0"/>
          <w:color w:val="000000"/>
          <w:sz w:val="24"/>
        </w:rPr>
        <w:t>Table 4. Six preview forms.</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shd w:fill="F2F2F2" w:val="clear"/>
          </w:tcPr>
          <w:p>
            <w:pPr>
              <w:spacing w:after="40" w:before="40"/>
            </w:pPr>
            <w:r>
              <w:rPr>
                <w:b/>
              </w:rPr>
            </w:r>
            <w:r>
              <w:rPr>
                <w:rFonts w:ascii="Times New Roman" w:hAnsi="Times New Roman" w:eastAsia="Times New Roman"/>
                <w:b/>
                <w:i w:val="0"/>
                <w:color w:val="000000"/>
                <w:sz w:val="18"/>
              </w:rPr>
              <w:t>Form</w:t>
            </w:r>
          </w:p>
        </w:tc>
        <w:tc>
          <w:tcPr>
            <w:tcW w:type="dxa" w:w="2256"/>
            <w:shd w:fill="F2F2F2" w:val="clear"/>
          </w:tcPr>
          <w:p>
            <w:pPr>
              <w:spacing w:after="40" w:before="40"/>
            </w:pPr>
            <w:r>
              <w:rPr>
                <w:b/>
              </w:rPr>
            </w:r>
            <w:r>
              <w:rPr>
                <w:rFonts w:ascii="Times New Roman" w:hAnsi="Times New Roman" w:eastAsia="Times New Roman"/>
                <w:b/>
                <w:i w:val="0"/>
                <w:color w:val="000000"/>
                <w:sz w:val="18"/>
              </w:rPr>
              <w:t>What it exposes</w:t>
            </w:r>
          </w:p>
        </w:tc>
        <w:tc>
          <w:tcPr>
            <w:tcW w:type="dxa" w:w="2256"/>
            <w:shd w:fill="F2F2F2" w:val="clear"/>
          </w:tcPr>
          <w:p>
            <w:pPr>
              <w:spacing w:after="40" w:before="40"/>
            </w:pPr>
            <w:r>
              <w:rPr>
                <w:b/>
              </w:rPr>
            </w:r>
            <w:r>
              <w:rPr>
                <w:rFonts w:ascii="Times New Roman" w:hAnsi="Times New Roman" w:eastAsia="Times New Roman"/>
                <w:b/>
                <w:i w:val="0"/>
                <w:color w:val="000000"/>
                <w:sz w:val="18"/>
              </w:rPr>
              <w:t>Control described in the source</w:t>
            </w:r>
          </w:p>
        </w:tc>
        <w:tc>
          <w:tcPr>
            <w:tcW w:type="dxa" w:w="2256"/>
            <w:shd w:fill="F2F2F2" w:val="clear"/>
          </w:tcPr>
          <w:p>
            <w:pPr>
              <w:spacing w:after="40" w:before="40"/>
            </w:pPr>
            <w:r>
              <w:rPr>
                <w:b/>
              </w:rPr>
            </w:r>
            <w:r>
              <w:rPr>
                <w:rFonts w:ascii="Times New Roman" w:hAnsi="Times New Roman" w:eastAsia="Times New Roman"/>
                <w:b/>
                <w:i w:val="0"/>
                <w:color w:val="000000"/>
                <w:sz w:val="18"/>
              </w:rPr>
              <w:t>Where it appears</w:t>
            </w:r>
          </w:p>
        </w:tc>
      </w:tr>
      <w:tr>
        <w:tc>
          <w:tcPr>
            <w:tcW w:type="dxa" w:w="2256"/>
          </w:tcPr>
          <w:p>
            <w:pPr>
              <w:spacing w:after="40" w:before="40"/>
            </w:pPr>
            <w:r/>
            <w:r>
              <w:rPr>
                <w:rFonts w:ascii="Times New Roman" w:hAnsi="Times New Roman" w:eastAsia="Times New Roman"/>
                <w:b w:val="0"/>
                <w:i w:val="0"/>
                <w:color w:val="000000"/>
                <w:sz w:val="18"/>
              </w:rPr>
              <w:t>Plan</w:t>
            </w:r>
          </w:p>
        </w:tc>
        <w:tc>
          <w:tcPr>
            <w:tcW w:type="dxa" w:w="2256"/>
          </w:tcPr>
          <w:p>
            <w:pPr>
              <w:spacing w:after="40" w:before="40"/>
            </w:pPr>
            <w:r/>
            <w:r>
              <w:rPr>
                <w:rFonts w:ascii="Times New Roman" w:hAnsi="Times New Roman" w:eastAsia="Times New Roman"/>
                <w:b w:val="0"/>
                <w:i w:val="0"/>
                <w:color w:val="000000"/>
                <w:sz w:val="18"/>
              </w:rPr>
              <w:t>The intended sequence of steps</w:t>
            </w:r>
          </w:p>
        </w:tc>
        <w:tc>
          <w:tcPr>
            <w:tcW w:type="dxa" w:w="2256"/>
          </w:tcPr>
          <w:p>
            <w:pPr>
              <w:spacing w:after="40" w:before="40"/>
            </w:pPr>
            <w:r/>
            <w:r>
              <w:rPr>
                <w:rFonts w:ascii="Times New Roman" w:hAnsi="Times New Roman" w:eastAsia="Times New Roman"/>
                <w:b w:val="0"/>
                <w:i w:val="0"/>
                <w:color w:val="000000"/>
                <w:sz w:val="18"/>
              </w:rPr>
              <w:t>Edit, add, delete, split, or assign a step to the person or the agent</w:t>
            </w:r>
          </w:p>
        </w:tc>
        <w:tc>
          <w:tcPr>
            <w:tcW w:type="dxa" w:w="2256"/>
          </w:tcPr>
          <w:p>
            <w:pPr>
              <w:spacing w:after="40" w:before="40"/>
            </w:pPr>
            <w:r/>
            <w:r>
              <w:rPr>
                <w:rFonts w:ascii="Times New Roman" w:hAnsi="Times New Roman" w:eastAsia="Times New Roman"/>
                <w:b w:val="0"/>
                <w:i w:val="0"/>
                <w:color w:val="000000"/>
                <w:sz w:val="18"/>
              </w:rPr>
              <w:t>He et al. (2025); Feng et al. (2026); plan editors in Mozannar et al. (2025) and Long et al. (2025)</w:t>
            </w:r>
          </w:p>
        </w:tc>
      </w:tr>
      <w:tr>
        <w:tc>
          <w:tcPr>
            <w:tcW w:type="dxa" w:w="2256"/>
          </w:tcPr>
          <w:p>
            <w:pPr>
              <w:spacing w:after="40" w:before="40"/>
            </w:pPr>
            <w:r/>
            <w:r>
              <w:rPr>
                <w:rFonts w:ascii="Times New Roman" w:hAnsi="Times New Roman" w:eastAsia="Times New Roman"/>
                <w:b w:val="0"/>
                <w:i w:val="0"/>
                <w:color w:val="000000"/>
                <w:sz w:val="18"/>
              </w:rPr>
              <w:t>Highlight</w:t>
            </w:r>
          </w:p>
        </w:tc>
        <w:tc>
          <w:tcPr>
            <w:tcW w:type="dxa" w:w="2256"/>
          </w:tcPr>
          <w:p>
            <w:pPr>
              <w:spacing w:after="40" w:before="40"/>
            </w:pPr>
            <w:r/>
            <w:r>
              <w:rPr>
                <w:rFonts w:ascii="Times New Roman" w:hAnsi="Times New Roman" w:eastAsia="Times New Roman"/>
                <w:b w:val="0"/>
                <w:i w:val="0"/>
                <w:color w:val="000000"/>
                <w:sz w:val="18"/>
              </w:rPr>
              <w:t>The target of the next web action</w:t>
            </w:r>
          </w:p>
        </w:tc>
        <w:tc>
          <w:tcPr>
            <w:tcW w:type="dxa" w:w="2256"/>
          </w:tcPr>
          <w:p>
            <w:pPr>
              <w:spacing w:after="40" w:before="40"/>
            </w:pPr>
            <w:r/>
            <w:r>
              <w:rPr>
                <w:rFonts w:ascii="Times New Roman" w:hAnsi="Times New Roman" w:eastAsia="Times New Roman"/>
                <w:b w:val="0"/>
                <w:i w:val="0"/>
                <w:color w:val="000000"/>
                <w:sz w:val="18"/>
              </w:rPr>
              <w:t>Reject or pause. Silence runs the action within five seconds</w:t>
            </w:r>
          </w:p>
        </w:tc>
        <w:tc>
          <w:tcPr>
            <w:tcW w:type="dxa" w:w="2256"/>
          </w:tcPr>
          <w:p>
            <w:pPr>
              <w:spacing w:after="40" w:before="40"/>
            </w:pPr>
            <w:r/>
            <w:r>
              <w:rPr>
                <w:rFonts w:ascii="Times New Roman" w:hAnsi="Times New Roman" w:eastAsia="Times New Roman"/>
                <w:b w:val="0"/>
                <w:i w:val="0"/>
                <w:color w:val="000000"/>
                <w:sz w:val="18"/>
              </w:rPr>
              <w:t>Huq et al. (2025)</w:t>
            </w:r>
          </w:p>
        </w:tc>
      </w:tr>
      <w:tr>
        <w:tc>
          <w:tcPr>
            <w:tcW w:type="dxa" w:w="2256"/>
          </w:tcPr>
          <w:p>
            <w:pPr>
              <w:spacing w:after="40" w:before="40"/>
            </w:pPr>
            <w:r/>
            <w:r>
              <w:rPr>
                <w:rFonts w:ascii="Times New Roman" w:hAnsi="Times New Roman" w:eastAsia="Times New Roman"/>
                <w:b w:val="0"/>
                <w:i w:val="0"/>
                <w:color w:val="000000"/>
                <w:sz w:val="18"/>
              </w:rPr>
              <w:t>Description</w:t>
            </w:r>
          </w:p>
        </w:tc>
        <w:tc>
          <w:tcPr>
            <w:tcW w:type="dxa" w:w="2256"/>
          </w:tcPr>
          <w:p>
            <w:pPr>
              <w:spacing w:after="40" w:before="40"/>
            </w:pPr>
            <w:r/>
            <w:r>
              <w:rPr>
                <w:rFonts w:ascii="Times New Roman" w:hAnsi="Times New Roman" w:eastAsia="Times New Roman"/>
                <w:b w:val="0"/>
                <w:i w:val="0"/>
                <w:color w:val="000000"/>
                <w:sz w:val="18"/>
              </w:rPr>
              <w:t>The action in prose, or the resolved effect of a dry run</w:t>
            </w:r>
          </w:p>
        </w:tc>
        <w:tc>
          <w:tcPr>
            <w:tcW w:type="dxa" w:w="2256"/>
          </w:tcPr>
          <w:p>
            <w:pPr>
              <w:spacing w:after="40" w:before="40"/>
            </w:pPr>
            <w:r/>
            <w:r>
              <w:rPr>
                <w:rFonts w:ascii="Times New Roman" w:hAnsi="Times New Roman" w:eastAsia="Times New Roman"/>
                <w:b w:val="0"/>
                <w:i w:val="0"/>
                <w:color w:val="000000"/>
                <w:sz w:val="18"/>
              </w:rPr>
              <w:t>Allow or deny, or a standing allow, ask, or never rule. Q. Zhang (2026) obtains approval of the resolved effect. The paper does not describe editing that effect</w:t>
            </w:r>
          </w:p>
        </w:tc>
        <w:tc>
          <w:tcPr>
            <w:tcW w:type="dxa" w:w="2256"/>
          </w:tcPr>
          <w:p>
            <w:pPr>
              <w:spacing w:after="40" w:before="40"/>
            </w:pPr>
            <w:r/>
            <w:r>
              <w:rPr>
                <w:rFonts w:ascii="Times New Roman" w:hAnsi="Times New Roman" w:eastAsia="Times New Roman"/>
                <w:b w:val="0"/>
                <w:i w:val="0"/>
                <w:color w:val="000000"/>
                <w:sz w:val="18"/>
              </w:rPr>
              <w:t>Yan (2026). Weng (2026) describes agent-written summaries of commands, a fragile case of this form. Q. Zhang (2026)</w:t>
            </w:r>
          </w:p>
        </w:tc>
      </w:tr>
      <w:tr>
        <w:tc>
          <w:tcPr>
            <w:tcW w:type="dxa" w:w="2256"/>
          </w:tcPr>
          <w:p>
            <w:pPr>
              <w:spacing w:after="40" w:before="40"/>
            </w:pPr>
            <w:r/>
            <w:r>
              <w:rPr>
                <w:rFonts w:ascii="Times New Roman" w:hAnsi="Times New Roman" w:eastAsia="Times New Roman"/>
                <w:b w:val="0"/>
                <w:i w:val="0"/>
                <w:color w:val="000000"/>
                <w:sz w:val="18"/>
              </w:rPr>
              <w:t>Draft</w:t>
            </w:r>
          </w:p>
        </w:tc>
        <w:tc>
          <w:tcPr>
            <w:tcW w:type="dxa" w:w="2256"/>
          </w:tcPr>
          <w:p>
            <w:pPr>
              <w:spacing w:after="40" w:before="40"/>
            </w:pPr>
            <w:r/>
            <w:r>
              <w:rPr>
                <w:rFonts w:ascii="Times New Roman" w:hAnsi="Times New Roman" w:eastAsia="Times New Roman"/>
                <w:b w:val="0"/>
                <w:i w:val="0"/>
                <w:color w:val="000000"/>
                <w:sz w:val="18"/>
              </w:rPr>
              <w:t>The content that would be sent or inserted</w:t>
            </w:r>
          </w:p>
        </w:tc>
        <w:tc>
          <w:tcPr>
            <w:tcW w:type="dxa" w:w="2256"/>
          </w:tcPr>
          <w:p>
            <w:pPr>
              <w:spacing w:after="40" w:before="40"/>
            </w:pPr>
            <w:r/>
            <w:r>
              <w:rPr>
                <w:rFonts w:ascii="Times New Roman" w:hAnsi="Times New Roman" w:eastAsia="Times New Roman"/>
                <w:b w:val="0"/>
                <w:i w:val="0"/>
                <w:color w:val="000000"/>
                <w:sz w:val="18"/>
              </w:rPr>
              <w:t>Edit, regenerate, compare side by side, or withhold the commit</w:t>
            </w:r>
          </w:p>
        </w:tc>
        <w:tc>
          <w:tcPr>
            <w:tcW w:type="dxa" w:w="2256"/>
          </w:tcPr>
          <w:p>
            <w:pPr>
              <w:spacing w:after="40" w:before="40"/>
            </w:pPr>
            <w:r/>
            <w:r>
              <w:rPr>
                <w:rFonts w:ascii="Times New Roman" w:hAnsi="Times New Roman" w:eastAsia="Times New Roman"/>
                <w:b w:val="0"/>
                <w:i w:val="0"/>
                <w:color w:val="000000"/>
                <w:sz w:val="18"/>
              </w:rPr>
              <w:t>Long et al. (2025); Zhuang et al. (2026), for email; Lehmann et al. (2026); Kretzer et al. (2025) preview components before drawing them into a file</w:t>
            </w:r>
          </w:p>
        </w:tc>
      </w:tr>
      <w:tr>
        <w:tc>
          <w:tcPr>
            <w:tcW w:type="dxa" w:w="2256"/>
          </w:tcPr>
          <w:p>
            <w:pPr>
              <w:spacing w:after="40" w:before="40"/>
            </w:pPr>
            <w:r/>
            <w:r>
              <w:rPr>
                <w:rFonts w:ascii="Times New Roman" w:hAnsi="Times New Roman" w:eastAsia="Times New Roman"/>
                <w:b w:val="0"/>
                <w:i w:val="0"/>
                <w:color w:val="000000"/>
                <w:sz w:val="18"/>
              </w:rPr>
              <w:t>Diff</w:t>
            </w:r>
          </w:p>
        </w:tc>
        <w:tc>
          <w:tcPr>
            <w:tcW w:type="dxa" w:w="2256"/>
          </w:tcPr>
          <w:p>
            <w:pPr>
              <w:spacing w:after="40" w:before="40"/>
            </w:pPr>
            <w:r/>
            <w:r>
              <w:rPr>
                <w:rFonts w:ascii="Times New Roman" w:hAnsi="Times New Roman" w:eastAsia="Times New Roman"/>
                <w:b w:val="0"/>
                <w:i w:val="0"/>
                <w:color w:val="000000"/>
                <w:sz w:val="18"/>
              </w:rPr>
              <w:t>The exact command and file change</w:t>
            </w:r>
          </w:p>
        </w:tc>
        <w:tc>
          <w:tcPr>
            <w:tcW w:type="dxa" w:w="2256"/>
          </w:tcPr>
          <w:p>
            <w:pPr>
              <w:spacing w:after="40" w:before="40"/>
            </w:pPr>
            <w:r/>
            <w:r>
              <w:rPr>
                <w:rFonts w:ascii="Times New Roman" w:hAnsi="Times New Roman" w:eastAsia="Times New Roman"/>
                <w:b w:val="0"/>
                <w:i w:val="0"/>
                <w:color w:val="000000"/>
                <w:sz w:val="18"/>
              </w:rPr>
              <w:t>Approve a hunk, annotate a line, or request a partial rewrite</w:t>
            </w:r>
          </w:p>
        </w:tc>
        <w:tc>
          <w:tcPr>
            <w:tcW w:type="dxa" w:w="2256"/>
          </w:tcPr>
          <w:p>
            <w:pPr>
              <w:spacing w:after="40" w:before="40"/>
            </w:pPr>
            <w:r/>
            <w:r>
              <w:rPr>
                <w:rFonts w:ascii="Times New Roman" w:hAnsi="Times New Roman" w:eastAsia="Times New Roman"/>
                <w:b w:val="0"/>
                <w:i w:val="0"/>
                <w:color w:val="000000"/>
                <w:sz w:val="18"/>
              </w:rPr>
              <w:t>Zhuang et al. (2026), for code</w:t>
            </w:r>
          </w:p>
        </w:tc>
      </w:tr>
      <w:tr>
        <w:tc>
          <w:tcPr>
            <w:tcW w:type="dxa" w:w="2256"/>
          </w:tcPr>
          <w:p>
            <w:pPr>
              <w:spacing w:after="40" w:before="40"/>
            </w:pPr>
            <w:r/>
            <w:r>
              <w:rPr>
                <w:rFonts w:ascii="Times New Roman" w:hAnsi="Times New Roman" w:eastAsia="Times New Roman"/>
                <w:b w:val="0"/>
                <w:i w:val="0"/>
                <w:color w:val="000000"/>
                <w:sz w:val="18"/>
              </w:rPr>
              <w:t>Risk card</w:t>
            </w:r>
          </w:p>
        </w:tc>
        <w:tc>
          <w:tcPr>
            <w:tcW w:type="dxa" w:w="2256"/>
          </w:tcPr>
          <w:p>
            <w:pPr>
              <w:spacing w:after="40" w:before="40"/>
            </w:pPr>
            <w:r/>
            <w:r>
              <w:rPr>
                <w:rFonts w:ascii="Times New Roman" w:hAnsi="Times New Roman" w:eastAsia="Times New Roman"/>
                <w:b w:val="0"/>
                <w:i w:val="0"/>
                <w:color w:val="000000"/>
                <w:sz w:val="18"/>
              </w:rPr>
              <w:t>Source, sensitivity, permission, and consequence, or the true verb, recipient, amount, and provenance</w:t>
            </w:r>
          </w:p>
        </w:tc>
        <w:tc>
          <w:tcPr>
            <w:tcW w:type="dxa" w:w="2256"/>
          </w:tcPr>
          <w:p>
            <w:pPr>
              <w:spacing w:after="40" w:before="40"/>
            </w:pPr>
            <w:r/>
            <w:r>
              <w:rPr>
                <w:rFonts w:ascii="Times New Roman" w:hAnsi="Times New Roman" w:eastAsia="Times New Roman"/>
                <w:b w:val="0"/>
                <w:i w:val="0"/>
                <w:color w:val="000000"/>
                <w:sz w:val="18"/>
              </w:rPr>
              <w:t>Safer-alternative controls in Su et al. (2026). Deny is the prominent control in Irshad et al. (2026). Neither paper reports that a person rewrites the call</w:t>
            </w:r>
          </w:p>
        </w:tc>
        <w:tc>
          <w:tcPr>
            <w:tcW w:type="dxa" w:w="2256"/>
          </w:tcPr>
          <w:p>
            <w:pPr>
              <w:spacing w:after="40" w:before="40"/>
            </w:pPr>
            <w:r/>
            <w:r>
              <w:rPr>
                <w:rFonts w:ascii="Times New Roman" w:hAnsi="Times New Roman" w:eastAsia="Times New Roman"/>
                <w:b w:val="0"/>
                <w:i w:val="0"/>
                <w:color w:val="000000"/>
                <w:sz w:val="18"/>
              </w:rPr>
              <w:t>Su et al. (2026); Irshad et al. (2026)</w:t>
            </w:r>
          </w:p>
        </w:tc>
      </w:tr>
    </w:tbl>
    <w:p/>
    <w:p>
      <w:pPr>
        <w:spacing w:after="160" w:before="0" w:lineRule="auto" w:line="276"/>
      </w:pPr>
      <w:r>
        <w:rPr>
          <w:rFonts w:ascii="Times New Roman" w:hAnsi="Times New Roman" w:eastAsia="Times New Roman"/>
          <w:b w:val="0"/>
          <w:i w:val="0"/>
          <w:color w:val="000000"/>
          <w:sz w:val="24"/>
        </w:rPr>
        <w:t>He et al. (2025) show a stepwise plan and then, in a conversation, the single action the assistant predicts for the current step. The actions are simulated API calls, such as setting an alarm or choosing an itinerary. Feng et al. (2026) show the plan as a list inside the document the researcher is already editing, with a status on each step and the step’s outputs as cards, pills, or text. Mozannar et al. (2025) also show an editable plan. Separately, their action guard prompts the person when a developer has classed the action as always irreversible, such as uploading a file. Actions classed as never irreversible, such as scrolling, run with no prompt. Actions classed as maybe irreversible, such as clicking a button, can be passed to a model that judges whether to ask.</w:t>
      </w:r>
    </w:p>
    <w:p>
      <w:pPr>
        <w:spacing w:after="160" w:before="0" w:lineRule="auto" w:line="276"/>
      </w:pPr>
      <w:r>
        <w:rPr>
          <w:rFonts w:ascii="Times New Roman" w:hAnsi="Times New Roman" w:eastAsia="Times New Roman"/>
          <w:b w:val="0"/>
          <w:i w:val="0"/>
          <w:color w:val="000000"/>
          <w:sz w:val="24"/>
        </w:rPr>
        <w:t>Huq et al. (2025) show the next web action by highlighting the target element and adding a short explanation. Long et al. (2025) and Zhuang et al. (2026) show the email that would be sent. Zhuang et al. also show a proposed command beside an explanation, the affected files, and a unified diff, with the surrounding file available on demand. Yan (2026) shows a written description of each action. Every condition in that study saw the same descriptions; the study did not use live tool calls during the session. Su et al. (2026) specify a card that adds a source-trust label, chips for data sensitivity and permission, a data-flow arrow, a consequence preview, a risk badge, and controls for a safer alternative. Their comparison conditions are a plain agent log and a text-only security warning.</w:t>
      </w:r>
    </w:p>
    <w:p>
      <w:pPr>
        <w:spacing w:after="160" w:before="0" w:lineRule="auto" w:line="276"/>
      </w:pPr>
      <w:r>
        <w:rPr>
          <w:rFonts w:ascii="Times New Roman" w:hAnsi="Times New Roman" w:eastAsia="Times New Roman"/>
          <w:b w:val="0"/>
          <w:i w:val="0"/>
          <w:color w:val="000000"/>
          <w:sz w:val="24"/>
        </w:rPr>
        <w:t>Pochampally et al. (2026) are one case in which the relevant object was missing. Students used a general-purpose agent that could read and write files and send mail. The chat showed reasoning, and a terminal showed file operations. On the email task, the agent sent the message without showing the draft first. S. Zhang et al. (2026), from 221 social-media posts and 21 interviews, describe the same hole in everyday web agents: double purchases and other state changes happened without confirmation, and people resorted to shadowing the cursor. Interviewees wanted a pause, with enough context to decide, when the action was critical. That wish is a design implication in their paper. It is not a tested preview.</w:t>
      </w:r>
    </w:p>
    <w:p>
      <w:pPr>
        <w:spacing w:after="160" w:before="0" w:lineRule="auto" w:line="276"/>
      </w:pPr>
      <w:r>
        <w:rPr>
          <w:rFonts w:ascii="Times New Roman" w:hAnsi="Times New Roman" w:eastAsia="Times New Roman"/>
          <w:b w:val="0"/>
          <w:i w:val="0"/>
          <w:color w:val="000000"/>
          <w:sz w:val="24"/>
        </w:rPr>
        <w:t>Weng (2026) describes a further gap inside dialogs that do appear. In the coding agents the paper characterizes, the confirmation text is written by the agent. A compromised or injected agent can therefore show a benign summary while a different command is the one that will run. The paper’s prototype renders facts taken from the command and marks a command it cannot inspect as uninspectable or high risk, rather than as safe.</w:t>
      </w:r>
    </w:p>
    <w:p>
      <w:pPr>
        <w:spacing w:after="160" w:before="0" w:lineRule="auto" w:line="276"/>
      </w:pPr>
      <w:r>
        <w:rPr>
          <w:rFonts w:ascii="Times New Roman" w:hAnsi="Times New Roman" w:eastAsia="Times New Roman"/>
          <w:b w:val="0"/>
          <w:i w:val="0"/>
          <w:color w:val="000000"/>
          <w:sz w:val="24"/>
        </w:rPr>
        <w:t>Irshad et al. (2026) rebuild that display for a browser. The card is rendered in the browser chrome, not in the page, from the element the executor is about to use. The paper’s example of a disguised transfer shows the verb, the recipient, the amount, a page-origin label, and an elevated-risk flag, and the prominent control is Deny. Q. Zhang (2026) moves the approved object from the tool call to the effect a runtime preview resolves, such as the recipients, rows, or amount that would be committed. The paper does not specify the visual layout of that screen. The approval step asks the user, or a runtime policy in the user’s place, to approve the effect.</w:t>
      </w:r>
    </w:p>
    <w:p>
      <w:pPr>
        <w:spacing w:after="160" w:before="0" w:lineRule="auto" w:line="276"/>
      </w:pPr>
      <w:r>
        <w:rPr>
          <w:rFonts w:ascii="Times New Roman" w:hAnsi="Times New Roman" w:eastAsia="Times New Roman"/>
          <w:b w:val="0"/>
          <w:i w:val="0"/>
          <w:color w:val="000000"/>
          <w:sz w:val="24"/>
        </w:rPr>
        <w:t>The six forms are not substitutes. A plan names steps. A description names an action in words the study prepared, or in words the agent wrote. A draft or a diff shows the content that will leave the machine. A risk card adds why the call might be unsafe. A highlight shows where a click will land, and only for a few seconds. Mozannar et al. (2025) also use a yes-or-no action guard. The paper does not specify how much of the pending action that prompt displays, so the guard is treated as a control on the plan, not as a seventh form.</w:t>
      </w:r>
    </w:p>
    <w:p>
      <w:pPr>
        <w:pStyle w:val="Heading2"/>
        <w:spacing w:before="240" w:after="120"/>
      </w:pPr>
      <w:r>
        <w:t>4.2. What the person can still change</w:t>
      </w:r>
    </w:p>
    <w:p>
      <w:pPr>
        <w:spacing w:after="160" w:before="0" w:lineRule="auto" w:line="276"/>
      </w:pPr>
      <w:r>
        <w:rPr>
          <w:rFonts w:ascii="Times New Roman" w:hAnsi="Times New Roman" w:eastAsia="Times New Roman"/>
          <w:b w:val="0"/>
          <w:i w:val="0"/>
          <w:color w:val="000000"/>
          <w:sz w:val="24"/>
        </w:rPr>
        <w:t>Editing the pending action is present in some studies and absent in others.</w:t>
      </w:r>
    </w:p>
    <w:p>
      <w:pPr>
        <w:spacing w:after="160" w:before="0" w:lineRule="auto" w:line="276"/>
      </w:pPr>
      <w:r>
        <w:rPr>
          <w:rFonts w:ascii="Times New Roman" w:hAnsi="Times New Roman" w:eastAsia="Times New Roman"/>
          <w:b w:val="0"/>
          <w:i w:val="0"/>
          <w:color w:val="000000"/>
          <w:sz w:val="24"/>
        </w:rPr>
        <w:t>He et al. (2025) allow the richest change before a simulated action runs. During planning, the person can edit, add, delete, or split a step. Of 121 participants in the user-involved planning conditions, 104 edited at least one plan. Before execution, the person can type feedback, which causes a new prediction, or choose Specify Action and fill the parameters. Specify Action was used 445 times. Feedback before execution was used 91 times. Feedback after execution was used 163 times.</w:t>
      </w:r>
    </w:p>
    <w:p>
      <w:pPr>
        <w:spacing w:after="160" w:before="0" w:lineRule="auto" w:line="276"/>
      </w:pPr>
      <w:r>
        <w:rPr>
          <w:rFonts w:ascii="Times New Roman" w:hAnsi="Times New Roman" w:eastAsia="Times New Roman"/>
          <w:b w:val="0"/>
          <w:i w:val="0"/>
          <w:color w:val="000000"/>
          <w:sz w:val="24"/>
        </w:rPr>
        <w:t>Feng et al. (2026) let the person edit the plan with ordinary list editing, request an alternative wording, and assign each step to themselves or the agent. In the lab, 32.6 percent of steps were edited and 17.4 percent were reassigned, so most of the agent’s proposed steps were accepted as written. During execution, people deleted 16.3 percent of the output items the agent surfaced. They could also rerun a step after changing it.</w:t>
      </w:r>
    </w:p>
    <w:p>
      <w:pPr>
        <w:spacing w:after="160" w:before="0" w:lineRule="auto" w:line="276"/>
      </w:pPr>
      <w:r>
        <w:rPr>
          <w:rFonts w:ascii="Times New Roman" w:hAnsi="Times New Roman" w:eastAsia="Times New Roman"/>
          <w:b w:val="0"/>
          <w:i w:val="0"/>
          <w:color w:val="000000"/>
          <w:sz w:val="24"/>
        </w:rPr>
        <w:t>Long et al. (2025) let the organizer edit an email draft or ask for it to be regenerated, and they can revise the policies and templates that shape later drafts. Zhuang et al. (2026) go further on code: a person can approve one hunk, annotate a line, or ask for a partial rewrite, rather than accepting or rejecting the whole changeset. Email replies can be rewritten, edited, or deleted by paragraph. Lehmann et al. (2026) show a writing suggestion beside the text it would replace. The person can append it in a review color, edit it, and then approve it. The colored text is already on the page before that approval, so the gate finalizes a visible change rather than holding every keystroke. Kretzer et al. (2025) preview a component recommendation in the assistant. Draw Suggestion is what inserts it into the design file. The paper does not describe editing the components before that click.</w:t>
      </w:r>
    </w:p>
    <w:p>
      <w:pPr>
        <w:spacing w:after="160" w:before="0" w:lineRule="auto" w:line="276"/>
      </w:pPr>
      <w:r>
        <w:rPr>
          <w:rFonts w:ascii="Times New Roman" w:hAnsi="Times New Roman" w:eastAsia="Times New Roman"/>
          <w:b w:val="0"/>
          <w:i w:val="0"/>
          <w:color w:val="000000"/>
          <w:sz w:val="24"/>
        </w:rPr>
        <w:t>The other included interfaces do not describe an edit of the pending action. Mozannar et al. (2025) describe the action guard as a binary approve or disapprove. In their qualitative study, participants asked for a third option. Yan (2026) offers allow or deny on a description, or a standing allow, ask, or never rule for a consequence category. The rule can be set in advance. The action on the screen is not rewritten. Huq et al. (2025) do not edit the suggestion in place. The person pauses and does something else on the page. Su et al. (2026) describe safer-alternative controls and do not report that a person can rewrite the tool arguments. Pochampally et al. (2026) had no preview to edit on the email task. Weng (2026) and Irshad et al. (2026) are about the integrity of the display, not about an editing control. Q. Zhang (2026) does not report that the person can rewrite the resolved effect.</w:t>
      </w:r>
    </w:p>
    <w:p>
      <w:pPr>
        <w:pStyle w:val="Heading2"/>
        <w:spacing w:before="240" w:after="120"/>
      </w:pPr>
      <w:r>
        <w:t>4.3. How a person refuses, and when refusal is missing</w:t>
      </w:r>
    </w:p>
    <w:p>
      <w:pPr>
        <w:spacing w:after="160" w:before="0" w:lineRule="auto" w:line="276"/>
      </w:pPr>
      <w:r>
        <w:rPr>
          <w:rFonts w:ascii="Times New Roman" w:hAnsi="Times New Roman" w:eastAsia="Times New Roman"/>
          <w:b w:val="0"/>
          <w:i w:val="0"/>
          <w:color w:val="000000"/>
          <w:sz w:val="24"/>
        </w:rPr>
        <w:t>Refusal is not one control.</w:t>
      </w:r>
    </w:p>
    <w:p>
      <w:pPr>
        <w:spacing w:after="160" w:before="0" w:lineRule="auto" w:line="276"/>
      </w:pPr>
      <w:r>
        <w:rPr>
          <w:rFonts w:ascii="Times New Roman" w:hAnsi="Times New Roman" w:eastAsia="Times New Roman"/>
          <w:b w:val="0"/>
          <w:i w:val="0"/>
          <w:color w:val="000000"/>
          <w:sz w:val="24"/>
        </w:rPr>
        <w:t>He et al. (2025) require a Proceed click. There is no timeout in the paper. Huq et al. (2025) offer reject and pause, and they also treat silence as acceptance: the highlighted action runs after at most five seconds if the person does not oppose it. Mozannar et al. (2025) ask only for some actions. Always-irreversible actions need a yes or no. Never-irreversible actions do not ask. A model may decide whether a maybe-irreversible action asks at all. Long et al. (2025) and Zhuang et al. (2026) require an explicit confirmation before an email is sent. Yan (2026) denies an action in the moment, or blocks a category with a never rule. An ask rule does not refuse. It postpones the decision until the action appears.</w:t>
      </w:r>
    </w:p>
    <w:p>
      <w:pPr>
        <w:spacing w:after="160" w:before="0" w:lineRule="auto" w:line="276"/>
      </w:pPr>
      <w:r>
        <w:rPr>
          <w:rFonts w:ascii="Times New Roman" w:hAnsi="Times New Roman" w:eastAsia="Times New Roman"/>
          <w:b w:val="0"/>
          <w:i w:val="0"/>
          <w:color w:val="000000"/>
          <w:sz w:val="24"/>
        </w:rPr>
        <w:t>Pochampally et al. (2026) document a task with no refuse step. The email was sent. Afterward, preference for approval prompts on that task averaged 4.65 on a five-point scale, and trust averaged 3.10. The authors report that dissatisfaction followed actions taken beyond what the student would have authorized, including when the output itself was rated successful. They call this delegation regret. Irreversibility together with the fact that another person would see the result, rather than stakes alone, tracked the demand for a confirmation. Students were more willing to let the agent act on low-stakes retrieval and planning.</w:t>
      </w:r>
    </w:p>
    <w:p>
      <w:pPr>
        <w:spacing w:after="160" w:before="0" w:lineRule="auto" w:line="276"/>
      </w:pPr>
      <w:r>
        <w:rPr>
          <w:rFonts w:ascii="Times New Roman" w:hAnsi="Times New Roman" w:eastAsia="Times New Roman"/>
          <w:b w:val="0"/>
          <w:i w:val="0"/>
          <w:color w:val="000000"/>
          <w:sz w:val="24"/>
        </w:rPr>
        <w:t>Mozannar et al. (2025) heard a related distinction from 12 participants who already used agentic systems. People wanted a guard for payment, for sending email, and for subscribing. Several said a guard on adding an item to a cart was unnecessary. Some also said that approving a plan change and then meeting another approval for that same change was too much. The study does not measure how often a needed guard was missing. It does show that participants did not want every action gated, and did not want two gates for one decision.</w:t>
      </w:r>
    </w:p>
    <w:p>
      <w:pPr>
        <w:spacing w:after="160" w:before="0" w:lineRule="auto" w:line="276"/>
      </w:pPr>
      <w:r>
        <w:rPr>
          <w:rFonts w:ascii="Times New Roman" w:hAnsi="Times New Roman" w:eastAsia="Times New Roman"/>
          <w:b w:val="0"/>
          <w:i w:val="0"/>
          <w:color w:val="000000"/>
          <w:sz w:val="24"/>
        </w:rPr>
        <w:t>Yan (2026) compared per-action approval with automated review and with standing rules, using 113 participants without professional software backgrounds and one simulated day of 18 actions, seven of which went beyond the assigned task. Standing rules blocked less overreach than per-action approval, by 20.1 percentage points (95 percent confidence interval −32.1 to −8.1), and less than automated review, by 14.5 percentage points (95 percent confidence interval −25.8 to −3.2). Prompts fell from 18.0 under per-action approval to 10.9 under the policy, but total time was not reliably lower once the time to write the rules was included. Participants chose “ask” for 114 of 140 rules. Of 148 overreach actions that were executed under the policy, 133 followed a human approval and 15 ran because a rule said allow. A rule that preserves the right to decide later does not, by itself, stop the action. People still approved actions outside the original request when those actions were described at runtime.</w:t>
      </w:r>
    </w:p>
    <w:p>
      <w:pPr>
        <w:pStyle w:val="Heading2"/>
        <w:spacing w:before="240" w:after="120"/>
      </w:pPr>
      <w:r>
        <w:t>4.4. Approval integrity</w:t>
      </w:r>
    </w:p>
    <w:p>
      <w:pPr>
        <w:spacing w:after="160" w:before="0" w:lineRule="auto" w:line="276"/>
      </w:pPr>
      <w:r>
        <w:rPr>
          <w:rFonts w:ascii="Times New Roman" w:hAnsi="Times New Roman" w:eastAsia="Times New Roman"/>
          <w:b w:val="0"/>
          <w:i w:val="0"/>
          <w:color w:val="000000"/>
          <w:sz w:val="24"/>
        </w:rPr>
        <w:t>Approval integrity is the property that the object the person approved is the object that executes. A button, a dialog, or a setting can record that the person agreed, and the run can still perform a different action. This column of the sheet is thin. The thinness is the finding. The other results describe whether a preview exists. This one asks whether the preview still holds when the action runs.</w:t>
      </w:r>
    </w:p>
    <w:p>
      <w:pPr>
        <w:spacing w:after="160" w:before="0" w:lineRule="auto" w:line="276"/>
      </w:pPr>
      <w:r>
        <w:rPr>
          <w:rFonts w:ascii="Times New Roman" w:hAnsi="Times New Roman" w:eastAsia="Times New Roman"/>
          <w:b w:val="0"/>
          <w:i w:val="0"/>
          <w:color w:val="000000"/>
          <w:sz w:val="24"/>
        </w:rPr>
        <w:t>He et al. (2025) execute the prediction the person has just seen, inside a simulation, and do not describe a later substitution. Feng et al. (2026) execute the current text of a step. Long et al. (2025) send the draft the organizer has read, in the deployments that used live mail, and do not describe a technical check against a rewritten payload. Zhuang et al. (2026), Mozannar et al. (2025), Yan (2026), Su et al. (2026), Pochampally et al. (2026), S. Zhang et al. (2026), Lehmann et al. (2026), and Kretzer et al. (2025) do not report a binding between the approved object and the executed call. Yan’s session could not diverge, because the descriptions were fixed by the researchers before anyone arrived.</w:t>
      </w:r>
    </w:p>
    <w:p>
      <w:pPr>
        <w:spacing w:after="160" w:before="0" w:lineRule="auto" w:line="276"/>
      </w:pPr>
      <w:r>
        <w:rPr>
          <w:rFonts w:ascii="Times New Roman" w:hAnsi="Times New Roman" w:eastAsia="Times New Roman"/>
          <w:b w:val="0"/>
          <w:i w:val="0"/>
          <w:color w:val="000000"/>
          <w:sz w:val="24"/>
        </w:rPr>
        <w:t>Huq et al. (2025) are the explicit counterexample to a binding. The displayed suggestion runs if the person is silent for at most five seconds. Acceptance is the absence of a rejection, not a decision attached to a frozen action.</w:t>
      </w:r>
    </w:p>
    <w:p>
      <w:pPr>
        <w:spacing w:after="160" w:before="0" w:lineRule="auto" w:line="276"/>
      </w:pPr>
      <w:r>
        <w:rPr>
          <w:rFonts w:ascii="Times New Roman" w:hAnsi="Times New Roman" w:eastAsia="Times New Roman"/>
          <w:b w:val="0"/>
          <w:i w:val="0"/>
          <w:color w:val="000000"/>
          <w:sz w:val="24"/>
        </w:rPr>
        <w:t>Three included papers prototype a check. They do not prototype the same check.</w:t>
      </w:r>
    </w:p>
    <w:p>
      <w:pPr>
        <w:spacing w:after="160" w:before="0" w:lineRule="auto" w:line="276"/>
      </w:pPr>
      <w:r>
        <w:rPr>
          <w:rFonts w:ascii="Times New Roman" w:hAnsi="Times New Roman" w:eastAsia="Times New Roman"/>
          <w:b w:val="0"/>
          <w:i w:val="0"/>
          <w:color w:val="000000"/>
          <w:sz w:val="24"/>
        </w:rPr>
        <w:t>Weng (2026) names the property for coding agents and prototypes a hash. The dialog should be rendered from the command that will run, by a component the agent cannot rewrite, and execution of a different command should fail. In the prototype, three post-approval swaps were refused because a hash of the executed action differed from the approved action. The paper states that this holds only when every execution path is mediated. On a set of 11 standard and 11 adaptive cases in which the agent wrote the narration, a narration-trusting dialog approved every case, and the prototype flagged them. Those figures evaluate the prototype. They are not a user study of whether people notice a mismatch.</w:t>
      </w:r>
    </w:p>
    <w:p>
      <w:pPr>
        <w:spacing w:after="160" w:before="0" w:lineRule="auto" w:line="276"/>
      </w:pPr>
      <w:r>
        <w:rPr>
          <w:rFonts w:ascii="Times New Roman" w:hAnsi="Times New Roman" w:eastAsia="Times New Roman"/>
          <w:b w:val="0"/>
          <w:i w:val="0"/>
          <w:color w:val="000000"/>
          <w:sz w:val="24"/>
        </w:rPr>
        <w:t>Irshad et al. (2026) build on that account of consent integrity and implement a second check in an agentic browser. At approval, the card records the recipient and the amount read from the pending action. At dispatch, the outgoing request is read again, and a material difference aborts the action and raises the card again. On a 24-scenario benchmark, attack success without the card ranged from 68 percent to 100 percent across the evaluated models. With the card, attack success was 0 percent on every model, legitimate-task completion was 78 percent, and the false-block rate was 0 percent. The paper reports no user study. The check is the re-read at dispatch, not the presence of a card.</w:t>
      </w:r>
    </w:p>
    <w:p>
      <w:pPr>
        <w:spacing w:after="160" w:before="0" w:lineRule="auto" w:line="276"/>
      </w:pPr>
      <w:r>
        <w:rPr>
          <w:rFonts w:ascii="Times New Roman" w:hAnsi="Times New Roman" w:eastAsia="Times New Roman"/>
          <w:b w:val="0"/>
          <w:i w:val="0"/>
          <w:color w:val="000000"/>
          <w:sz w:val="24"/>
        </w:rPr>
        <w:t>Q. Zhang (2026) argues that approving the tool call is the wrong boundary. The same approved call can commit a different effect after alias expansion, query re-evaluation, default-argument resolution, a mutable pointer, or state drift. The paper calls this stale consent. EffectGuard previews the effect at approval time, stores the consent predicate, and revalidates the effect immediately before execution. Across 1,500 valid proposals from two models, the runs produced 574 broadened-effect exposures. A no-approval baseline committed all 574. A static effect policy committed 420. Resolved-argument approval applied to 984 proposals. Under a complete runtime preview, EffectGuard committed no unsafe effects, and its unnecessary-block rate was 0.0 percent. A field-scoped snapshot blocked 388 benign cases. In a 100-case recovery pilot, unsafe final states were 0, and the agent recovered 8 of 50 blocked tasks. In 34 of those 50, the agent declined to continue without renewed approval. These figures are from the workshop PDF. They are not a user study, and the PDF does not specify the visual layout of the screen. An earlier abstract on the workshop web page reported 1,377 proposals and a 7.8 percent unsafe rate.</w:t>
      </w:r>
    </w:p>
    <w:p>
      <w:pPr>
        <w:spacing w:after="160" w:before="0" w:lineRule="auto" w:line="276"/>
      </w:pPr>
      <w:r>
        <w:rPr>
          <w:rFonts w:ascii="Times New Roman" w:hAnsi="Times New Roman" w:eastAsia="Times New Roman"/>
          <w:b w:val="0"/>
          <w:i w:val="0"/>
          <w:color w:val="000000"/>
          <w:sz w:val="24"/>
        </w:rPr>
        <w:t>The same failure is named outside the extraction. Y. Wang (2026) separates six ways a coding-agent harness can substitute a different action after approval. Kumar (2026) distinguishes a misrepresented operation at approval time from a substitution after the person has seen the right one. J. Zhang et al. (2026) show a record that names the approved command while the workflow it launches writes files or uses the network. Z. Wang (2026a) argues that what was approved has to be a canonical action identity a later verifier can reproduce, not whichever runtime record is at hand. Zhu et al. (2026) show that the action presented for approval is often not the object ultimately consumed, because a reload, a rebinding, or a later lookup can reconstruct it before execution. Zihao Zheng et al. (2026) separate a state change that breaks a safety predicate from one that does not: freshness checks blocked 92 to 95 percent of benign races, and a predicate check blocked none. Kollia (2026) separates a recorded approval from the authority that still holds at execution. Michael and Roesner (2026) observed a commercial agent proceed under a setting that said approval was required. Together these papers sharpen the claim. A confirmation can fail because the text was written by the agent, because the page changed before dispatch, because the effect drifted after the call was approved, because the record never named the effects the command would launch, or because the approved representation was reconstructed before it ran. None of those papers is a user test of whether people notice the mismatch.</w:t>
      </w:r>
    </w:p>
    <w:p>
      <w:pPr>
        <w:pStyle w:val="Heading2"/>
        <w:spacing w:before="240" w:after="120"/>
      </w:pPr>
      <w:r>
        <w:t>4.5. What the studies report about these designs</w:t>
      </w:r>
    </w:p>
    <w:p>
      <w:pPr>
        <w:spacing w:after="160" w:before="0" w:lineRule="auto" w:line="276"/>
      </w:pPr>
      <w:r>
        <w:rPr>
          <w:rFonts w:ascii="Times New Roman" w:hAnsi="Times New Roman" w:eastAsia="Times New Roman"/>
          <w:b w:val="0"/>
          <w:i w:val="0"/>
          <w:color w:val="000000"/>
          <w:sz w:val="24"/>
        </w:rPr>
        <w:t>The studies do not agree on a single benefit of showing the action, because most of them did not compare preview designs.</w:t>
      </w:r>
    </w:p>
    <w:p>
      <w:pPr>
        <w:spacing w:after="160" w:before="0" w:lineRule="auto" w:line="276"/>
      </w:pPr>
      <w:r>
        <w:rPr>
          <w:rFonts w:ascii="Times New Roman" w:hAnsi="Times New Roman" w:eastAsia="Times New Roman"/>
          <w:b w:val="0"/>
          <w:i w:val="0"/>
          <w:color w:val="000000"/>
          <w:sz w:val="24"/>
        </w:rPr>
        <w:t>He et al. (2025) did compare user-involved planning and execution with automatic planning and execution, in a factorial experiment with 248 participants. Involving the user did not raise calibrated trust. Confidence was lower when people took part in planning, and lower when they took part in execution. A performance benefit from taking part in execution was significant on one task, where the assistant had chosen the wrong itinerary and the person could correct it. The authors state that this pattern is not enough to support a general claim that user-involved execution improves task performance. Seeing and correcting the action helped when the assistant was wrong in a way the person could fix. It did not, in this study, make people more trusting.</w:t>
      </w:r>
    </w:p>
    <w:p>
      <w:pPr>
        <w:spacing w:after="160" w:before="0" w:lineRule="auto" w:line="276"/>
      </w:pPr>
      <w:r>
        <w:rPr>
          <w:rFonts w:ascii="Times New Roman" w:hAnsi="Times New Roman" w:eastAsia="Times New Roman"/>
          <w:b w:val="0"/>
          <w:i w:val="0"/>
          <w:color w:val="000000"/>
          <w:sz w:val="24"/>
        </w:rPr>
        <w:t>Feng et al. (2026) show that people will edit a minority of steps and accept most of them. The study compares the document agent with a chat baseline. It does not isolate the effect of the preview. Huq et al. (2025) report a 95 percent success rate in collaborative case studies, with humans performing 15.2 percent of the steps. That result describes the extension. It does not test the five-second timeout against an explicit confirmation. Mozannar et al. (2025) report a System Usability Scale score of 74.58 and the preferences in Section 4.3. The study is qualitative, with 12 participants. Long et al. (2025) report that lab participants delegated more after they had rehearsed with simulated respondents and could see and edit the emails. They do not report a statistical test of the preview.</w:t>
      </w:r>
    </w:p>
    <w:p>
      <w:pPr>
        <w:spacing w:after="160" w:before="0" w:lineRule="auto" w:line="276"/>
      </w:pPr>
      <w:r>
        <w:rPr>
          <w:rFonts w:ascii="Times New Roman" w:hAnsi="Times New Roman" w:eastAsia="Times New Roman"/>
          <w:b w:val="0"/>
          <w:i w:val="0"/>
          <w:color w:val="000000"/>
          <w:sz w:val="24"/>
        </w:rPr>
        <w:t>Pochampally et al. (2026) provide the clearest report of a missing preview: regret attached to the fact of sending, not only to the quality of the text. Su et al. (2026) compared cards with logs and warnings on saved traces. Where an injection goal had been executed, a proxy marked the risk card as approved on 3.8 percent of those traces, the plain log on 13.0 percent, and the text warning on 5.9 percent. The authors describe the scorer as a proxy for how much risk-relevant information is exposed. They do not claim that people would approve at those rates.</w:t>
      </w:r>
    </w:p>
    <w:p>
      <w:pPr>
        <w:spacing w:after="160" w:before="0" w:lineRule="auto" w:line="276"/>
      </w:pPr>
      <w:r>
        <w:rPr>
          <w:rFonts w:ascii="Times New Roman" w:hAnsi="Times New Roman" w:eastAsia="Times New Roman"/>
          <w:b w:val="0"/>
          <w:i w:val="0"/>
          <w:color w:val="000000"/>
          <w:sz w:val="24"/>
        </w:rPr>
        <w:t>Yan (2026) is the study that compares ways of deciding. Per-action approval blocked more overreach than standing rules. The cost was more prompts. Standing rules reduced prompts without a reliable saving in total time, and most rules handed the decision back to the person at runtime, where overreach was often approved.</w:t>
      </w:r>
    </w:p>
    <w:p>
      <w:pPr>
        <w:spacing w:after="160" w:before="0" w:lineRule="auto" w:line="276"/>
      </w:pPr>
      <w:r>
        <w:rPr>
          <w:rFonts w:ascii="Times New Roman" w:hAnsi="Times New Roman" w:eastAsia="Times New Roman"/>
          <w:b w:val="0"/>
          <w:i w:val="0"/>
          <w:color w:val="000000"/>
          <w:sz w:val="24"/>
        </w:rPr>
        <w:t>Irshad et al. (2026) and Q. Zhang (2026) compare a binding check with a confirmation that does not have one. Both comparisons are technical evaluations. Neither asks a person whether the card or the resolved effect was understandable.</w:t>
      </w:r>
    </w:p>
    <w:p>
      <w:pPr>
        <w:pStyle w:val="Heading1"/>
        <w:spacing w:before="320" w:after="120"/>
      </w:pPr>
      <w:r>
        <w:t>5. Design propositions</w:t>
      </w:r>
    </w:p>
    <w:p>
      <w:pPr>
        <w:spacing w:after="160" w:before="0" w:lineRule="auto" w:line="276"/>
      </w:pPr>
      <w:r>
        <w:rPr>
          <w:rFonts w:ascii="Times New Roman" w:hAnsi="Times New Roman" w:eastAsia="Times New Roman"/>
          <w:b w:val="0"/>
          <w:i w:val="0"/>
          <w:color w:val="000000"/>
          <w:sz w:val="24"/>
        </w:rPr>
        <w:t>The statements in this section are design propositions read from the extraction sheet. They are not empirically validated design principles. No included study tested them as a set. Only He et al. (2025) and Yan (2026) report experiments with participants, and those experiments compare involvement or permission regimes, not the six preview forms against one another. The propositions say what a designer can take from fifteen heterogeneous studies, and where that reading has to stop.</w:t>
      </w:r>
    </w:p>
    <w:p>
      <w:pPr>
        <w:spacing w:after="160" w:before="0" w:lineRule="auto" w:line="276"/>
      </w:pPr>
      <w:r>
        <w:rPr>
          <w:rFonts w:ascii="Times New Roman" w:hAnsi="Times New Roman" w:eastAsia="Times New Roman"/>
          <w:b/>
          <w:i w:val="0"/>
          <w:color w:val="000000"/>
          <w:sz w:val="24"/>
        </w:rPr>
        <w:t>Show the thing that will change.</w:t>
      </w:r>
      <w:r>
        <w:rPr>
          <w:rFonts w:ascii="Times New Roman" w:hAnsi="Times New Roman" w:eastAsia="Times New Roman"/>
          <w:b w:val="0"/>
          <w:i w:val="0"/>
          <w:color w:val="000000"/>
          <w:sz w:val="24"/>
        </w:rPr>
        <w:t xml:space="preserve"> A plan, a prose description, and a draft are different objects. Pochampally et al. (2026) found regret when an email left without the draft having been shown. Long et al. (2025) and Zhuang et al. (2026) show that draft. Zhuang et al. show the command and the diff for code. Huq et al. (2025) show the element that will be clicked. Su et al. (2026) add the consequence and the source of the instruction, which matters when the action may have been shaped by content the agent read rather than by the person’s request. A screen that only says the name of a tool does not, on this evidence, show the action.</w:t>
      </w:r>
    </w:p>
    <w:p>
      <w:pPr>
        <w:spacing w:after="160" w:before="0" w:lineRule="auto" w:line="276"/>
      </w:pPr>
      <w:r>
        <w:rPr>
          <w:rFonts w:ascii="Times New Roman" w:hAnsi="Times New Roman" w:eastAsia="Times New Roman"/>
          <w:b/>
          <w:i w:val="0"/>
          <w:color w:val="000000"/>
          <w:sz w:val="24"/>
        </w:rPr>
        <w:t>Ask in proportion to the consequence, and make the ask explicit when the action is hard to undo or will be seen by someone else.</w:t>
      </w:r>
      <w:r>
        <w:rPr>
          <w:rFonts w:ascii="Times New Roman" w:hAnsi="Times New Roman" w:eastAsia="Times New Roman"/>
          <w:b w:val="0"/>
          <w:i w:val="0"/>
          <w:color w:val="000000"/>
          <w:sz w:val="24"/>
        </w:rPr>
        <w:t xml:space="preserve"> Mozannar et al. (2025) heard that payment, email, and subscription warranted a guard, and that adding to a cart often did not. Pochampally et al. (2026) found the demand for approval where the action was irreversible and externally visible. S. Zhang et al. (2026) report that people were comfortable with agents scrolling or reading, and anxious when the agent approached money, identity, account settings, or irreversible submissions. The authors recommend explicit confirmation for payments, identity, and outbound messages. He et al. (2025) required a Proceed click. Huq et al. (2025) show the other pattern: the suggestion runs if the person is silent for five seconds. None of the user studies compared that timeout with an explicit decision. Until that comparison exists, a timeout should not be treated as equivalent to approval for an action the person cannot easily undo.</w:t>
      </w:r>
    </w:p>
    <w:p>
      <w:pPr>
        <w:spacing w:after="160" w:before="0" w:lineRule="auto" w:line="276"/>
      </w:pPr>
      <w:r>
        <w:rPr>
          <w:rFonts w:ascii="Times New Roman" w:hAnsi="Times New Roman" w:eastAsia="Times New Roman"/>
          <w:b/>
          <w:i w:val="0"/>
          <w:color w:val="000000"/>
          <w:sz w:val="24"/>
        </w:rPr>
        <w:t>Let the person change the pending action.</w:t>
      </w:r>
      <w:r>
        <w:rPr>
          <w:rFonts w:ascii="Times New Roman" w:hAnsi="Times New Roman" w:eastAsia="Times New Roman"/>
          <w:b w:val="0"/>
          <w:i w:val="0"/>
          <w:color w:val="000000"/>
          <w:sz w:val="24"/>
        </w:rPr>
        <w:t xml:space="preserve"> A binary guard was not enough for participants in Mozannar et al. (2025), who asked for a third option. He et al. (2025) already offer feedback and a way to specify the action. Zhuang et al. (2026) offer hunk-level approval and line notes. Long et al. (2025) offer edit and regenerate on the draft. Yan (2026) show the limit of allow and deny: people still approved overreach when the only choices were to let a described action through or block it. Editing is part of the decision, not a convenience beside it.</w:t>
      </w:r>
    </w:p>
    <w:p>
      <w:pPr>
        <w:spacing w:after="160" w:before="0" w:lineRule="auto" w:line="276"/>
      </w:pPr>
      <w:r>
        <w:rPr>
          <w:rFonts w:ascii="Times New Roman" w:hAnsi="Times New Roman" w:eastAsia="Times New Roman"/>
          <w:b/>
          <w:i w:val="0"/>
          <w:color w:val="000000"/>
          <w:sz w:val="24"/>
        </w:rPr>
        <w:t>A standing rule does not replace this screen.</w:t>
      </w:r>
      <w:r>
        <w:rPr>
          <w:rFonts w:ascii="Times New Roman" w:hAnsi="Times New Roman" w:eastAsia="Times New Roman"/>
          <w:b w:val="0"/>
          <w:i w:val="0"/>
          <w:color w:val="000000"/>
          <w:sz w:val="24"/>
        </w:rPr>
        <w:t xml:space="preserve"> Yan (2026) found that user-written allow, ask, and never rules blocked less overreach than deciding each action, largely because people chose ask and then approved. An ask rule is a promise to show the later action. If that later screen is only a short description, the rule has postponed a weak decision.</w:t>
      </w:r>
    </w:p>
    <w:p>
      <w:pPr>
        <w:spacing w:after="160" w:before="0" w:lineRule="auto" w:line="276"/>
      </w:pPr>
      <w:r>
        <w:rPr>
          <w:rFonts w:ascii="Times New Roman" w:hAnsi="Times New Roman" w:eastAsia="Times New Roman"/>
          <w:b/>
          <w:i w:val="0"/>
          <w:color w:val="000000"/>
          <w:sz w:val="24"/>
        </w:rPr>
        <w:t>Treat approval integrity as the headline requirement.</w:t>
      </w:r>
      <w:r>
        <w:rPr>
          <w:rFonts w:ascii="Times New Roman" w:hAnsi="Times New Roman" w:eastAsia="Times New Roman"/>
          <w:b w:val="0"/>
          <w:i w:val="0"/>
          <w:color w:val="000000"/>
          <w:sz w:val="24"/>
        </w:rPr>
        <w:t xml:space="preserve"> Three included papers prototype a check, and they bind different objects. Weng (2026) hashes the command. Irshad et al. (2026) re-read the browser action at dispatch. Q. Zhang (2026) revalidates the resolved effect, on the argument that an unchanged tool call can still commit a different effect. The other included papers do not report that check. A dialog written by the agent, or a setting named “needs approval” that does not pause (Michael &amp; Roesner, 2026), can produce a record of consent for an action the person did not see. This proposition is the least tested with users in the set, and it is the one that most changes what a confirmation dialog is assumed to mean.</w:t>
      </w:r>
    </w:p>
    <w:p>
      <w:pPr>
        <w:spacing w:after="160" w:before="0" w:lineRule="auto" w:line="276"/>
      </w:pPr>
      <w:r>
        <w:rPr>
          <w:rFonts w:ascii="Times New Roman" w:hAnsi="Times New Roman" w:eastAsia="Times New Roman"/>
          <w:b/>
          <w:i w:val="0"/>
          <w:color w:val="000000"/>
          <w:sz w:val="24"/>
        </w:rPr>
        <w:t>Treat undo after the fact as an open gap.</w:t>
      </w:r>
      <w:r>
        <w:rPr>
          <w:rFonts w:ascii="Times New Roman" w:hAnsi="Times New Roman" w:eastAsia="Times New Roman"/>
          <w:b w:val="0"/>
          <w:i w:val="0"/>
          <w:color w:val="000000"/>
          <w:sz w:val="24"/>
        </w:rPr>
        <w:t xml:space="preserve"> He et al. (2025) let people retry a simulated step. Feng et al. (2026) let people rerun a step. Mozannar et al. (2025) heard requests to revise a completed step and continue from there. No included paper describes recalling a sent email or reversing a payment from the approval surface. For those actions, the preview is the control. The studies do not show a recovery path after the action has left.</w:t>
      </w:r>
    </w:p>
    <w:p>
      <w:pPr>
        <w:pStyle w:val="Heading1"/>
        <w:spacing w:before="320" w:after="120"/>
      </w:pPr>
      <w:r>
        <w:t>6. Discussion</w:t>
      </w:r>
    </w:p>
    <w:p>
      <w:pPr>
        <w:spacing w:after="160" w:before="0" w:lineRule="auto" w:line="276"/>
      </w:pPr>
      <w:r>
        <w:rPr>
          <w:rFonts w:ascii="Times New Roman" w:hAnsi="Times New Roman" w:eastAsia="Times New Roman"/>
          <w:b w:val="0"/>
          <w:i w:val="0"/>
          <w:color w:val="000000"/>
          <w:sz w:val="24"/>
        </w:rPr>
        <w:t>The propositions in Section 5 need a reason for existing beyond the extraction sheet. Approval is a mixed-initiative handoff. Horvitz (1999) treated initiative as something a system should take or give back under uncertainty, and treated the cost of an interruption as part of that decision. A preview is the surface at which initiative returns to the person. The six forms differ in what is handed back. A plan hands back a sequence. A draft or a diff hands back the object that will leave the machine. A timeout, as in Huq et al. (2025), takes the initiative back if the person is still.</w:t>
      </w:r>
    </w:p>
    <w:p>
      <w:pPr>
        <w:spacing w:after="160" w:before="0" w:lineRule="auto" w:line="276"/>
      </w:pPr>
      <w:r>
        <w:rPr>
          <w:rFonts w:ascii="Times New Roman" w:hAnsi="Times New Roman" w:eastAsia="Times New Roman"/>
          <w:b w:val="0"/>
          <w:i w:val="0"/>
          <w:color w:val="000000"/>
          <w:sz w:val="24"/>
        </w:rPr>
        <w:t>Parasuraman, Sheridan, and Wickens (2000) separate automation of information acquisition, analysis, decision selection, and action implementation. Preview and approval sit on the last of these. The agent has already selected an action. The open question is whether the person still authorizes the implementation, and on the basis of which information. P. Wang, Li, and Tian (2026) code that information. This review asks the next question: once the person has authorized it, does the implementation remain the authorized one.</w:t>
      </w:r>
    </w:p>
    <w:p>
      <w:pPr>
        <w:spacing w:after="160" w:before="0" w:lineRule="auto" w:line="276"/>
      </w:pPr>
      <w:r>
        <w:rPr>
          <w:rFonts w:ascii="Times New Roman" w:hAnsi="Times New Roman" w:eastAsia="Times New Roman"/>
          <w:b w:val="0"/>
          <w:i w:val="0"/>
          <w:color w:val="000000"/>
          <w:sz w:val="24"/>
        </w:rPr>
        <w:t>Amershi et al. (2019) ask designers to show contextually relevant information and to make correction and dismissal efficient. The extraction says where current agent approvals meet those guidelines and where they do not. Editing a plan or a draft is a correction. A binary allow on a short description is a dismissal with nowhere to correct. The guidelines do not, by themselves, require the approved object and the executed object to be the same. That requirement comes from a different literature.</w:t>
      </w:r>
    </w:p>
    <w:p>
      <w:pPr>
        <w:spacing w:after="160" w:before="0" w:lineRule="auto" w:line="276"/>
      </w:pPr>
      <w:r>
        <w:rPr>
          <w:rFonts w:ascii="Times New Roman" w:hAnsi="Times New Roman" w:eastAsia="Times New Roman"/>
          <w:b w:val="0"/>
          <w:i w:val="0"/>
          <w:color w:val="000000"/>
          <w:sz w:val="24"/>
        </w:rPr>
        <w:t>Weng (2026) adapts “what you see is what you sign” from digital signatures: a trusted display should show the object being authorized, so that a compromised component cannot describe a different one. Irshad et al. (2026) use the same idea for a browser card. Q. Zhang (2026) tightens it. Seeing the tool call, and even binding approval to that call, is not enough when the call’s effect can change before it commits. Stale consent is approval integrity applied to state, not only to a swapped command.</w:t>
      </w:r>
    </w:p>
    <w:p>
      <w:pPr>
        <w:spacing w:after="160" w:before="0" w:lineRule="auto" w:line="276"/>
      </w:pPr>
      <w:r>
        <w:rPr>
          <w:rFonts w:ascii="Times New Roman" w:hAnsi="Times New Roman" w:eastAsia="Times New Roman"/>
          <w:b w:val="0"/>
          <w:i w:val="0"/>
          <w:color w:val="000000"/>
          <w:sz w:val="24"/>
        </w:rPr>
        <w:t>Warning research says a faithful dialog can still fail. Felt et al. (2015) redesigned browser SSL warnings and reported that the redesign did not achieve their comprehension goal, while more users chose the safer action. They attributed the change to an opinionated design. P. Wang, Li, and Tian (2026) already place runtime approval next to that kind of fatigue: repeated prompts train a click. Approval integrity and habituation are different failures. The first is a mismatch between the approved object and the executed one. The second is a person who no longer reads a match. The prototypes in this corpus test the first. They do not test the second. The propositions remain a reading of fifteen studies, not a framework those studies validated.</w:t>
      </w:r>
    </w:p>
    <w:p>
      <w:pPr>
        <w:pStyle w:val="Heading1"/>
        <w:spacing w:before="320" w:after="120"/>
      </w:pPr>
      <w:r>
        <w:t>7. Limitations</w:t>
      </w:r>
    </w:p>
    <w:p>
      <w:pPr>
        <w:spacing w:after="160" w:before="0" w:lineRule="auto" w:line="276"/>
      </w:pPr>
      <w:r>
        <w:rPr>
          <w:rFonts w:ascii="Times New Roman" w:hAnsi="Times New Roman" w:eastAsia="Times New Roman"/>
          <w:b w:val="0"/>
          <w:i w:val="0"/>
          <w:color w:val="000000"/>
          <w:sz w:val="24"/>
        </w:rPr>
        <w:t xml:space="preserve">The author searched, screened, and extracted all records, with the model assistance disclosed below. A second reviewer could have included or excluded borderline papers differently. The first two passes were public web searches on a single day, and their hit totals were not kept. The second pass opened ACM Digital Library and IEEE Xplore pages. Those were not institutional exports. Scopus and Web of Science were not searched. The third pass recorded arXiv API totals for </w:t>
      </w:r>
      <w:r>
        <w:rPr>
          <w:rFonts w:ascii="Consolas" w:hAnsi="Consolas" w:eastAsia="Consolas"/>
          <w:b w:val="0"/>
          <w:i w:val="0"/>
          <w:color w:val="000000"/>
          <w:sz w:val="22"/>
        </w:rPr>
        <w:t>cs.HC</w:t>
      </w:r>
      <w:r>
        <w:rPr>
          <w:rFonts w:ascii="Times New Roman" w:hAnsi="Times New Roman" w:eastAsia="Times New Roman"/>
          <w:b w:val="0"/>
          <w:i w:val="0"/>
          <w:color w:val="000000"/>
          <w:sz w:val="24"/>
        </w:rPr>
        <w:t xml:space="preserve"> (19) and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(111) and scanned titles, but it did not assess all 111 records in full text. A direct ACM Digital Library search returned a bot check and no hit count. Semantic Scholar listed 91 works citing He et al. (2025), of which the first 50 titles were scanned. Citing lists for Weng (2026) and Mozannar et al. (2025) were not retrieved. Papers indexed only in Scopus, Web of Science, or a complete ACM export can still be missing. The Q. Zhang (2026) workshop PDF was read on 2 October 2026, and it replaces the counts in an earlier web-page abstract. A fourth pass on 1 October searched OpenAlex and assessed 27 further records, all excluded. The approval-binding security literature is still expanding, and the integrity cluster in this review is a snapshot as of 1 October 2026.</w:t>
      </w:r>
    </w:p>
    <w:p>
      <w:pPr>
        <w:spacing w:after="160" w:before="0" w:lineRule="auto" w:line="276"/>
      </w:pPr>
      <w:r>
        <w:rPr>
          <w:rFonts w:ascii="Times New Roman" w:hAnsi="Times New Roman" w:eastAsia="Times New Roman"/>
          <w:b w:val="0"/>
          <w:i w:val="0"/>
          <w:color w:val="000000"/>
          <w:sz w:val="24"/>
        </w:rPr>
        <w:t>Seven of the fifteen included papers are preprints. Huq et al. (2025) and Zhuang et al. (2026) are system descriptions or demonstrations, not comparative user studies. Su et al. (2026) score traces with a proxy. Weng (2026), Irshad et al. (2026), and Q. Zhang (2026) evaluate security prototypes, not whether people notice a mismatched approval. The qualitative studies have 10 and 12 participants. Only He et al. (2025) and Yan (2026) report experimental comparisons with participants, and they compare involvement or permission regimes, not a factorial set of preview layouts. Section 5 is therefore a set of design propositions from heterogeneous reports. It is not an estimate of how often a control works, and it is not a validated design framework.</w:t>
      </w:r>
    </w:p>
    <w:p>
      <w:pPr>
        <w:spacing w:after="160" w:before="0" w:lineRule="auto" w:line="276"/>
      </w:pPr>
      <w:r>
        <w:rPr>
          <w:rFonts w:ascii="Times New Roman" w:hAnsi="Times New Roman" w:eastAsia="Times New Roman"/>
          <w:b w:val="0"/>
          <w:i w:val="0"/>
          <w:color w:val="000000"/>
          <w:sz w:val="24"/>
        </w:rPr>
        <w:t>The author used a generative model, through Cursor, to search, propose screening decisions and extraction entries, and draft. That use is disclosed below. The model is not an author.</w:t>
      </w:r>
    </w:p>
    <w:p>
      <w:pPr>
        <w:pStyle w:val="Heading1"/>
        <w:spacing w:before="320" w:after="120"/>
      </w:pPr>
      <w:r>
        <w:t>8. Conclusion</w:t>
      </w:r>
    </w:p>
    <w:p>
      <w:pPr>
        <w:spacing w:after="160" w:before="0" w:lineRule="auto" w:line="276"/>
      </w:pPr>
      <w:r>
        <w:rPr>
          <w:rFonts w:ascii="Times New Roman" w:hAnsi="Times New Roman" w:eastAsia="Times New Roman"/>
          <w:b w:val="0"/>
          <w:i w:val="0"/>
          <w:color w:val="000000"/>
          <w:sz w:val="24"/>
        </w:rPr>
        <w:t>The synthesis distinguishes three claims that are easy to collapse. A preview can take one of six forms: a plan, a highlight, a description, a draft, a diff, or a risk card. A control can let the person edit, refuse, or merely watch. Approval integrity is a further property: the object that was approved is the object that runs. Three included papers prototype a check on that property. Weng (2026) hashes the command. Irshad et al. (2026) re-read the browser action at dispatch. Q. Zhang (2026) revalidates the resolved effect, because an approved tool call can still commit a different effect after state changes. The other included studies do not report such a check. Two studies showed consequential actions with no usable preview: an email sent without a draft, and web actions such as purchases taken without a confirmation the person could inspect.</w:t>
      </w:r>
    </w:p>
    <w:p>
      <w:pPr>
        <w:spacing w:after="160" w:before="0" w:lineRule="auto" w:line="276"/>
      </w:pPr>
      <w:r>
        <w:rPr>
          <w:rFonts w:ascii="Times New Roman" w:hAnsi="Times New Roman" w:eastAsia="Times New Roman"/>
          <w:b w:val="0"/>
          <w:i w:val="0"/>
          <w:color w:val="000000"/>
          <w:sz w:val="24"/>
        </w:rPr>
        <w:t>From that reading, the review offers a design proposition, not a tested rule. The person should see the action that will happen, be able to change or refuse it, and have that decision apply to the action that runs. The last clause is approval integrity. It now has three technical prototypes and still has the least support from user studies in this corpus. Undo after an external action is not established here. A comparison of the six forms on the same consequential action, with a test of whether the approved object is the object that executes and whether people still read the dialog, is the study this review does not provide.</w:t>
      </w:r>
    </w:p>
    <w:p>
      <w:pPr>
        <w:pStyle w:val="Heading1"/>
        <w:spacing w:before="320" w:after="120"/>
      </w:pPr>
      <w:r>
        <w:t>Acknowledgements</w:t>
      </w:r>
    </w:p>
    <w:p>
      <w:pPr>
        <w:spacing w:after="160" w:before="0" w:lineRule="auto" w:line="276"/>
      </w:pPr>
      <w:r>
        <w:rPr>
          <w:rFonts w:ascii="Times New Roman" w:hAnsi="Times New Roman" w:eastAsia="Times New Roman"/>
          <w:b w:val="0"/>
          <w:i w:val="0"/>
          <w:color w:val="000000"/>
          <w:sz w:val="24"/>
        </w:rPr>
        <w:t>None.</w:t>
      </w:r>
    </w:p>
    <w:p>
      <w:pPr>
        <w:pStyle w:val="Heading1"/>
        <w:spacing w:before="320" w:after="120"/>
      </w:pPr>
      <w:r>
        <w:t>Disclosure statement</w:t>
      </w:r>
    </w:p>
    <w:p>
      <w:pPr>
        <w:spacing w:after="160" w:before="0" w:lineRule="auto" w:line="276"/>
      </w:pPr>
      <w:r>
        <w:rPr>
          <w:rFonts w:ascii="Times New Roman" w:hAnsi="Times New Roman" w:eastAsia="Times New Roman"/>
          <w:b w:val="0"/>
          <w:i w:val="0"/>
          <w:color w:val="000000"/>
          <w:sz w:val="24"/>
        </w:rPr>
        <w:t>The author reports no conflict of interest.</w:t>
      </w:r>
    </w:p>
    <w:p>
      <w:pPr>
        <w:pStyle w:val="Heading1"/>
        <w:spacing w:before="320" w:after="120"/>
      </w:pPr>
      <w:r>
        <w:t>Funding</w:t>
      </w:r>
    </w:p>
    <w:p>
      <w:pPr>
        <w:spacing w:after="160" w:before="0" w:lineRule="auto" w:line="276"/>
      </w:pPr>
      <w:r>
        <w:rPr>
          <w:rFonts w:ascii="Times New Roman" w:hAnsi="Times New Roman" w:eastAsia="Times New Roman"/>
          <w:b w:val="0"/>
          <w:i w:val="0"/>
          <w:color w:val="000000"/>
          <w:sz w:val="24"/>
        </w:rPr>
        <w:t>No funding was received.</w:t>
      </w:r>
    </w:p>
    <w:p>
      <w:pPr>
        <w:pStyle w:val="Heading1"/>
        <w:spacing w:before="320" w:after="120"/>
      </w:pPr>
      <w:r>
        <w:t>CRediT</w:t>
      </w:r>
    </w:p>
    <w:p>
      <w:pPr>
        <w:spacing w:after="160" w:before="0" w:lineRule="auto" w:line="276"/>
      </w:pPr>
      <w:r>
        <w:rPr>
          <w:rFonts w:ascii="Times New Roman" w:hAnsi="Times New Roman" w:eastAsia="Times New Roman"/>
          <w:b w:val="0"/>
          <w:i w:val="0"/>
          <w:color w:val="000000"/>
          <w:sz w:val="24"/>
        </w:rPr>
        <w:t>Tooba Jatoi: conceptualization, investigation, data curation, writing – original draft, writing – review and editing.</w:t>
      </w:r>
    </w:p>
    <w:p>
      <w:pPr>
        <w:pStyle w:val="Heading1"/>
        <w:spacing w:before="320" w:after="120"/>
      </w:pPr>
      <w:r>
        <w:t>Data availability</w:t>
      </w:r>
    </w:p>
    <w:p>
      <w:pPr>
        <w:spacing w:after="160" w:before="0" w:lineRule="auto" w:line="276"/>
      </w:pPr>
      <w:r>
        <w:rPr>
          <w:rFonts w:ascii="Times New Roman" w:hAnsi="Times New Roman" w:eastAsia="Times New Roman"/>
          <w:b w:val="0"/>
          <w:i w:val="0"/>
          <w:color w:val="000000"/>
          <w:sz w:val="24"/>
        </w:rPr>
        <w:t>The protocol, search log, screening log, extraction sheet, and PRISMA-ScR checklist are deposited at https://doi.org/10.5281/zenodo.23100844. No participant data were collected.</w:t>
      </w:r>
    </w:p>
    <w:p>
      <w:pPr>
        <w:pStyle w:val="Heading1"/>
        <w:spacing w:before="320" w:after="120"/>
      </w:pPr>
      <w:r>
        <w:t>Generative AI disclosure</w:t>
      </w:r>
    </w:p>
    <w:p>
      <w:pPr>
        <w:spacing w:after="160" w:before="0" w:lineRule="auto" w:line="276"/>
      </w:pPr>
      <w:r>
        <w:rPr>
          <w:rFonts w:ascii="Times New Roman" w:hAnsi="Times New Roman" w:eastAsia="Times New Roman"/>
          <w:b w:val="0"/>
          <w:i w:val="0"/>
          <w:color w:val="000000"/>
          <w:sz w:val="24"/>
        </w:rPr>
        <w:t>Grok 4.7, accessed through Cursor 3.17.8, was used on 1 October 2026 to run web searches, propose screening decisions and extraction entries, and draft text, to speed up the review. On 1 October 2026 the screening decisions and the extraction cells were checked against the retrieved source text. Full text was used for the included papers whose full text could be retrieved, including the open PDFs and HTML versions of He et al. (2025), Feng et al. (2026), Huq et al. (2025), Mozannar et al. (2025), Long et al. (2025), Zhuang et al. (2026), Yan (2026), Weng (2026), Pochampally et al. (2026), Su et al. (2026), Lehmann et al. (2026), Irshad et al. (2026), and the boundary papers P. Wang, Li, and Tian (2026). Q. Zhang (2026) was checked against the workshop PDF supplied on 2 October 2026. An earlier abstract on the ICML workshop page reported 1,377 proposals and a 7.8 percent unsafe rate. The manuscript uses the PDF. The PDF does not specify the visual layout of the approval screen. S. Zhang et al. (2026) was checked against the publisher HTML of the CHI article, which states the sample of 221 posts and 21 interviews and describes double purchases without confirmation, cursor shadowing, and explicit confirmation for payments, identity, and outbound-message operations. The publisher PDF returned HTTP 403. Kretzer et al. (2025) was checked against the publisher’s article page, which describes the preview and the Draw Suggestion control; the PDF download returned HTTP 403. Reference identifiers were checked against the source pages used to cite them. The author takes full responsibility for the content. The model is not an author.</w:t>
      </w:r>
    </w:p>
    <w:p>
      <w:pPr>
        <w:pStyle w:val="Heading1"/>
        <w:spacing w:before="320" w:after="120"/>
      </w:pPr>
      <w:r>
        <w:t>References</w:t>
      </w:r>
    </w:p>
    <w:p>
      <w:pPr>
        <w:spacing w:after="120" w:before="0" w:lineRule="auto" w:line="276"/>
        <w:ind w:left="567" w:hanging="567"/>
      </w:pPr>
      <w:r>
        <w:rPr>
          <w:rFonts w:ascii="Times New Roman" w:hAnsi="Times New Roman" w:eastAsia="Times New Roman"/>
          <w:b w:val="0"/>
          <w:i w:val="0"/>
          <w:color w:val="000000"/>
          <w:sz w:val="24"/>
        </w:rPr>
        <w:t xml:space="preserve">Agarwal, A., Siyan, G., Pandya, Y., Singh, J., Nambi, A., &amp; Awadallah, A. (2026). </w:t>
      </w:r>
      <w:r>
        <w:rPr>
          <w:rFonts w:ascii="Times New Roman" w:hAnsi="Times New Roman" w:eastAsia="Times New Roman"/>
          <w:b w:val="0"/>
          <w:i/>
          <w:color w:val="000000"/>
          <w:sz w:val="24"/>
        </w:rPr>
        <w:t>Learning when to act or refuse: Guarding agentic reasoning models for safe multi-step tool use</w:t>
      </w:r>
      <w:r>
        <w:rPr>
          <w:rFonts w:ascii="Times New Roman" w:hAnsi="Times New Roman" w:eastAsia="Times New Roman"/>
          <w:b w:val="0"/>
          <w:i w:val="0"/>
          <w:color w:val="000000"/>
          <w:sz w:val="24"/>
        </w:rPr>
        <w:t xml:space="preserve"> [Preprint]. arXiv. https://arxiv.org/abs/2603.03205</w:t>
      </w:r>
    </w:p>
    <w:p>
      <w:pPr>
        <w:spacing w:after="120" w:before="0" w:lineRule="auto" w:line="276"/>
        <w:ind w:left="567" w:hanging="567"/>
      </w:pPr>
      <w:r>
        <w:rPr>
          <w:rFonts w:ascii="Times New Roman" w:hAnsi="Times New Roman" w:eastAsia="Times New Roman"/>
          <w:b w:val="0"/>
          <w:i w:val="0"/>
          <w:color w:val="000000"/>
          <w:sz w:val="24"/>
        </w:rPr>
        <w:t xml:space="preserve">Alpay, F., &amp; Alpay, T. (2026). </w:t>
      </w:r>
      <w:r>
        <w:rPr>
          <w:rFonts w:ascii="Times New Roman" w:hAnsi="Times New Roman" w:eastAsia="Times New Roman"/>
          <w:b w:val="0"/>
          <w:i/>
          <w:color w:val="000000"/>
          <w:sz w:val="24"/>
        </w:rPr>
        <w:t>Approval integrity and recovery in LLM answer publication</w:t>
      </w:r>
      <w:r>
        <w:rPr>
          <w:rFonts w:ascii="Times New Roman" w:hAnsi="Times New Roman" w:eastAsia="Times New Roman"/>
          <w:b w:val="0"/>
          <w:i w:val="0"/>
          <w:color w:val="000000"/>
          <w:sz w:val="24"/>
        </w:rPr>
        <w:t xml:space="preserve"> [Preprint]. arXiv. https://arxiv.org/abs/2609.15576</w:t>
      </w:r>
    </w:p>
    <w:p>
      <w:pPr>
        <w:spacing w:after="120" w:before="0" w:lineRule="auto" w:line="276"/>
        <w:ind w:left="567" w:hanging="567"/>
      </w:pPr>
      <w:r>
        <w:rPr>
          <w:rFonts w:ascii="Times New Roman" w:hAnsi="Times New Roman" w:eastAsia="Times New Roman"/>
          <w:b w:val="0"/>
          <w:i w:val="0"/>
          <w:color w:val="000000"/>
          <w:sz w:val="24"/>
        </w:rPr>
        <w:t xml:space="preserve">Amershi, S., Weld, D., Vorvoreanu, M., Fourney, A., Nushi, B., Collisson, P., Suh, J., Iqbal, S., Bennett, P. N., Inkpen, K., Teevan, J., Kikin-Gil, R., &amp; Horvitz, E. (2019). Guidelines for human-AI interaction. </w:t>
      </w:r>
      <w:r>
        <w:rPr>
          <w:rFonts w:ascii="Times New Roman" w:hAnsi="Times New Roman" w:eastAsia="Times New Roman"/>
          <w:b w:val="0"/>
          <w:i/>
          <w:color w:val="000000"/>
          <w:sz w:val="24"/>
        </w:rPr>
        <w:t>Proceedings of the 2019 CHI Conference on Human Factors in Computing Systems</w:t>
      </w:r>
      <w:r>
        <w:rPr>
          <w:rFonts w:ascii="Times New Roman" w:hAnsi="Times New Roman" w:eastAsia="Times New Roman"/>
          <w:b w:val="0"/>
          <w:i w:val="0"/>
          <w:color w:val="000000"/>
          <w:sz w:val="24"/>
        </w:rPr>
        <w:t>. https://doi.org/10.1145/3290605.3300233</w:t>
      </w:r>
    </w:p>
    <w:p>
      <w:pPr>
        <w:spacing w:after="120" w:before="0" w:lineRule="auto" w:line="276"/>
        <w:ind w:left="567" w:hanging="567"/>
      </w:pPr>
      <w:r>
        <w:rPr>
          <w:rFonts w:ascii="Times New Roman" w:hAnsi="Times New Roman" w:eastAsia="Times New Roman"/>
          <w:b w:val="0"/>
          <w:i w:val="0"/>
          <w:color w:val="000000"/>
          <w:sz w:val="24"/>
        </w:rPr>
        <w:t xml:space="preserve">Chen, C., Zhang, Z., Chen, Z., Xu, E., Yang, Y., Khalilov, I., Gebreegziabher, S. A., Ye, Y., Xiao, Z., Yao, Y., Li, T., &amp; Li, T. J. (2026). </w:t>
      </w:r>
      <w:r>
        <w:rPr>
          <w:rFonts w:ascii="Times New Roman" w:hAnsi="Times New Roman" w:eastAsia="Times New Roman"/>
          <w:b w:val="0"/>
          <w:i/>
          <w:color w:val="000000"/>
          <w:sz w:val="24"/>
        </w:rPr>
        <w:t>Comparing human oversight strategies for computer-use agents</w:t>
      </w:r>
      <w:r>
        <w:rPr>
          <w:rFonts w:ascii="Times New Roman" w:hAnsi="Times New Roman" w:eastAsia="Times New Roman"/>
          <w:b w:val="0"/>
          <w:i w:val="0"/>
          <w:color w:val="000000"/>
          <w:sz w:val="24"/>
        </w:rPr>
        <w:t xml:space="preserve"> [Preprint]. arXiv. https://arxiv.org/abs/2604.04918</w:t>
      </w:r>
    </w:p>
    <w:p>
      <w:pPr>
        <w:spacing w:after="120" w:before="0" w:lineRule="auto" w:line="276"/>
        <w:ind w:left="567" w:hanging="567"/>
      </w:pPr>
      <w:r>
        <w:rPr>
          <w:rFonts w:ascii="Times New Roman" w:hAnsi="Times New Roman" w:eastAsia="Times New Roman"/>
          <w:b w:val="0"/>
          <w:i w:val="0"/>
          <w:color w:val="000000"/>
          <w:sz w:val="24"/>
        </w:rPr>
        <w:t xml:space="preserve">Cheng, R., Liang, J. T., Schoop, E., &amp; Nichols, J. (2026). </w:t>
      </w:r>
      <w:r>
        <w:rPr>
          <w:rFonts w:ascii="Times New Roman" w:hAnsi="Times New Roman" w:eastAsia="Times New Roman"/>
          <w:b w:val="0"/>
          <w:i/>
          <w:color w:val="000000"/>
          <w:sz w:val="24"/>
        </w:rPr>
        <w:t>Mapping the design space of user experience for computer use agents</w:t>
      </w:r>
      <w:r>
        <w:rPr>
          <w:rFonts w:ascii="Times New Roman" w:hAnsi="Times New Roman" w:eastAsia="Times New Roman"/>
          <w:b w:val="0"/>
          <w:i w:val="0"/>
          <w:color w:val="000000"/>
          <w:sz w:val="24"/>
        </w:rPr>
        <w:t xml:space="preserve"> [Preprint]. arXiv. https://arxiv.org/abs/2602.07283</w:t>
      </w:r>
    </w:p>
    <w:p>
      <w:pPr>
        <w:spacing w:after="120" w:before="0" w:lineRule="auto" w:line="276"/>
        <w:ind w:left="567" w:hanging="567"/>
      </w:pPr>
      <w:r>
        <w:rPr>
          <w:rFonts w:ascii="Times New Roman" w:hAnsi="Times New Roman" w:eastAsia="Times New Roman"/>
          <w:b w:val="0"/>
          <w:i w:val="0"/>
          <w:color w:val="000000"/>
          <w:sz w:val="24"/>
        </w:rPr>
        <w:t xml:space="preserve">Epperson, W., Bansal, G., Dibia, V. C., Fourney, A., Gerrits, J., Zhu, E., &amp; Amershi, S. (2025). Interactive debugging and steering of multi-agent AI systems.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https://doi.org/10.1145/3706598.3713581</w:t>
      </w:r>
    </w:p>
    <w:p>
      <w:pPr>
        <w:spacing w:after="120" w:before="0" w:lineRule="auto" w:line="276"/>
        <w:ind w:left="567" w:hanging="567"/>
      </w:pPr>
      <w:r>
        <w:rPr>
          <w:rFonts w:ascii="Times New Roman" w:hAnsi="Times New Roman" w:eastAsia="Times New Roman"/>
          <w:b w:val="0"/>
          <w:i w:val="0"/>
          <w:color w:val="000000"/>
          <w:sz w:val="24"/>
        </w:rPr>
        <w:t xml:space="preserve">Felt, A. P., Ainslie, A., Reeder, R. W., Consolvo, S., Thyagaraja, S., Bettes, A., Harris, H., &amp; Grimes, J. (2015). Improving SSL warnings: Comprehension and adherence. </w:t>
      </w:r>
      <w:r>
        <w:rPr>
          <w:rFonts w:ascii="Times New Roman" w:hAnsi="Times New Roman" w:eastAsia="Times New Roman"/>
          <w:b w:val="0"/>
          <w:i/>
          <w:color w:val="000000"/>
          <w:sz w:val="24"/>
        </w:rPr>
        <w:t>Proceedings of the 33rd Annual ACM Conference on Human Factors in Computing Systems</w:t>
      </w:r>
      <w:r>
        <w:rPr>
          <w:rFonts w:ascii="Times New Roman" w:hAnsi="Times New Roman" w:eastAsia="Times New Roman"/>
          <w:b w:val="0"/>
          <w:i w:val="0"/>
          <w:color w:val="000000"/>
          <w:sz w:val="24"/>
        </w:rPr>
        <w:t>, 2893–2902. https://doi.org/10.1145/2702123.2702442</w:t>
      </w:r>
    </w:p>
    <w:p>
      <w:pPr>
        <w:spacing w:after="120" w:before="0" w:lineRule="auto" w:line="276"/>
        <w:ind w:left="567" w:hanging="567"/>
      </w:pPr>
      <w:r>
        <w:rPr>
          <w:rFonts w:ascii="Times New Roman" w:hAnsi="Times New Roman" w:eastAsia="Times New Roman"/>
          <w:b w:val="0"/>
          <w:i w:val="0"/>
          <w:color w:val="000000"/>
          <w:sz w:val="24"/>
        </w:rPr>
        <w:t xml:space="preserve">Feng, K. J. K., Pu, K., Latzke, M., August, T., Siangliulue, P., Bragg, J., Weld, D. S., Zhang, A. X., &amp; Chang, J. C. (2026). Cocoa: Co-planning and co-execution with AI agents.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https://doi.org/10.1145/3772318.3791673</w:t>
      </w:r>
    </w:p>
    <w:p>
      <w:pPr>
        <w:spacing w:after="120" w:before="0" w:lineRule="auto" w:line="276"/>
        <w:ind w:left="567" w:hanging="567"/>
      </w:pPr>
      <w:r>
        <w:rPr>
          <w:rFonts w:ascii="Times New Roman" w:hAnsi="Times New Roman" w:eastAsia="Times New Roman"/>
          <w:b w:val="0"/>
          <w:i w:val="0"/>
          <w:color w:val="000000"/>
          <w:sz w:val="24"/>
        </w:rPr>
        <w:t xml:space="preserve">Feng, Y., Ding, Y., Xie, Y., Li, Z., Lao, M., Wang, Z., &amp; Guo, Y. (2026a). </w:t>
      </w:r>
      <w:r>
        <w:rPr>
          <w:rFonts w:ascii="Times New Roman" w:hAnsi="Times New Roman" w:eastAsia="Times New Roman"/>
          <w:b w:val="0"/>
          <w:i/>
          <w:color w:val="000000"/>
          <w:sz w:val="24"/>
        </w:rPr>
        <w:t>AdaGuard: An adaptive guard model with user-defined policies</w:t>
      </w:r>
      <w:r>
        <w:rPr>
          <w:rFonts w:ascii="Times New Roman" w:hAnsi="Times New Roman" w:eastAsia="Times New Roman"/>
          <w:b w:val="0"/>
          <w:i w:val="0"/>
          <w:color w:val="000000"/>
          <w:sz w:val="24"/>
        </w:rPr>
        <w:t xml:space="preserve"> [Preprint]. arXiv. https://arxiv.org/abs/2609.34241</w:t>
      </w:r>
    </w:p>
    <w:p>
      <w:pPr>
        <w:spacing w:after="120" w:before="0" w:lineRule="auto" w:line="276"/>
        <w:ind w:left="567" w:hanging="567"/>
      </w:pPr>
      <w:r>
        <w:rPr>
          <w:rFonts w:ascii="Times New Roman" w:hAnsi="Times New Roman" w:eastAsia="Times New Roman"/>
          <w:b w:val="0"/>
          <w:i w:val="0"/>
          <w:color w:val="000000"/>
          <w:sz w:val="24"/>
        </w:rPr>
        <w:t xml:space="preserve">Feng, Y., Du, X., Deng, X., Ding, Y., Wen, M., Wang, Y., Xie, Y., Zheng, B., Tan, Y., Li, Y., Wu, Y., Cao, K., Huang, W., Guo, Y., Ma, X., &amp; Jiang, Y.-G. (2026b). </w:t>
      </w:r>
      <w:r>
        <w:rPr>
          <w:rFonts w:ascii="Times New Roman" w:hAnsi="Times New Roman" w:eastAsia="Times New Roman"/>
          <w:b w:val="0"/>
          <w:i/>
          <w:color w:val="000000"/>
          <w:sz w:val="24"/>
        </w:rPr>
        <w:t>BraveGuard: From open-world threats to safer computer-use agents</w:t>
      </w:r>
      <w:r>
        <w:rPr>
          <w:rFonts w:ascii="Times New Roman" w:hAnsi="Times New Roman" w:eastAsia="Times New Roman"/>
          <w:b w:val="0"/>
          <w:i w:val="0"/>
          <w:color w:val="000000"/>
          <w:sz w:val="24"/>
        </w:rPr>
        <w:t xml:space="preserve"> [Preprint]. arXiv. https://arxiv.org/abs/2606.01166</w:t>
      </w:r>
    </w:p>
    <w:p>
      <w:pPr>
        <w:spacing w:after="120" w:before="0" w:lineRule="auto" w:line="276"/>
        <w:ind w:left="567" w:hanging="567"/>
      </w:pPr>
      <w:r>
        <w:rPr>
          <w:rFonts w:ascii="Times New Roman" w:hAnsi="Times New Roman" w:eastAsia="Times New Roman"/>
          <w:b w:val="0"/>
          <w:i w:val="0"/>
          <w:color w:val="000000"/>
          <w:sz w:val="24"/>
        </w:rPr>
        <w:t xml:space="preserve">Grunde-McLaughlin, M., Mozannar, H., Murad, M., Chen, J., Amershi, S., &amp; Fourney, A. (2026). </w:t>
      </w:r>
      <w:r>
        <w:rPr>
          <w:rFonts w:ascii="Times New Roman" w:hAnsi="Times New Roman" w:eastAsia="Times New Roman"/>
          <w:b w:val="0"/>
          <w:i/>
          <w:color w:val="000000"/>
          <w:sz w:val="24"/>
        </w:rPr>
        <w:t>Overseeing agents without constant oversight: Challenges and opportunities</w:t>
      </w:r>
      <w:r>
        <w:rPr>
          <w:rFonts w:ascii="Times New Roman" w:hAnsi="Times New Roman" w:eastAsia="Times New Roman"/>
          <w:b w:val="0"/>
          <w:i w:val="0"/>
          <w:color w:val="000000"/>
          <w:sz w:val="24"/>
        </w:rPr>
        <w:t xml:space="preserve"> [Preprint]. arXiv. https://arxiv.org/abs/2602.16844</w:t>
      </w:r>
    </w:p>
    <w:p>
      <w:pPr>
        <w:spacing w:after="120" w:before="0" w:lineRule="auto" w:line="276"/>
        <w:ind w:left="567" w:hanging="567"/>
      </w:pPr>
      <w:r>
        <w:rPr>
          <w:rFonts w:ascii="Times New Roman" w:hAnsi="Times New Roman" w:eastAsia="Times New Roman"/>
          <w:b w:val="0"/>
          <w:i w:val="0"/>
          <w:color w:val="000000"/>
          <w:sz w:val="24"/>
        </w:rPr>
        <w:t xml:space="preserve">He, G., Demartini, G., &amp; Gadiraju, U. (2025). Plan-then-execute: An empirical study of user trust and team performance when using LLM agents as a daily assistant.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https://doi.org/10.1145/3706598.3713218</w:t>
      </w:r>
    </w:p>
    <w:p>
      <w:pPr>
        <w:spacing w:after="120" w:before="0" w:lineRule="auto" w:line="276"/>
        <w:ind w:left="567" w:hanging="567"/>
      </w:pPr>
      <w:r>
        <w:rPr>
          <w:rFonts w:ascii="Times New Roman" w:hAnsi="Times New Roman" w:eastAsia="Times New Roman"/>
          <w:b w:val="0"/>
          <w:i w:val="0"/>
          <w:color w:val="000000"/>
          <w:sz w:val="24"/>
        </w:rPr>
        <w:t xml:space="preserve">Horvitz, E. (1999). Principles of mixed-initiative user interfaces. </w:t>
      </w:r>
      <w:r>
        <w:rPr>
          <w:rFonts w:ascii="Times New Roman" w:hAnsi="Times New Roman" w:eastAsia="Times New Roman"/>
          <w:b w:val="0"/>
          <w:i/>
          <w:color w:val="000000"/>
          <w:sz w:val="24"/>
        </w:rPr>
        <w:t>Proceedings of the SIGCHI Conference on Human Factors in Computing Systems</w:t>
      </w:r>
      <w:r>
        <w:rPr>
          <w:rFonts w:ascii="Times New Roman" w:hAnsi="Times New Roman" w:eastAsia="Times New Roman"/>
          <w:b w:val="0"/>
          <w:i w:val="0"/>
          <w:color w:val="000000"/>
          <w:sz w:val="24"/>
        </w:rPr>
        <w:t>. https://doi.org/10.1145/302979.303030</w:t>
      </w:r>
    </w:p>
    <w:p>
      <w:pPr>
        <w:spacing w:after="120" w:before="0" w:lineRule="auto" w:line="276"/>
        <w:ind w:left="567" w:hanging="567"/>
      </w:pPr>
      <w:r>
        <w:rPr>
          <w:rFonts w:ascii="Times New Roman" w:hAnsi="Times New Roman" w:eastAsia="Times New Roman"/>
          <w:b w:val="0"/>
          <w:i w:val="0"/>
          <w:color w:val="000000"/>
          <w:sz w:val="24"/>
        </w:rPr>
        <w:t xml:space="preserve">Huq, F., Wang, Z. Z., Xu, F. F., Ou, T., Zhou, S., Bigham, J. P., &amp; Neubig, G. (2025). CowPilot: A framework for autonomous and human-agent collaborative web navigation. </w:t>
      </w:r>
      <w:r>
        <w:rPr>
          <w:rFonts w:ascii="Times New Roman" w:hAnsi="Times New Roman" w:eastAsia="Times New Roman"/>
          <w:b w:val="0"/>
          <w:i/>
          <w:color w:val="000000"/>
          <w:sz w:val="24"/>
        </w:rPr>
        <w:t>Proceedings of the 2025 Conference of the Nations of the Americas Chapter of the Association for Computational Linguistics: Human Language Technologies (System Demonstrations)</w:t>
      </w:r>
      <w:r>
        <w:rPr>
          <w:rFonts w:ascii="Times New Roman" w:hAnsi="Times New Roman" w:eastAsia="Times New Roman"/>
          <w:b w:val="0"/>
          <w:i w:val="0"/>
          <w:color w:val="000000"/>
          <w:sz w:val="24"/>
        </w:rPr>
        <w:t>, 163–172. https://aclanthology.org/2025.naacl-demo.17/</w:t>
      </w:r>
    </w:p>
    <w:p>
      <w:pPr>
        <w:spacing w:after="120" w:before="0" w:lineRule="auto" w:line="276"/>
        <w:ind w:left="567" w:hanging="567"/>
      </w:pPr>
      <w:r>
        <w:rPr>
          <w:rFonts w:ascii="Times New Roman" w:hAnsi="Times New Roman" w:eastAsia="Times New Roman"/>
          <w:b w:val="0"/>
          <w:i w:val="0"/>
          <w:color w:val="000000"/>
          <w:sz w:val="24"/>
        </w:rPr>
        <w:t xml:space="preserve">Irshad, H., Mughees, A., Mughees, N., Mughees, A., &amp; Soomro, I. A. (2026). </w:t>
      </w:r>
      <w:r>
        <w:rPr>
          <w:rFonts w:ascii="Times New Roman" w:hAnsi="Times New Roman" w:eastAsia="Times New Roman"/>
          <w:b w:val="0"/>
          <w:i/>
          <w:color w:val="000000"/>
          <w:sz w:val="24"/>
        </w:rPr>
        <w:t>The verifiable action card: Trustworthy human-in-the-loop control for secure autonomous agents</w:t>
      </w:r>
      <w:r>
        <w:rPr>
          <w:rFonts w:ascii="Times New Roman" w:hAnsi="Times New Roman" w:eastAsia="Times New Roman"/>
          <w:b w:val="0"/>
          <w:i w:val="0"/>
          <w:color w:val="000000"/>
          <w:sz w:val="24"/>
        </w:rPr>
        <w:t xml:space="preserve"> [Preprint]. arXiv. https://arxiv.org/abs/2609.18411</w:t>
      </w:r>
    </w:p>
    <w:p>
      <w:pPr>
        <w:spacing w:after="120" w:before="0" w:lineRule="auto" w:line="276"/>
        <w:ind w:left="567" w:hanging="567"/>
      </w:pPr>
      <w:r>
        <w:rPr>
          <w:rFonts w:ascii="Times New Roman" w:hAnsi="Times New Roman" w:eastAsia="Times New Roman"/>
          <w:b w:val="0"/>
          <w:i w:val="0"/>
          <w:color w:val="000000"/>
          <w:sz w:val="24"/>
        </w:rPr>
        <w:t xml:space="preserve">Kadaboina, R. K. (2026). </w:t>
      </w:r>
      <w:r>
        <w:rPr>
          <w:rFonts w:ascii="Times New Roman" w:hAnsi="Times New Roman" w:eastAsia="Times New Roman"/>
          <w:b w:val="0"/>
          <w:i/>
          <w:color w:val="000000"/>
          <w:sz w:val="24"/>
        </w:rPr>
        <w:t>Anumati: Proof of adherence as a formal consent model for autonomous agent protocols</w:t>
      </w:r>
      <w:r>
        <w:rPr>
          <w:rFonts w:ascii="Times New Roman" w:hAnsi="Times New Roman" w:eastAsia="Times New Roman"/>
          <w:b w:val="0"/>
          <w:i w:val="0"/>
          <w:color w:val="000000"/>
          <w:sz w:val="24"/>
        </w:rPr>
        <w:t xml:space="preserve"> [Preprint]. arXiv. https://arxiv.org/abs/2604.16524</w:t>
      </w:r>
    </w:p>
    <w:p>
      <w:pPr>
        <w:spacing w:after="120" w:before="0" w:lineRule="auto" w:line="276"/>
        <w:ind w:left="567" w:hanging="567"/>
      </w:pPr>
      <w:r>
        <w:rPr>
          <w:rFonts w:ascii="Times New Roman" w:hAnsi="Times New Roman" w:eastAsia="Times New Roman"/>
          <w:b w:val="0"/>
          <w:i w:val="0"/>
          <w:color w:val="000000"/>
          <w:sz w:val="24"/>
        </w:rPr>
        <w:t xml:space="preserve">Kang, S., Yu, T., &amp; Hwang, S. J. (2026a). </w:t>
      </w:r>
      <w:r>
        <w:rPr>
          <w:rFonts w:ascii="Times New Roman" w:hAnsi="Times New Roman" w:eastAsia="Times New Roman"/>
          <w:b w:val="0"/>
          <w:i/>
          <w:color w:val="000000"/>
          <w:sz w:val="24"/>
        </w:rPr>
        <w:t>PolicyGuard: A dialogue-grounded sub-agent verifier for policy adherence in LLM agents</w:t>
      </w:r>
      <w:r>
        <w:rPr>
          <w:rFonts w:ascii="Times New Roman" w:hAnsi="Times New Roman" w:eastAsia="Times New Roman"/>
          <w:b w:val="0"/>
          <w:i w:val="0"/>
          <w:color w:val="000000"/>
          <w:sz w:val="24"/>
        </w:rPr>
        <w:t xml:space="preserve"> [Preprint]. arXiv. https://arxiv.org/abs/2606.29225</w:t>
      </w:r>
    </w:p>
    <w:p>
      <w:pPr>
        <w:spacing w:after="120" w:before="0" w:lineRule="auto" w:line="276"/>
        <w:ind w:left="567" w:hanging="567"/>
      </w:pPr>
      <w:r>
        <w:rPr>
          <w:rFonts w:ascii="Times New Roman" w:hAnsi="Times New Roman" w:eastAsia="Times New Roman"/>
          <w:b w:val="0"/>
          <w:i w:val="0"/>
          <w:color w:val="000000"/>
          <w:sz w:val="24"/>
        </w:rPr>
        <w:t xml:space="preserve">Kang, S., Yu, T., &amp; Hwang, S. J. (2026b). </w:t>
      </w:r>
      <w:r>
        <w:rPr>
          <w:rFonts w:ascii="Times New Roman" w:hAnsi="Times New Roman" w:eastAsia="Times New Roman"/>
          <w:b w:val="0"/>
          <w:i/>
          <w:color w:val="000000"/>
          <w:sz w:val="24"/>
        </w:rPr>
        <w:t>PolicyGuide: From guarding one action to guiding the whole workflow for policy-compliant LLM agents</w:t>
      </w:r>
      <w:r>
        <w:rPr>
          <w:rFonts w:ascii="Times New Roman" w:hAnsi="Times New Roman" w:eastAsia="Times New Roman"/>
          <w:b w:val="0"/>
          <w:i w:val="0"/>
          <w:color w:val="000000"/>
          <w:sz w:val="24"/>
        </w:rPr>
        <w:t xml:space="preserve"> [Preprint]. arXiv. https://arxiv.org/abs/2608.19861</w:t>
      </w:r>
    </w:p>
    <w:p>
      <w:pPr>
        <w:spacing w:after="120" w:before="0" w:lineRule="auto" w:line="276"/>
        <w:ind w:left="567" w:hanging="567"/>
      </w:pPr>
      <w:r>
        <w:rPr>
          <w:rFonts w:ascii="Times New Roman" w:hAnsi="Times New Roman" w:eastAsia="Times New Roman"/>
          <w:b w:val="0"/>
          <w:i w:val="0"/>
          <w:color w:val="000000"/>
          <w:sz w:val="24"/>
        </w:rPr>
        <w:t xml:space="preserve">Kasibatla, S. R., Rothkopf, R., Peleg, H., Pierce, B. C., Lerner, S., Goldstein, H., &amp; Polikarpova, N. (2026). </w:t>
      </w:r>
      <w:r>
        <w:rPr>
          <w:rFonts w:ascii="Times New Roman" w:hAnsi="Times New Roman" w:eastAsia="Times New Roman"/>
          <w:b w:val="0"/>
          <w:i/>
          <w:color w:val="000000"/>
          <w:sz w:val="24"/>
        </w:rPr>
        <w:t>Decision-oriented programming with Aporia</w:t>
      </w:r>
      <w:r>
        <w:rPr>
          <w:rFonts w:ascii="Times New Roman" w:hAnsi="Times New Roman" w:eastAsia="Times New Roman"/>
          <w:b w:val="0"/>
          <w:i w:val="0"/>
          <w:color w:val="000000"/>
          <w:sz w:val="24"/>
        </w:rPr>
        <w:t xml:space="preserve"> [Preprint]. arXiv. https://arxiv.org/abs/2604.05203</w:t>
      </w:r>
    </w:p>
    <w:p>
      <w:pPr>
        <w:spacing w:after="120" w:before="0" w:lineRule="auto" w:line="276"/>
        <w:ind w:left="567" w:hanging="567"/>
      </w:pPr>
      <w:r>
        <w:rPr>
          <w:rFonts w:ascii="Times New Roman" w:hAnsi="Times New Roman" w:eastAsia="Times New Roman"/>
          <w:b w:val="0"/>
          <w:i w:val="0"/>
          <w:color w:val="000000"/>
          <w:sz w:val="24"/>
        </w:rPr>
        <w:t xml:space="preserve">Katkar, A., Karkele, O., Mandhane, K., More, M., &amp; Kashid, Y. (2026). </w:t>
      </w:r>
      <w:r>
        <w:rPr>
          <w:rFonts w:ascii="Times New Roman" w:hAnsi="Times New Roman" w:eastAsia="Times New Roman"/>
          <w:b w:val="0"/>
          <w:i/>
          <w:color w:val="000000"/>
          <w:sz w:val="24"/>
        </w:rPr>
        <w:t>NiyamAI: An intent-bound AI agent with cryptographically verifiable guardrails using zero-knowledge proofs</w:t>
      </w:r>
      <w:r>
        <w:rPr>
          <w:rFonts w:ascii="Times New Roman" w:hAnsi="Times New Roman" w:eastAsia="Times New Roman"/>
          <w:b w:val="0"/>
          <w:i w:val="0"/>
          <w:color w:val="000000"/>
          <w:sz w:val="24"/>
        </w:rPr>
        <w:t xml:space="preserve"> [Preprint]. arXiv. https://arxiv.org/abs/2608.07167</w:t>
      </w:r>
    </w:p>
    <w:p>
      <w:pPr>
        <w:spacing w:after="120" w:before="0" w:lineRule="auto" w:line="276"/>
        <w:ind w:left="567" w:hanging="567"/>
      </w:pPr>
      <w:r>
        <w:rPr>
          <w:rFonts w:ascii="Times New Roman" w:hAnsi="Times New Roman" w:eastAsia="Times New Roman"/>
          <w:b w:val="0"/>
          <w:i w:val="0"/>
          <w:color w:val="000000"/>
          <w:sz w:val="24"/>
        </w:rPr>
        <w:t xml:space="preserve">Kollia, M. (2026). </w:t>
      </w:r>
      <w:r>
        <w:rPr>
          <w:rFonts w:ascii="Times New Roman" w:hAnsi="Times New Roman" w:eastAsia="Times New Roman"/>
          <w:b w:val="0"/>
          <w:i/>
          <w:color w:val="000000"/>
          <w:sz w:val="24"/>
        </w:rPr>
        <w:t>From human approval to current authority: Adaptive runtime governance at the execution boundary of AI-enabled organizational workflows</w:t>
      </w:r>
      <w:r>
        <w:rPr>
          <w:rFonts w:ascii="Times New Roman" w:hAnsi="Times New Roman" w:eastAsia="Times New Roman"/>
          <w:b w:val="0"/>
          <w:i w:val="0"/>
          <w:color w:val="000000"/>
          <w:sz w:val="24"/>
        </w:rPr>
        <w:t xml:space="preserve"> [Preprint]. Research Square. https://doi.org/10.21203/rs.3.rs-10668771/v1</w:t>
      </w:r>
    </w:p>
    <w:p>
      <w:pPr>
        <w:spacing w:after="120" w:before="0" w:lineRule="auto" w:line="276"/>
        <w:ind w:left="567" w:hanging="567"/>
      </w:pPr>
      <w:r>
        <w:rPr>
          <w:rFonts w:ascii="Times New Roman" w:hAnsi="Times New Roman" w:eastAsia="Times New Roman"/>
          <w:b w:val="0"/>
          <w:i w:val="0"/>
          <w:color w:val="000000"/>
          <w:sz w:val="24"/>
        </w:rPr>
        <w:t xml:space="preserve">Kretzer, F., Kolthoff, K., Bartelt, C., Ponzetto, S. P., &amp; Maedche, A. (2025). Closing the loop between user stories and GUI prototypes: An LLM-based assistant for cross-functional integration in software development.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https://doi.org/10.1145/3706598.3713932</w:t>
      </w:r>
    </w:p>
    <w:p>
      <w:pPr>
        <w:spacing w:after="120" w:before="0" w:lineRule="auto" w:line="276"/>
        <w:ind w:left="567" w:hanging="567"/>
      </w:pPr>
      <w:r>
        <w:rPr>
          <w:rFonts w:ascii="Times New Roman" w:hAnsi="Times New Roman" w:eastAsia="Times New Roman"/>
          <w:b w:val="0"/>
          <w:i w:val="0"/>
          <w:color w:val="000000"/>
          <w:sz w:val="24"/>
        </w:rPr>
        <w:t xml:space="preserve">Kumar, A. A. (2026). </w:t>
      </w:r>
      <w:r>
        <w:rPr>
          <w:rFonts w:ascii="Times New Roman" w:hAnsi="Times New Roman" w:eastAsia="Times New Roman"/>
          <w:b w:val="0"/>
          <w:i/>
          <w:color w:val="000000"/>
          <w:sz w:val="24"/>
        </w:rPr>
        <w:t>Loopjacking: Hijacking human-in-the-loop approval</w:t>
      </w:r>
      <w:r>
        <w:rPr>
          <w:rFonts w:ascii="Times New Roman" w:hAnsi="Times New Roman" w:eastAsia="Times New Roman"/>
          <w:b w:val="0"/>
          <w:i w:val="0"/>
          <w:color w:val="000000"/>
          <w:sz w:val="24"/>
        </w:rPr>
        <w:t xml:space="preserve"> [Preprint]. arXiv. https://arxiv.org/abs/2609.21081</w:t>
      </w:r>
    </w:p>
    <w:p>
      <w:pPr>
        <w:spacing w:after="120" w:before="0" w:lineRule="auto" w:line="276"/>
        <w:ind w:left="567" w:hanging="567"/>
      </w:pPr>
      <w:r>
        <w:rPr>
          <w:rFonts w:ascii="Times New Roman" w:hAnsi="Times New Roman" w:eastAsia="Times New Roman"/>
          <w:b w:val="0"/>
          <w:i w:val="0"/>
          <w:color w:val="000000"/>
          <w:sz w:val="24"/>
        </w:rPr>
        <w:t xml:space="preserve">Lee, C. P., Porfirio, D., Wang, X. J., Zhao, K., &amp; Mutlu, B. (2025). VeriPlan: Integrating formal verification and LLMs into end-user planning.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https://doi.org/10.1145/3706598.3714113</w:t>
      </w:r>
    </w:p>
    <w:p>
      <w:pPr>
        <w:spacing w:after="120" w:before="0" w:lineRule="auto" w:line="276"/>
        <w:ind w:left="567" w:hanging="567"/>
      </w:pPr>
      <w:r>
        <w:rPr>
          <w:rFonts w:ascii="Times New Roman" w:hAnsi="Times New Roman" w:eastAsia="Times New Roman"/>
          <w:b w:val="0"/>
          <w:i w:val="0"/>
          <w:color w:val="000000"/>
          <w:sz w:val="24"/>
        </w:rPr>
        <w:t xml:space="preserve">Lehmann, F., Shauchenka, K., &amp; Buschek, D. (2026). Collaborative document editing with multiple users and AI agents.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https://doi.org/10.1145/3772318.3790648</w:t>
      </w:r>
    </w:p>
    <w:p>
      <w:pPr>
        <w:spacing w:after="120" w:before="0" w:lineRule="auto" w:line="276"/>
        <w:ind w:left="567" w:hanging="567"/>
      </w:pPr>
      <w:r>
        <w:rPr>
          <w:rFonts w:ascii="Times New Roman" w:hAnsi="Times New Roman" w:eastAsia="Times New Roman"/>
          <w:b w:val="0"/>
          <w:i w:val="0"/>
          <w:color w:val="000000"/>
          <w:sz w:val="24"/>
        </w:rPr>
        <w:t xml:space="preserve">Liu, D. Z. (2026). </w:t>
      </w:r>
      <w:r>
        <w:rPr>
          <w:rFonts w:ascii="Times New Roman" w:hAnsi="Times New Roman" w:eastAsia="Times New Roman"/>
          <w:b w:val="0"/>
          <w:i/>
          <w:color w:val="000000"/>
          <w:sz w:val="24"/>
        </w:rPr>
        <w:t>SovereignPA-Bench: Evaluating user-owned personal agents under evolving intent, platform mediation, and consent constraints</w:t>
      </w:r>
      <w:r>
        <w:rPr>
          <w:rFonts w:ascii="Times New Roman" w:hAnsi="Times New Roman" w:eastAsia="Times New Roman"/>
          <w:b w:val="0"/>
          <w:i w:val="0"/>
          <w:color w:val="000000"/>
          <w:sz w:val="24"/>
        </w:rPr>
        <w:t xml:space="preserve"> [Preprint]. arXiv. https://arxiv.org/abs/2607.05363</w:t>
      </w:r>
    </w:p>
    <w:p>
      <w:pPr>
        <w:spacing w:after="120" w:before="0" w:lineRule="auto" w:line="276"/>
        <w:ind w:left="567" w:hanging="567"/>
      </w:pPr>
      <w:r>
        <w:rPr>
          <w:rFonts w:ascii="Times New Roman" w:hAnsi="Times New Roman" w:eastAsia="Times New Roman"/>
          <w:b w:val="0"/>
          <w:i w:val="0"/>
          <w:color w:val="000000"/>
          <w:sz w:val="24"/>
        </w:rPr>
        <w:t xml:space="preserve">Liu, J., Zhao, X., Shang, X., &amp; Shen, Z. (2026). </w:t>
      </w:r>
      <w:r>
        <w:rPr>
          <w:rFonts w:ascii="Times New Roman" w:hAnsi="Times New Roman" w:eastAsia="Times New Roman"/>
          <w:b w:val="0"/>
          <w:i/>
          <w:color w:val="000000"/>
          <w:sz w:val="24"/>
        </w:rPr>
        <w:t>Dive into Claude Code: The design space of today’s and future AI agent systems</w:t>
      </w:r>
      <w:r>
        <w:rPr>
          <w:rFonts w:ascii="Times New Roman" w:hAnsi="Times New Roman" w:eastAsia="Times New Roman"/>
          <w:b w:val="0"/>
          <w:i w:val="0"/>
          <w:color w:val="000000"/>
          <w:sz w:val="24"/>
        </w:rPr>
        <w:t xml:space="preserve"> [Preprint]. arXiv. https://arxiv.org/abs/2604.14228</w:t>
      </w:r>
    </w:p>
    <w:p>
      <w:pPr>
        <w:spacing w:after="120" w:before="0" w:lineRule="auto" w:line="276"/>
        <w:ind w:left="567" w:hanging="567"/>
      </w:pPr>
      <w:r>
        <w:rPr>
          <w:rFonts w:ascii="Times New Roman" w:hAnsi="Times New Roman" w:eastAsia="Times New Roman"/>
          <w:b w:val="0"/>
          <w:i w:val="0"/>
          <w:color w:val="000000"/>
          <w:sz w:val="24"/>
        </w:rPr>
        <w:t xml:space="preserve">Long, T., Zhang, X., Wang, S., Yu, Z., &amp; Chilton, L. B. (2025). </w:t>
      </w:r>
      <w:r>
        <w:rPr>
          <w:rFonts w:ascii="Times New Roman" w:hAnsi="Times New Roman" w:eastAsia="Times New Roman"/>
          <w:b w:val="0"/>
          <w:i/>
          <w:color w:val="000000"/>
          <w:sz w:val="24"/>
        </w:rPr>
        <w:t>DoubleAgents: Interactive simulations for alignment in agentic AI</w:t>
      </w:r>
      <w:r>
        <w:rPr>
          <w:rFonts w:ascii="Times New Roman" w:hAnsi="Times New Roman" w:eastAsia="Times New Roman"/>
          <w:b w:val="0"/>
          <w:i w:val="0"/>
          <w:color w:val="000000"/>
          <w:sz w:val="24"/>
        </w:rPr>
        <w:t xml:space="preserve"> [Preprint]. arXiv. https://arxiv.org/abs/2509.12626</w:t>
      </w:r>
    </w:p>
    <w:p>
      <w:pPr>
        <w:spacing w:after="120" w:before="0" w:lineRule="auto" w:line="276"/>
        <w:ind w:left="567" w:hanging="567"/>
      </w:pPr>
      <w:r>
        <w:rPr>
          <w:rFonts w:ascii="Times New Roman" w:hAnsi="Times New Roman" w:eastAsia="Times New Roman"/>
          <w:b w:val="0"/>
          <w:i w:val="0"/>
          <w:color w:val="000000"/>
          <w:sz w:val="24"/>
        </w:rPr>
        <w:t xml:space="preserve">Medda, F., &amp; Gong, H. (2026). </w:t>
      </w:r>
      <w:r>
        <w:rPr>
          <w:rFonts w:ascii="Times New Roman" w:hAnsi="Times New Roman" w:eastAsia="Times New Roman"/>
          <w:b w:val="0"/>
          <w:i/>
          <w:color w:val="000000"/>
          <w:sz w:val="24"/>
        </w:rPr>
        <w:t>Governed AI-agent coordination for dementia care: Architecture, safety contracts, and evidence-derived workflow verification</w:t>
      </w:r>
      <w:r>
        <w:rPr>
          <w:rFonts w:ascii="Times New Roman" w:hAnsi="Times New Roman" w:eastAsia="Times New Roman"/>
          <w:b w:val="0"/>
          <w:i w:val="0"/>
          <w:color w:val="000000"/>
          <w:sz w:val="24"/>
        </w:rPr>
        <w:t xml:space="preserve"> [Preprint]. arXiv. https://arxiv.org/abs/2609.25956</w:t>
      </w:r>
    </w:p>
    <w:p>
      <w:pPr>
        <w:spacing w:after="120" w:before="0" w:lineRule="auto" w:line="276"/>
        <w:ind w:left="567" w:hanging="567"/>
      </w:pPr>
      <w:r>
        <w:rPr>
          <w:rFonts w:ascii="Times New Roman" w:hAnsi="Times New Roman" w:eastAsia="Times New Roman"/>
          <w:b w:val="0"/>
          <w:i w:val="0"/>
          <w:color w:val="000000"/>
          <w:sz w:val="24"/>
        </w:rPr>
        <w:t xml:space="preserve">Michael, A. E., &amp; Roesner, F. (2026). </w:t>
      </w:r>
      <w:r>
        <w:rPr>
          <w:rFonts w:ascii="Times New Roman" w:hAnsi="Times New Roman" w:eastAsia="Times New Roman"/>
          <w:b w:val="0"/>
          <w:i/>
          <w:color w:val="000000"/>
          <w:sz w:val="24"/>
        </w:rPr>
        <w:t>How agents ask for permission: User permissions for AI agents, from interfaces to enforcement</w:t>
      </w:r>
      <w:r>
        <w:rPr>
          <w:rFonts w:ascii="Times New Roman" w:hAnsi="Times New Roman" w:eastAsia="Times New Roman"/>
          <w:b w:val="0"/>
          <w:i w:val="0"/>
          <w:color w:val="000000"/>
          <w:sz w:val="24"/>
        </w:rPr>
        <w:t xml:space="preserve"> [Preprint]. arXiv. https://arxiv.org/abs/2607.13718</w:t>
      </w:r>
    </w:p>
    <w:p>
      <w:pPr>
        <w:spacing w:after="120" w:before="0" w:lineRule="auto" w:line="276"/>
        <w:ind w:left="567" w:hanging="567"/>
      </w:pPr>
      <w:r>
        <w:rPr>
          <w:rFonts w:ascii="Times New Roman" w:hAnsi="Times New Roman" w:eastAsia="Times New Roman"/>
          <w:b w:val="0"/>
          <w:i w:val="0"/>
          <w:color w:val="000000"/>
          <w:sz w:val="24"/>
        </w:rPr>
        <w:t xml:space="preserve">Mou, Y., Xue, Z., Li, L., Liu, P., Zhang, S., Ye, W., &amp; Shao, J. (2026). </w:t>
      </w:r>
      <w:r>
        <w:rPr>
          <w:rFonts w:ascii="Times New Roman" w:hAnsi="Times New Roman" w:eastAsia="Times New Roman"/>
          <w:b w:val="0"/>
          <w:i/>
          <w:color w:val="000000"/>
          <w:sz w:val="24"/>
        </w:rPr>
        <w:t>ToolSafe: Enhancing tool invocation safety of LLM-based agents via proactive step-level guardrail and feedback</w:t>
      </w:r>
      <w:r>
        <w:rPr>
          <w:rFonts w:ascii="Times New Roman" w:hAnsi="Times New Roman" w:eastAsia="Times New Roman"/>
          <w:b w:val="0"/>
          <w:i w:val="0"/>
          <w:color w:val="000000"/>
          <w:sz w:val="24"/>
        </w:rPr>
        <w:t xml:space="preserve"> [Preprint]. arXiv. https://arxiv.org/abs/2601.10156</w:t>
      </w:r>
    </w:p>
    <w:p>
      <w:pPr>
        <w:spacing w:after="120" w:before="0" w:lineRule="auto" w:line="276"/>
        <w:ind w:left="567" w:hanging="567"/>
      </w:pPr>
      <w:r>
        <w:rPr>
          <w:rFonts w:ascii="Times New Roman" w:hAnsi="Times New Roman" w:eastAsia="Times New Roman"/>
          <w:b w:val="0"/>
          <w:i w:val="0"/>
          <w:color w:val="000000"/>
          <w:sz w:val="24"/>
        </w:rPr>
        <w:t xml:space="preserve">Mozannar, H., Bansal, G., Tan, C., Fourney, A., Dibia, V., Chen, J., Gerrits, J., Payne, T., Maldaner, M. K., Grunde-McLaughlin, M., Zhu, E., Bassman, G., Alber, J., Chang, P., Loynd, R., Niedtner, F., Kamar, E., Murad, M., Hosn, R., &amp; Amershi, S. (2025). </w:t>
      </w:r>
      <w:r>
        <w:rPr>
          <w:rFonts w:ascii="Times New Roman" w:hAnsi="Times New Roman" w:eastAsia="Times New Roman"/>
          <w:b w:val="0"/>
          <w:i/>
          <w:color w:val="000000"/>
          <w:sz w:val="24"/>
        </w:rPr>
        <w:t>Magentic-UI: Towards human-in-the-loop agentic systems</w:t>
      </w:r>
      <w:r>
        <w:rPr>
          <w:rFonts w:ascii="Times New Roman" w:hAnsi="Times New Roman" w:eastAsia="Times New Roman"/>
          <w:b w:val="0"/>
          <w:i w:val="0"/>
          <w:color w:val="000000"/>
          <w:sz w:val="24"/>
        </w:rPr>
        <w:t xml:space="preserve"> [Preprint]. arXiv. https://arxiv.org/abs/2507.22358</w:t>
      </w:r>
    </w:p>
    <w:p>
      <w:pPr>
        <w:spacing w:after="120" w:before="0" w:lineRule="auto" w:line="276"/>
        <w:ind w:left="567" w:hanging="567"/>
      </w:pPr>
      <w:r>
        <w:rPr>
          <w:rFonts w:ascii="Times New Roman" w:hAnsi="Times New Roman" w:eastAsia="Times New Roman"/>
          <w:b w:val="0"/>
          <w:i w:val="0"/>
          <w:color w:val="000000"/>
          <w:sz w:val="24"/>
        </w:rPr>
        <w:t xml:space="preserve">Parasuraman, R., Sheridan, T. B., &amp; Wickens, C. D. (2000). A model for types and levels of human interaction with automation. </w:t>
      </w:r>
      <w:r>
        <w:rPr>
          <w:rFonts w:ascii="Times New Roman" w:hAnsi="Times New Roman" w:eastAsia="Times New Roman"/>
          <w:b w:val="0"/>
          <w:i/>
          <w:color w:val="000000"/>
          <w:sz w:val="24"/>
        </w:rPr>
        <w:t>IEEE Transactions on Systems, Man, and Cybernetics—Part A: Systems and Humans, 30</w:t>
      </w:r>
      <w:r>
        <w:rPr>
          <w:rFonts w:ascii="Times New Roman" w:hAnsi="Times New Roman" w:eastAsia="Times New Roman"/>
          <w:b w:val="0"/>
          <w:i w:val="0"/>
          <w:color w:val="000000"/>
          <w:sz w:val="24"/>
        </w:rPr>
        <w:t>(3), 286–297. https://doi.org/10.1109/3468.844354</w:t>
      </w:r>
    </w:p>
    <w:p>
      <w:pPr>
        <w:spacing w:after="120" w:before="0" w:lineRule="auto" w:line="276"/>
        <w:ind w:left="567" w:hanging="567"/>
      </w:pPr>
      <w:r>
        <w:rPr>
          <w:rFonts w:ascii="Times New Roman" w:hAnsi="Times New Roman" w:eastAsia="Times New Roman"/>
          <w:b w:val="0"/>
          <w:i w:val="0"/>
          <w:color w:val="000000"/>
          <w:sz w:val="24"/>
        </w:rPr>
        <w:t xml:space="preserve">Pochampally, S., An, S., &amp; Chen, Y. (2026). </w:t>
      </w:r>
      <w:r>
        <w:rPr>
          <w:rFonts w:ascii="Times New Roman" w:hAnsi="Times New Roman" w:eastAsia="Times New Roman"/>
          <w:b w:val="0"/>
          <w:i/>
          <w:color w:val="000000"/>
          <w:sz w:val="24"/>
        </w:rPr>
        <w:t>Assistant or actor? Student trust, control, and delegation regret when using a general-purpose AI agent</w:t>
      </w:r>
      <w:r>
        <w:rPr>
          <w:rFonts w:ascii="Times New Roman" w:hAnsi="Times New Roman" w:eastAsia="Times New Roman"/>
          <w:b w:val="0"/>
          <w:i w:val="0"/>
          <w:color w:val="000000"/>
          <w:sz w:val="24"/>
        </w:rPr>
        <w:t xml:space="preserve"> [Preprint]. arXiv. https://arxiv.org/abs/2607.18257</w:t>
      </w:r>
    </w:p>
    <w:p>
      <w:pPr>
        <w:spacing w:after="120" w:before="0" w:lineRule="auto" w:line="276"/>
        <w:ind w:left="567" w:hanging="567"/>
      </w:pPr>
      <w:r>
        <w:rPr>
          <w:rFonts w:ascii="Times New Roman" w:hAnsi="Times New Roman" w:eastAsia="Times New Roman"/>
          <w:b w:val="0"/>
          <w:i w:val="0"/>
          <w:color w:val="000000"/>
          <w:sz w:val="24"/>
        </w:rPr>
        <w:t xml:space="preserve">Qin, S., Zhuang, H., Zhou, Y., Han, Y., &amp; Zhang, X. (2026). </w:t>
      </w:r>
      <w:r>
        <w:rPr>
          <w:rFonts w:ascii="Times New Roman" w:hAnsi="Times New Roman" w:eastAsia="Times New Roman"/>
          <w:b w:val="0"/>
          <w:i/>
          <w:color w:val="000000"/>
          <w:sz w:val="24"/>
        </w:rPr>
        <w:t>AIRGuard: Guarding agent actions with runtime authority control</w:t>
      </w:r>
      <w:r>
        <w:rPr>
          <w:rFonts w:ascii="Times New Roman" w:hAnsi="Times New Roman" w:eastAsia="Times New Roman"/>
          <w:b w:val="0"/>
          <w:i w:val="0"/>
          <w:color w:val="000000"/>
          <w:sz w:val="24"/>
        </w:rPr>
        <w:t xml:space="preserve"> [Preprint]. arXiv. https://arxiv.org/abs/2605.28914</w:t>
      </w:r>
    </w:p>
    <w:p>
      <w:pPr>
        <w:spacing w:after="120" w:before="0" w:lineRule="auto" w:line="276"/>
        <w:ind w:left="567" w:hanging="567"/>
      </w:pPr>
      <w:r>
        <w:rPr>
          <w:rFonts w:ascii="Times New Roman" w:hAnsi="Times New Roman" w:eastAsia="Times New Roman"/>
          <w:b w:val="0"/>
          <w:i w:val="0"/>
          <w:color w:val="000000"/>
          <w:sz w:val="24"/>
        </w:rPr>
        <w:t xml:space="preserve">Qu, Y., Zhang, Ying, Zhang, Yanjun, Deng, G., Li, Y., Zhang, L. Y., &amp; Liu, Y. (2026). </w:t>
      </w:r>
      <w:r>
        <w:rPr>
          <w:rFonts w:ascii="Times New Roman" w:hAnsi="Times New Roman" w:eastAsia="Times New Roman"/>
          <w:b w:val="0"/>
          <w:i/>
          <w:color w:val="000000"/>
          <w:sz w:val="24"/>
        </w:rPr>
        <w:t>Overeager coding agents: Measuring out-of-scope actions on benign tasks</w:t>
      </w:r>
      <w:r>
        <w:rPr>
          <w:rFonts w:ascii="Times New Roman" w:hAnsi="Times New Roman" w:eastAsia="Times New Roman"/>
          <w:b w:val="0"/>
          <w:i w:val="0"/>
          <w:color w:val="000000"/>
          <w:sz w:val="24"/>
        </w:rPr>
        <w:t xml:space="preserve"> [Preprint]. arXiv. https://arxiv.org/abs/2605.18583</w:t>
      </w:r>
    </w:p>
    <w:p>
      <w:pPr>
        <w:spacing w:after="120" w:before="0" w:lineRule="auto" w:line="276"/>
        <w:ind w:left="567" w:hanging="567"/>
      </w:pPr>
      <w:r>
        <w:rPr>
          <w:rFonts w:ascii="Times New Roman" w:hAnsi="Times New Roman" w:eastAsia="Times New Roman"/>
          <w:b w:val="0"/>
          <w:i w:val="0"/>
          <w:color w:val="000000"/>
          <w:sz w:val="24"/>
        </w:rPr>
        <w:t xml:space="preserve">Saleme, M. K. (2026). </w:t>
      </w:r>
      <w:r>
        <w:rPr>
          <w:rFonts w:ascii="Times New Roman" w:hAnsi="Times New Roman" w:eastAsia="Times New Roman"/>
          <w:b w:val="0"/>
          <w:i/>
          <w:color w:val="000000"/>
          <w:sz w:val="24"/>
        </w:rPr>
        <w:t>From approval to execution: Assurance boundaries in three agent protocols</w:t>
      </w:r>
      <w:r>
        <w:rPr>
          <w:rFonts w:ascii="Times New Roman" w:hAnsi="Times New Roman" w:eastAsia="Times New Roman"/>
          <w:b w:val="0"/>
          <w:i w:val="0"/>
          <w:color w:val="000000"/>
          <w:sz w:val="24"/>
        </w:rPr>
        <w:t>. https://doi.org/10.5281/zenodo.22847474</w:t>
      </w:r>
    </w:p>
    <w:p>
      <w:pPr>
        <w:spacing w:after="120" w:before="0" w:lineRule="auto" w:line="276"/>
        <w:ind w:left="567" w:hanging="567"/>
      </w:pPr>
      <w:r>
        <w:rPr>
          <w:rFonts w:ascii="Times New Roman" w:hAnsi="Times New Roman" w:eastAsia="Times New Roman"/>
          <w:b w:val="0"/>
          <w:i w:val="0"/>
          <w:color w:val="000000"/>
          <w:sz w:val="24"/>
        </w:rPr>
        <w:t xml:space="preserve">Salfeld-Nebgen, J. (2026). </w:t>
      </w:r>
      <w:r>
        <w:rPr>
          <w:rFonts w:ascii="Times New Roman" w:hAnsi="Times New Roman" w:eastAsia="Times New Roman"/>
          <w:b w:val="0"/>
          <w:i/>
          <w:color w:val="000000"/>
          <w:sz w:val="24"/>
        </w:rPr>
        <w:t>Governing actions, not agents: Institutional attestation as a governance model for autonomous AI systems</w:t>
      </w:r>
      <w:r>
        <w:rPr>
          <w:rFonts w:ascii="Times New Roman" w:hAnsi="Times New Roman" w:eastAsia="Times New Roman"/>
          <w:b w:val="0"/>
          <w:i w:val="0"/>
          <w:color w:val="000000"/>
          <w:sz w:val="24"/>
        </w:rPr>
        <w:t xml:space="preserve"> [Preprint]. arXiv. https://arxiv.org/abs/2606.26298</w:t>
      </w:r>
    </w:p>
    <w:p>
      <w:pPr>
        <w:spacing w:after="120" w:before="0" w:lineRule="auto" w:line="276"/>
        <w:ind w:left="567" w:hanging="567"/>
      </w:pPr>
      <w:r>
        <w:rPr>
          <w:rFonts w:ascii="Times New Roman" w:hAnsi="Times New Roman" w:eastAsia="Times New Roman"/>
          <w:b w:val="0"/>
          <w:i w:val="0"/>
          <w:color w:val="000000"/>
          <w:sz w:val="24"/>
        </w:rPr>
        <w:t xml:space="preserve">Sharma, R. K. (2026). </w:t>
      </w:r>
      <w:r>
        <w:rPr>
          <w:rFonts w:ascii="Times New Roman" w:hAnsi="Times New Roman" w:eastAsia="Times New Roman"/>
          <w:b w:val="0"/>
          <w:i/>
          <w:color w:val="000000"/>
          <w:sz w:val="24"/>
        </w:rPr>
        <w:t>Criticality-based guard rail validation for AI agent decisions in autonomous telecom networks</w:t>
      </w:r>
      <w:r>
        <w:rPr>
          <w:rFonts w:ascii="Times New Roman" w:hAnsi="Times New Roman" w:eastAsia="Times New Roman"/>
          <w:b w:val="0"/>
          <w:i w:val="0"/>
          <w:color w:val="000000"/>
          <w:sz w:val="24"/>
        </w:rPr>
        <w:t xml:space="preserve"> [Preprint]. arXiv. https://arxiv.org/abs/2607.02210</w:t>
      </w:r>
    </w:p>
    <w:p>
      <w:pPr>
        <w:spacing w:after="120" w:before="0" w:lineRule="auto" w:line="276"/>
        <w:ind w:left="567" w:hanging="567"/>
      </w:pPr>
      <w:r>
        <w:rPr>
          <w:rFonts w:ascii="Times New Roman" w:hAnsi="Times New Roman" w:eastAsia="Times New Roman"/>
          <w:b w:val="0"/>
          <w:i w:val="0"/>
          <w:color w:val="000000"/>
          <w:sz w:val="24"/>
        </w:rPr>
        <w:t xml:space="preserve">Shlomov, S., Shoham, I., Oved, A., &amp; Ship, H. (2026). Governance by construction for generalist agents. </w:t>
      </w:r>
      <w:r>
        <w:rPr>
          <w:rFonts w:ascii="Times New Roman" w:hAnsi="Times New Roman" w:eastAsia="Times New Roman"/>
          <w:b w:val="0"/>
          <w:i/>
          <w:color w:val="000000"/>
          <w:sz w:val="24"/>
        </w:rPr>
        <w:t>Proceedings of the ACM Conference on AI and Agentic Systems</w:t>
      </w:r>
      <w:r>
        <w:rPr>
          <w:rFonts w:ascii="Times New Roman" w:hAnsi="Times New Roman" w:eastAsia="Times New Roman"/>
          <w:b w:val="0"/>
          <w:i w:val="0"/>
          <w:color w:val="000000"/>
          <w:sz w:val="24"/>
        </w:rPr>
        <w:t>. https://doi.org/10.1145/3786335.3813192</w:t>
      </w:r>
    </w:p>
    <w:p>
      <w:pPr>
        <w:spacing w:after="120" w:before="0" w:lineRule="auto" w:line="276"/>
        <w:ind w:left="567" w:hanging="567"/>
      </w:pPr>
      <w:r>
        <w:rPr>
          <w:rFonts w:ascii="Times New Roman" w:hAnsi="Times New Roman" w:eastAsia="Times New Roman"/>
          <w:b w:val="0"/>
          <w:i w:val="0"/>
          <w:color w:val="000000"/>
          <w:sz w:val="24"/>
        </w:rPr>
        <w:t xml:space="preserve">Su, W., Rao, H., &amp; Ma, E. (2026). Privacy and data-integrity risk cards for LLM agents: A UI/UX design framework for tool-approval oversight under prompt injection attacks. </w:t>
      </w:r>
      <w:r>
        <w:rPr>
          <w:rFonts w:ascii="Times New Roman" w:hAnsi="Times New Roman" w:eastAsia="Times New Roman"/>
          <w:b w:val="0"/>
          <w:i/>
          <w:color w:val="000000"/>
          <w:sz w:val="24"/>
        </w:rPr>
        <w:t>International Journal of Graphic Design, 4</w:t>
      </w:r>
      <w:r>
        <w:rPr>
          <w:rFonts w:ascii="Times New Roman" w:hAnsi="Times New Roman" w:eastAsia="Times New Roman"/>
          <w:b w:val="0"/>
          <w:i w:val="0"/>
          <w:color w:val="000000"/>
          <w:sz w:val="24"/>
        </w:rPr>
        <w:t>(1), 186–191. https://doi.org/10.51903/ijgd.v4i1.3699</w:t>
      </w:r>
    </w:p>
    <w:p>
      <w:pPr>
        <w:spacing w:after="120" w:before="0" w:lineRule="auto" w:line="276"/>
        <w:ind w:left="567" w:hanging="567"/>
      </w:pPr>
      <w:r>
        <w:rPr>
          <w:rFonts w:ascii="Times New Roman" w:hAnsi="Times New Roman" w:eastAsia="Times New Roman"/>
          <w:b w:val="0"/>
          <w:i w:val="0"/>
          <w:color w:val="000000"/>
          <w:sz w:val="24"/>
        </w:rPr>
        <w:t xml:space="preserve">Tricco, A. C., Lillie, E., Zarin, W., O’Brien, K. K., Colquhoun, H., Levac, D., Moher, D., Peters, M. D. J., Horsley, T., Weeks, L., Hempel, S., Akl, E. A., Chang, C., McGowan, J., Stewart, L., Hartling, L., Aldcroft, A., Wilson, M. G., Garritty, C., Lewin, S., Godfrey, C. M., Macdonald, M. T., Langlois, E. V., Soares-Weiser, K., Moriarty, J., Clifford, T., Tunçalp, Ö., &amp; Straus, S. E. (2018). PRISMA extension for scoping reviews (PRISMA-ScR): Checklist and explanation. </w:t>
      </w:r>
      <w:r>
        <w:rPr>
          <w:rFonts w:ascii="Times New Roman" w:hAnsi="Times New Roman" w:eastAsia="Times New Roman"/>
          <w:b w:val="0"/>
          <w:i/>
          <w:color w:val="000000"/>
          <w:sz w:val="24"/>
        </w:rPr>
        <w:t>Annals of Internal Medicine, 169</w:t>
      </w:r>
      <w:r>
        <w:rPr>
          <w:rFonts w:ascii="Times New Roman" w:hAnsi="Times New Roman" w:eastAsia="Times New Roman"/>
          <w:b w:val="0"/>
          <w:i w:val="0"/>
          <w:color w:val="000000"/>
          <w:sz w:val="24"/>
        </w:rPr>
        <w:t>(7), 467–473. https://doi.org/10.7326/M18-0850</w:t>
      </w:r>
    </w:p>
    <w:p>
      <w:pPr>
        <w:spacing w:after="120" w:before="0" w:lineRule="auto" w:line="276"/>
        <w:ind w:left="567" w:hanging="567"/>
      </w:pPr>
      <w:r>
        <w:rPr>
          <w:rFonts w:ascii="Times New Roman" w:hAnsi="Times New Roman" w:eastAsia="Times New Roman"/>
          <w:b w:val="0"/>
          <w:i w:val="0"/>
          <w:color w:val="000000"/>
          <w:sz w:val="24"/>
        </w:rPr>
        <w:t xml:space="preserve">Turan, E. (2026). </w:t>
      </w:r>
      <w:r>
        <w:rPr>
          <w:rFonts w:ascii="Times New Roman" w:hAnsi="Times New Roman" w:eastAsia="Times New Roman"/>
          <w:b w:val="0"/>
          <w:i/>
          <w:color w:val="000000"/>
          <w:sz w:val="24"/>
        </w:rPr>
        <w:t>Oversight has a capacity: Calibrating agent guards to a subjective, fatiguing human</w:t>
      </w:r>
      <w:r>
        <w:rPr>
          <w:rFonts w:ascii="Times New Roman" w:hAnsi="Times New Roman" w:eastAsia="Times New Roman"/>
          <w:b w:val="0"/>
          <w:i w:val="0"/>
          <w:color w:val="000000"/>
          <w:sz w:val="24"/>
        </w:rPr>
        <w:t xml:space="preserve"> [Preprint]. arXiv. https://arxiv.org/abs/2606.08919</w:t>
      </w:r>
    </w:p>
    <w:p>
      <w:pPr>
        <w:spacing w:after="120" w:before="0" w:lineRule="auto" w:line="276"/>
        <w:ind w:left="567" w:hanging="567"/>
      </w:pPr>
      <w:r>
        <w:rPr>
          <w:rFonts w:ascii="Times New Roman" w:hAnsi="Times New Roman" w:eastAsia="Times New Roman"/>
          <w:b w:val="0"/>
          <w:i w:val="0"/>
          <w:color w:val="000000"/>
          <w:sz w:val="24"/>
        </w:rPr>
        <w:t xml:space="preserve">Wang, P., Li, Y., &amp; Tian, Y. (2026). </w:t>
      </w:r>
      <w:r>
        <w:rPr>
          <w:rFonts w:ascii="Times New Roman" w:hAnsi="Times New Roman" w:eastAsia="Times New Roman"/>
          <w:b w:val="0"/>
          <w:i/>
          <w:color w:val="000000"/>
          <w:sz w:val="24"/>
        </w:rPr>
        <w:t>Reframing LLM agent security as an agent-human interaction problem</w:t>
      </w:r>
      <w:r>
        <w:rPr>
          <w:rFonts w:ascii="Times New Roman" w:hAnsi="Times New Roman" w:eastAsia="Times New Roman"/>
          <w:b w:val="0"/>
          <w:i w:val="0"/>
          <w:color w:val="000000"/>
          <w:sz w:val="24"/>
        </w:rPr>
        <w:t xml:space="preserve"> [Preprint]. arXiv. https://arxiv.org/abs/2605.24309</w:t>
      </w:r>
    </w:p>
    <w:p>
      <w:pPr>
        <w:spacing w:after="120" w:before="0" w:lineRule="auto" w:line="276"/>
        <w:ind w:left="567" w:hanging="567"/>
      </w:pPr>
      <w:r>
        <w:rPr>
          <w:rFonts w:ascii="Times New Roman" w:hAnsi="Times New Roman" w:eastAsia="Times New Roman"/>
          <w:b w:val="0"/>
          <w:i w:val="0"/>
          <w:color w:val="000000"/>
          <w:sz w:val="24"/>
        </w:rPr>
        <w:t xml:space="preserve">Wang, Y. (2026). </w:t>
      </w:r>
      <w:r>
        <w:rPr>
          <w:rFonts w:ascii="Times New Roman" w:hAnsi="Times New Roman" w:eastAsia="Times New Roman"/>
          <w:b w:val="0"/>
          <w:i/>
          <w:color w:val="000000"/>
          <w:sz w:val="24"/>
        </w:rPr>
        <w:t>Approval laundering: Systematizing approval–execution binding failures in AI coding-agent harnesses</w:t>
      </w:r>
      <w:r>
        <w:rPr>
          <w:rFonts w:ascii="Times New Roman" w:hAnsi="Times New Roman" w:eastAsia="Times New Roman"/>
          <w:b w:val="0"/>
          <w:i w:val="0"/>
          <w:color w:val="000000"/>
          <w:sz w:val="24"/>
        </w:rPr>
        <w:t xml:space="preserve"> [Preprint]. arXiv. https://arxiv.org/abs/2609.38983</w:t>
      </w:r>
    </w:p>
    <w:p>
      <w:pPr>
        <w:spacing w:after="120" w:before="0" w:lineRule="auto" w:line="276"/>
        <w:ind w:left="567" w:hanging="567"/>
      </w:pPr>
      <w:r>
        <w:rPr>
          <w:rFonts w:ascii="Times New Roman" w:hAnsi="Times New Roman" w:eastAsia="Times New Roman"/>
          <w:b w:val="0"/>
          <w:i w:val="0"/>
          <w:color w:val="000000"/>
          <w:sz w:val="24"/>
        </w:rPr>
        <w:t xml:space="preserve">Wang, Y., &amp; Wang, G. (2026). User autonomy in human-LLM interaction: A scoping review. </w:t>
      </w:r>
      <w:r>
        <w:rPr>
          <w:rFonts w:ascii="Times New Roman" w:hAnsi="Times New Roman" w:eastAsia="Times New Roman"/>
          <w:b w:val="0"/>
          <w:i/>
          <w:color w:val="000000"/>
          <w:sz w:val="24"/>
        </w:rPr>
        <w:t>Proceedings of the Extended Abstracts of the 2026 CHI Conference on Human Factors in Computing Systems</w:t>
      </w:r>
      <w:r>
        <w:rPr>
          <w:rFonts w:ascii="Times New Roman" w:hAnsi="Times New Roman" w:eastAsia="Times New Roman"/>
          <w:b w:val="0"/>
          <w:i w:val="0"/>
          <w:color w:val="000000"/>
          <w:sz w:val="24"/>
        </w:rPr>
        <w:t>. https://doi.org/10.1145/3772363.3798855</w:t>
      </w:r>
    </w:p>
    <w:p>
      <w:pPr>
        <w:spacing w:after="120" w:before="0" w:lineRule="auto" w:line="276"/>
        <w:ind w:left="567" w:hanging="567"/>
      </w:pPr>
      <w:r>
        <w:rPr>
          <w:rFonts w:ascii="Times New Roman" w:hAnsi="Times New Roman" w:eastAsia="Times New Roman"/>
          <w:b w:val="0"/>
          <w:i w:val="0"/>
          <w:color w:val="000000"/>
          <w:sz w:val="24"/>
        </w:rPr>
        <w:t xml:space="preserve">Wang, Z. (2026a). </w:t>
      </w:r>
      <w:r>
        <w:rPr>
          <w:rFonts w:ascii="Times New Roman" w:hAnsi="Times New Roman" w:eastAsia="Times New Roman"/>
          <w:b w:val="0"/>
          <w:i/>
          <w:color w:val="000000"/>
          <w:sz w:val="24"/>
        </w:rPr>
        <w:t>CAVA: Canonical action verification and attestation for runtime governance of agentic AI systems</w:t>
      </w:r>
      <w:r>
        <w:rPr>
          <w:rFonts w:ascii="Times New Roman" w:hAnsi="Times New Roman" w:eastAsia="Times New Roman"/>
          <w:b w:val="0"/>
          <w:i w:val="0"/>
          <w:color w:val="000000"/>
          <w:sz w:val="24"/>
        </w:rPr>
        <w:t xml:space="preserve"> [Preprint]. arXiv. https://arxiv.org/abs/2607.13716</w:t>
      </w:r>
    </w:p>
    <w:p>
      <w:pPr>
        <w:spacing w:after="120" w:before="0" w:lineRule="auto" w:line="276"/>
        <w:ind w:left="567" w:hanging="567"/>
      </w:pPr>
      <w:r>
        <w:rPr>
          <w:rFonts w:ascii="Times New Roman" w:hAnsi="Times New Roman" w:eastAsia="Times New Roman"/>
          <w:b w:val="0"/>
          <w:i w:val="0"/>
          <w:color w:val="000000"/>
          <w:sz w:val="24"/>
        </w:rPr>
        <w:t xml:space="preserve">Wang, Z. (2026b). </w:t>
      </w:r>
      <w:r>
        <w:rPr>
          <w:rFonts w:ascii="Times New Roman" w:hAnsi="Times New Roman" w:eastAsia="Times New Roman"/>
          <w:b w:val="0"/>
          <w:i/>
          <w:color w:val="000000"/>
          <w:sz w:val="24"/>
        </w:rPr>
        <w:t>Proof-carrying agent actions: Model-agnostic runtime governance for heterogeneous agent systems</w:t>
      </w:r>
      <w:r>
        <w:rPr>
          <w:rFonts w:ascii="Times New Roman" w:hAnsi="Times New Roman" w:eastAsia="Times New Roman"/>
          <w:b w:val="0"/>
          <w:i w:val="0"/>
          <w:color w:val="000000"/>
          <w:sz w:val="24"/>
        </w:rPr>
        <w:t xml:space="preserve"> [Preprint]. arXiv. https://arxiv.org/abs/2606.04104</w:t>
      </w:r>
    </w:p>
    <w:p>
      <w:pPr>
        <w:spacing w:after="120" w:before="0" w:lineRule="auto" w:line="276"/>
        <w:ind w:left="567" w:hanging="567"/>
      </w:pPr>
      <w:r>
        <w:rPr>
          <w:rFonts w:ascii="Times New Roman" w:hAnsi="Times New Roman" w:eastAsia="Times New Roman"/>
          <w:b w:val="0"/>
          <w:i w:val="0"/>
          <w:color w:val="000000"/>
          <w:sz w:val="24"/>
        </w:rPr>
        <w:t xml:space="preserve">Weng, X. (2026). </w:t>
      </w:r>
      <w:r>
        <w:rPr>
          <w:rFonts w:ascii="Times New Roman" w:hAnsi="Times New Roman" w:eastAsia="Times New Roman"/>
          <w:b w:val="0"/>
          <w:i/>
          <w:color w:val="000000"/>
          <w:sz w:val="24"/>
        </w:rPr>
        <w:t>What you approve is what executes: Consent integrity for black-box LLM agents</w:t>
      </w:r>
      <w:r>
        <w:rPr>
          <w:rFonts w:ascii="Times New Roman" w:hAnsi="Times New Roman" w:eastAsia="Times New Roman"/>
          <w:b w:val="0"/>
          <w:i w:val="0"/>
          <w:color w:val="000000"/>
          <w:sz w:val="24"/>
        </w:rPr>
        <w:t xml:space="preserve"> [Preprint]. arXiv. https://arxiv.org/abs/2606.02668</w:t>
      </w:r>
    </w:p>
    <w:p>
      <w:pPr>
        <w:spacing w:after="120" w:before="0" w:lineRule="auto" w:line="276"/>
        <w:ind w:left="567" w:hanging="567"/>
      </w:pPr>
      <w:r>
        <w:rPr>
          <w:rFonts w:ascii="Times New Roman" w:hAnsi="Times New Roman" w:eastAsia="Times New Roman"/>
          <w:b w:val="0"/>
          <w:i w:val="0"/>
          <w:color w:val="000000"/>
          <w:sz w:val="24"/>
        </w:rPr>
        <w:t xml:space="preserve">Xiang, Z., Zheng, L., Li, Y., Hong, J., Li, Q., Xie, H., Zhang, J., Xiong, Z., Xie, C., Yang, C., Song, D., &amp; Li, B. (2024). </w:t>
      </w:r>
      <w:r>
        <w:rPr>
          <w:rFonts w:ascii="Times New Roman" w:hAnsi="Times New Roman" w:eastAsia="Times New Roman"/>
          <w:b w:val="0"/>
          <w:i/>
          <w:color w:val="000000"/>
          <w:sz w:val="24"/>
        </w:rPr>
        <w:t>GuardAgent: Safeguard LLM agents by a guard agent via knowledge-enabled reasoning</w:t>
      </w:r>
      <w:r>
        <w:rPr>
          <w:rFonts w:ascii="Times New Roman" w:hAnsi="Times New Roman" w:eastAsia="Times New Roman"/>
          <w:b w:val="0"/>
          <w:i w:val="0"/>
          <w:color w:val="000000"/>
          <w:sz w:val="24"/>
        </w:rPr>
        <w:t xml:space="preserve"> [Preprint]. arXiv. https://arxiv.org/abs/2406.09187</w:t>
      </w:r>
    </w:p>
    <w:p>
      <w:pPr>
        <w:spacing w:after="120" w:before="0" w:lineRule="auto" w:line="276"/>
        <w:ind w:left="567" w:hanging="567"/>
      </w:pPr>
      <w:r>
        <w:rPr>
          <w:rFonts w:ascii="Times New Roman" w:hAnsi="Times New Roman" w:eastAsia="Times New Roman"/>
          <w:b w:val="0"/>
          <w:i w:val="0"/>
          <w:color w:val="000000"/>
          <w:sz w:val="24"/>
        </w:rPr>
        <w:t xml:space="preserve">Xie, L., Zheng, C., Xia, H., Qu, H., &amp; Zhu-Tian, C. (2024). WaitGPT: Monitoring and steering conversational LLM agent in data analysis with on-the-fly code visualization. </w:t>
      </w:r>
      <w:r>
        <w:rPr>
          <w:rFonts w:ascii="Times New Roman" w:hAnsi="Times New Roman" w:eastAsia="Times New Roman"/>
          <w:b w:val="0"/>
          <w:i/>
          <w:color w:val="000000"/>
          <w:sz w:val="24"/>
        </w:rPr>
        <w:t>Proceedings of the 37th Annual ACM Symposium on User Interface Software and Technology</w:t>
      </w:r>
      <w:r>
        <w:rPr>
          <w:rFonts w:ascii="Times New Roman" w:hAnsi="Times New Roman" w:eastAsia="Times New Roman"/>
          <w:b w:val="0"/>
          <w:i w:val="0"/>
          <w:color w:val="000000"/>
          <w:sz w:val="24"/>
        </w:rPr>
        <w:t>. https://doi.org/10.1145/3654777.3676374</w:t>
      </w:r>
    </w:p>
    <w:p>
      <w:pPr>
        <w:spacing w:after="120" w:before="0" w:lineRule="auto" w:line="276"/>
        <w:ind w:left="567" w:hanging="567"/>
      </w:pPr>
      <w:r>
        <w:rPr>
          <w:rFonts w:ascii="Times New Roman" w:hAnsi="Times New Roman" w:eastAsia="Times New Roman"/>
          <w:b w:val="0"/>
          <w:i w:val="0"/>
          <w:color w:val="000000"/>
          <w:sz w:val="24"/>
        </w:rPr>
        <w:t xml:space="preserve">Yan, T. (2026). </w:t>
      </w:r>
      <w:r>
        <w:rPr>
          <w:rFonts w:ascii="Times New Roman" w:hAnsi="Times New Roman" w:eastAsia="Times New Roman"/>
          <w:b w:val="0"/>
          <w:i/>
          <w:color w:val="000000"/>
          <w:sz w:val="24"/>
        </w:rPr>
        <w:t>Do user-authored permission policies improve protection against AI agent overreach?</w:t>
      </w:r>
      <w:r>
        <w:rPr>
          <w:rFonts w:ascii="Times New Roman" w:hAnsi="Times New Roman" w:eastAsia="Times New Roman"/>
          <w:b w:val="0"/>
          <w:i w:val="0"/>
          <w:color w:val="000000"/>
          <w:sz w:val="24"/>
        </w:rPr>
        <w:t xml:space="preserve"> [Preprint]. arXiv. https://arxiv.org/abs/2608.27443</w:t>
      </w:r>
    </w:p>
    <w:p>
      <w:pPr>
        <w:spacing w:after="120" w:before="0" w:lineRule="auto" w:line="276"/>
        <w:ind w:left="567" w:hanging="567"/>
      </w:pPr>
      <w:r>
        <w:rPr>
          <w:rFonts w:ascii="Times New Roman" w:hAnsi="Times New Roman" w:eastAsia="Times New Roman"/>
          <w:b w:val="0"/>
          <w:i w:val="0"/>
          <w:color w:val="000000"/>
          <w:sz w:val="24"/>
        </w:rPr>
        <w:t xml:space="preserve">Yang, X., Miao, Z., Sui, D., Shao, J., &amp; Li, L. (2026). </w:t>
      </w:r>
      <w:r>
        <w:rPr>
          <w:rFonts w:ascii="Times New Roman" w:hAnsi="Times New Roman" w:eastAsia="Times New Roman"/>
          <w:b w:val="0"/>
          <w:i/>
          <w:color w:val="000000"/>
          <w:sz w:val="24"/>
        </w:rPr>
        <w:t>Defense-as-skill: Evolving runtime guard skill for skill-augmented agents</w:t>
      </w:r>
      <w:r>
        <w:rPr>
          <w:rFonts w:ascii="Times New Roman" w:hAnsi="Times New Roman" w:eastAsia="Times New Roman"/>
          <w:b w:val="0"/>
          <w:i w:val="0"/>
          <w:color w:val="000000"/>
          <w:sz w:val="24"/>
        </w:rPr>
        <w:t xml:space="preserve"> [Preprint]. arXiv. https://arxiv.org/abs/2609.01487</w:t>
      </w:r>
    </w:p>
    <w:p>
      <w:pPr>
        <w:spacing w:after="120" w:before="0" w:lineRule="auto" w:line="276"/>
        <w:ind w:left="567" w:hanging="567"/>
      </w:pPr>
      <w:r>
        <w:rPr>
          <w:rFonts w:ascii="Times New Roman" w:hAnsi="Times New Roman" w:eastAsia="Times New Roman"/>
          <w:b w:val="0"/>
          <w:i w:val="0"/>
          <w:color w:val="000000"/>
          <w:sz w:val="24"/>
        </w:rPr>
        <w:t xml:space="preserve">Yuan, A., Su, Z., &amp; Zhao, Y. (2026). </w:t>
      </w:r>
      <w:r>
        <w:rPr>
          <w:rFonts w:ascii="Times New Roman" w:hAnsi="Times New Roman" w:eastAsia="Times New Roman"/>
          <w:b w:val="0"/>
          <w:i/>
          <w:color w:val="000000"/>
          <w:sz w:val="24"/>
        </w:rPr>
        <w:t>AEGIS: No tool call left unchecked — a pre-execution firewall and audit layer for AI agents</w:t>
      </w:r>
      <w:r>
        <w:rPr>
          <w:rFonts w:ascii="Times New Roman" w:hAnsi="Times New Roman" w:eastAsia="Times New Roman"/>
          <w:b w:val="0"/>
          <w:i w:val="0"/>
          <w:color w:val="000000"/>
          <w:sz w:val="24"/>
        </w:rPr>
        <w:t xml:space="preserve"> [Preprint]. arXiv. https://arxiv.org/abs/2603.12621</w:t>
      </w:r>
    </w:p>
    <w:p>
      <w:pPr>
        <w:spacing w:after="120" w:before="0" w:lineRule="auto" w:line="276"/>
        <w:ind w:left="567" w:hanging="567"/>
      </w:pPr>
      <w:r>
        <w:rPr>
          <w:rFonts w:ascii="Times New Roman" w:hAnsi="Times New Roman" w:eastAsia="Times New Roman"/>
          <w:b w:val="0"/>
          <w:i w:val="0"/>
          <w:color w:val="000000"/>
          <w:sz w:val="24"/>
        </w:rPr>
        <w:t xml:space="preserve">Zhang, H., Zhang, H., Liang, Z., Yan, Y., Zuo, D., &amp; Wang, H. (2026). </w:t>
      </w:r>
      <w:r>
        <w:rPr>
          <w:rFonts w:ascii="Times New Roman" w:hAnsi="Times New Roman" w:eastAsia="Times New Roman"/>
          <w:b w:val="0"/>
          <w:i/>
          <w:color w:val="000000"/>
          <w:sz w:val="24"/>
        </w:rPr>
        <w:t>Beyond approved actions: Runtime validation of persistent outcomes in agent workflows</w:t>
      </w:r>
      <w:r>
        <w:rPr>
          <w:rFonts w:ascii="Times New Roman" w:hAnsi="Times New Roman" w:eastAsia="Times New Roman"/>
          <w:b w:val="0"/>
          <w:i w:val="0"/>
          <w:color w:val="000000"/>
          <w:sz w:val="24"/>
        </w:rPr>
        <w:t xml:space="preserve"> [Preprint]. arXiv. https://arxiv.org/abs/2609.31301</w:t>
      </w:r>
    </w:p>
    <w:p>
      <w:pPr>
        <w:spacing w:after="120" w:before="0" w:lineRule="auto" w:line="276"/>
        <w:ind w:left="567" w:hanging="567"/>
      </w:pPr>
      <w:r>
        <w:rPr>
          <w:rFonts w:ascii="Times New Roman" w:hAnsi="Times New Roman" w:eastAsia="Times New Roman"/>
          <w:b w:val="0"/>
          <w:i w:val="0"/>
          <w:color w:val="000000"/>
          <w:sz w:val="24"/>
        </w:rPr>
        <w:t xml:space="preserve">Zhang, J., Xia, H., Wu, S., Yue, J., Zhang, X., Cheng, Z., &amp; Tu, B. (2026). </w:t>
      </w:r>
      <w:r>
        <w:rPr>
          <w:rFonts w:ascii="Times New Roman" w:hAnsi="Times New Roman" w:eastAsia="Times New Roman"/>
          <w:b w:val="0"/>
          <w:i/>
          <w:color w:val="000000"/>
          <w:sz w:val="24"/>
        </w:rPr>
        <w:t>Agent approval laundering: Transitive effects beyond the approved invocation</w:t>
      </w:r>
      <w:r>
        <w:rPr>
          <w:rFonts w:ascii="Times New Roman" w:hAnsi="Times New Roman" w:eastAsia="Times New Roman"/>
          <w:b w:val="0"/>
          <w:i w:val="0"/>
          <w:color w:val="000000"/>
          <w:sz w:val="24"/>
        </w:rPr>
        <w:t xml:space="preserve"> [Preprint]. arXiv. https://arxiv.org/abs/2609.28586</w:t>
      </w:r>
    </w:p>
    <w:p>
      <w:pPr>
        <w:spacing w:after="120" w:before="0" w:lineRule="auto" w:line="276"/>
        <w:ind w:left="567" w:hanging="567"/>
      </w:pPr>
      <w:r>
        <w:rPr>
          <w:rFonts w:ascii="Times New Roman" w:hAnsi="Times New Roman" w:eastAsia="Times New Roman"/>
          <w:b w:val="0"/>
          <w:i w:val="0"/>
          <w:color w:val="000000"/>
          <w:sz w:val="24"/>
        </w:rPr>
        <w:t xml:space="preserve">Zhang, Q. (2026). Approve the effect, not the tool call: Preventing stale consent in tool-using agents. </w:t>
      </w:r>
      <w:r>
        <w:rPr>
          <w:rFonts w:ascii="Times New Roman" w:hAnsi="Times New Roman" w:eastAsia="Times New Roman"/>
          <w:b w:val="0"/>
          <w:i/>
          <w:color w:val="000000"/>
          <w:sz w:val="24"/>
        </w:rPr>
        <w:t>The Second Workshop on Agents in the Wild: Safety, Security, and Beyond</w:t>
      </w:r>
      <w:r>
        <w:rPr>
          <w:rFonts w:ascii="Times New Roman" w:hAnsi="Times New Roman" w:eastAsia="Times New Roman"/>
          <w:b w:val="0"/>
          <w:i w:val="0"/>
          <w:color w:val="000000"/>
          <w:sz w:val="24"/>
        </w:rPr>
        <w:t>. https://icml.cc/virtual/2026/67824</w:t>
      </w:r>
    </w:p>
    <w:p>
      <w:pPr>
        <w:spacing w:after="120" w:before="0" w:lineRule="auto" w:line="276"/>
        <w:ind w:left="567" w:hanging="567"/>
      </w:pPr>
      <w:r>
        <w:rPr>
          <w:rFonts w:ascii="Times New Roman" w:hAnsi="Times New Roman" w:eastAsia="Times New Roman"/>
          <w:b w:val="0"/>
          <w:i w:val="0"/>
          <w:color w:val="000000"/>
          <w:sz w:val="24"/>
        </w:rPr>
        <w:t xml:space="preserve">Zhang, S., Chen, J., Gao, Z., Gao, J., Yi, X., &amp; Li, H. (2026). Characterizing unintended consequences of GUI agents for web browsing.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https://doi.org/10.1145/3772318.3790696</w:t>
      </w:r>
    </w:p>
    <w:p>
      <w:pPr>
        <w:spacing w:after="120" w:before="0" w:lineRule="auto" w:line="276"/>
        <w:ind w:left="567" w:hanging="567"/>
      </w:pPr>
      <w:r>
        <w:rPr>
          <w:rFonts w:ascii="Times New Roman" w:hAnsi="Times New Roman" w:eastAsia="Times New Roman"/>
          <w:b w:val="0"/>
          <w:i w:val="0"/>
          <w:color w:val="000000"/>
          <w:sz w:val="24"/>
        </w:rPr>
        <w:t xml:space="preserve">Zhang, Y., Xie, Y., &amp; Chen, K. (2026). </w:t>
      </w:r>
      <w:r>
        <w:rPr>
          <w:rFonts w:ascii="Times New Roman" w:hAnsi="Times New Roman" w:eastAsia="Times New Roman"/>
          <w:b w:val="0"/>
          <w:i/>
          <w:color w:val="000000"/>
          <w:sz w:val="24"/>
        </w:rPr>
        <w:t>The guard that cried wolf: How scary words make agent guardrails refuse legitimate actions</w:t>
      </w:r>
      <w:r>
        <w:rPr>
          <w:rFonts w:ascii="Times New Roman" w:hAnsi="Times New Roman" w:eastAsia="Times New Roman"/>
          <w:b w:val="0"/>
          <w:i w:val="0"/>
          <w:color w:val="000000"/>
          <w:sz w:val="24"/>
        </w:rPr>
        <w:t xml:space="preserve"> [Preprint]. arXiv. https://arxiv.org/abs/2608.27009</w:t>
      </w:r>
    </w:p>
    <w:p>
      <w:pPr>
        <w:spacing w:after="120" w:before="0" w:lineRule="auto" w:line="276"/>
        <w:ind w:left="567" w:hanging="567"/>
      </w:pPr>
      <w:r>
        <w:rPr>
          <w:rFonts w:ascii="Times New Roman" w:hAnsi="Times New Roman" w:eastAsia="Times New Roman"/>
          <w:b w:val="0"/>
          <w:i w:val="0"/>
          <w:color w:val="000000"/>
          <w:sz w:val="24"/>
        </w:rPr>
        <w:t xml:space="preserve">Zheng, Zhijie, Li, Y., Qian, C., Fu, Yuqian, Fu, Yanwei, Sheng, L., Shao, J., &amp; Liu, D. (2026). </w:t>
      </w:r>
      <w:r>
        <w:rPr>
          <w:rFonts w:ascii="Times New Roman" w:hAnsi="Times New Roman" w:eastAsia="Times New Roman"/>
          <w:b w:val="0"/>
          <w:i/>
          <w:color w:val="000000"/>
          <w:sz w:val="24"/>
        </w:rPr>
        <w:t>StepGuard: Learning step-level guardrails with scalable supervision and safety-utility balancing</w:t>
      </w:r>
      <w:r>
        <w:rPr>
          <w:rFonts w:ascii="Times New Roman" w:hAnsi="Times New Roman" w:eastAsia="Times New Roman"/>
          <w:b w:val="0"/>
          <w:i w:val="0"/>
          <w:color w:val="000000"/>
          <w:sz w:val="24"/>
        </w:rPr>
        <w:t xml:space="preserve"> [Preprint]. arXiv. https://arxiv.org/abs/2608.24777</w:t>
      </w:r>
    </w:p>
    <w:p>
      <w:pPr>
        <w:spacing w:after="120" w:before="0" w:lineRule="auto" w:line="276"/>
        <w:ind w:left="567" w:hanging="567"/>
      </w:pPr>
      <w:r>
        <w:rPr>
          <w:rFonts w:ascii="Times New Roman" w:hAnsi="Times New Roman" w:eastAsia="Times New Roman"/>
          <w:b w:val="0"/>
          <w:i w:val="0"/>
          <w:color w:val="000000"/>
          <w:sz w:val="24"/>
        </w:rPr>
        <w:t xml:space="preserve">Zheng, Zihao, Long, J., Li, B., &amp; Yao, J. (2026). </w:t>
      </w:r>
      <w:r>
        <w:rPr>
          <w:rFonts w:ascii="Times New Roman" w:hAnsi="Times New Roman" w:eastAsia="Times New Roman"/>
          <w:b w:val="0"/>
          <w:i/>
          <w:color w:val="000000"/>
          <w:sz w:val="24"/>
        </w:rPr>
        <w:t>Stale does not mean unsafe: Guard precision for tool-using LLM agents under infrastructure state races</w:t>
      </w:r>
      <w:r>
        <w:rPr>
          <w:rFonts w:ascii="Times New Roman" w:hAnsi="Times New Roman" w:eastAsia="Times New Roman"/>
          <w:b w:val="0"/>
          <w:i w:val="0"/>
          <w:color w:val="000000"/>
          <w:sz w:val="24"/>
        </w:rPr>
        <w:t xml:space="preserve"> [Preprint]. arXiv. https://arxiv.org/abs/2609.29522</w:t>
      </w:r>
    </w:p>
    <w:p>
      <w:pPr>
        <w:spacing w:after="120" w:before="0" w:lineRule="auto" w:line="276"/>
        <w:ind w:left="567" w:hanging="567"/>
      </w:pPr>
      <w:r>
        <w:rPr>
          <w:rFonts w:ascii="Times New Roman" w:hAnsi="Times New Roman" w:eastAsia="Times New Roman"/>
          <w:b w:val="0"/>
          <w:i w:val="0"/>
          <w:color w:val="000000"/>
          <w:sz w:val="24"/>
        </w:rPr>
        <w:t xml:space="preserve">Zhou, J., Roy, A., Gupta, S., Weitekamp, D., &amp; MacLellan, C. J. (2025). </w:t>
      </w:r>
      <w:r>
        <w:rPr>
          <w:rFonts w:ascii="Times New Roman" w:hAnsi="Times New Roman" w:eastAsia="Times New Roman"/>
          <w:b w:val="0"/>
          <w:i/>
          <w:color w:val="000000"/>
          <w:sz w:val="24"/>
        </w:rPr>
        <w:t>When should users check? Modeling confirmation frequency in multi-step agentic AI tasks</w:t>
      </w:r>
      <w:r>
        <w:rPr>
          <w:rFonts w:ascii="Times New Roman" w:hAnsi="Times New Roman" w:eastAsia="Times New Roman"/>
          <w:b w:val="0"/>
          <w:i w:val="0"/>
          <w:color w:val="000000"/>
          <w:sz w:val="24"/>
        </w:rPr>
        <w:t xml:space="preserve"> [Preprint]. arXiv. https://arxiv.org/abs/2510.05307</w:t>
      </w:r>
    </w:p>
    <w:p>
      <w:pPr>
        <w:spacing w:after="120" w:before="0" w:lineRule="auto" w:line="276"/>
        <w:ind w:left="567" w:hanging="567"/>
      </w:pPr>
      <w:r>
        <w:rPr>
          <w:rFonts w:ascii="Times New Roman" w:hAnsi="Times New Roman" w:eastAsia="Times New Roman"/>
          <w:b w:val="0"/>
          <w:i w:val="0"/>
          <w:color w:val="000000"/>
          <w:sz w:val="24"/>
        </w:rPr>
        <w:t xml:space="preserve">Zhu, J., Liu, Z., Fan, S., Chen, J., &amp; He, Q. (2026). </w:t>
      </w:r>
      <w:r>
        <w:rPr>
          <w:rFonts w:ascii="Times New Roman" w:hAnsi="Times New Roman" w:eastAsia="Times New Roman"/>
          <w:b w:val="0"/>
          <w:i/>
          <w:color w:val="000000"/>
          <w:sz w:val="24"/>
        </w:rPr>
        <w:t>From approval to execution: Reconstruction-aware repair analysis for LLM-agent software</w:t>
      </w:r>
      <w:r>
        <w:rPr>
          <w:rFonts w:ascii="Times New Roman" w:hAnsi="Times New Roman" w:eastAsia="Times New Roman"/>
          <w:b w:val="0"/>
          <w:i w:val="0"/>
          <w:color w:val="000000"/>
          <w:sz w:val="24"/>
        </w:rPr>
        <w:t xml:space="preserve"> [Preprint]. arXiv. https://arxiv.org/abs/2609.26529</w:t>
      </w:r>
    </w:p>
    <w:p>
      <w:pPr>
        <w:spacing w:after="120" w:before="0" w:lineRule="auto" w:line="276"/>
        <w:ind w:left="567" w:hanging="567"/>
      </w:pPr>
      <w:r>
        <w:rPr>
          <w:rFonts w:ascii="Times New Roman" w:hAnsi="Times New Roman" w:eastAsia="Times New Roman"/>
          <w:b w:val="0"/>
          <w:i w:val="0"/>
          <w:color w:val="000000"/>
          <w:sz w:val="24"/>
        </w:rPr>
        <w:t xml:space="preserve">Zhuang, H., Xing, H., &amp; Zhang, X. (2026). </w:t>
      </w:r>
      <w:r>
        <w:rPr>
          <w:rFonts w:ascii="Times New Roman" w:hAnsi="Times New Roman" w:eastAsia="Times New Roman"/>
          <w:b w:val="0"/>
          <w:i/>
          <w:color w:val="000000"/>
          <w:sz w:val="24"/>
        </w:rPr>
        <w:t>AgentClick: A skill-based human-in-the-loop review layer for terminal AI agents</w:t>
      </w:r>
      <w:r>
        <w:rPr>
          <w:rFonts w:ascii="Times New Roman" w:hAnsi="Times New Roman" w:eastAsia="Times New Roman"/>
          <w:b w:val="0"/>
          <w:i w:val="0"/>
          <w:color w:val="000000"/>
          <w:sz w:val="24"/>
        </w:rPr>
        <w:t xml:space="preserve"> [Preprint]. arXiv. https://arxiv.org/abs/2604.16520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It Acts: A Scoping Review of Preview and Approval in Agentic AI Interfaces</dc:title>
  <dc:subject>Review Article for the International Journal of Human-Computer Interaction</dc:subject>
  <dc:creator>Tooba Jatoi</dc:creator>
  <cp:keywords/>
  <dc:description>generated by python-docx</dc:description>
  <cp:lastModifiedBy/>
  <cp:revision>1</cp:revision>
  <dcterms:created xsi:type="dcterms:W3CDTF">2013-12-23T23:15:00Z</dcterms:created>
  <dcterms:modified xsi:type="dcterms:W3CDTF">2013-12-23T23:15:00Z</dcterms:modified>
  <cp:category/>
</cp:coreProperties>
</file>