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D293" w14:textId="5132B7D0" w:rsidR="00D47DA7" w:rsidRPr="00D47DA7" w:rsidRDefault="00D47DA7" w:rsidP="00D47DA7">
      <w:pPr>
        <w:jc w:val="center"/>
        <w:rPr>
          <w:u w:val="single"/>
        </w:rPr>
      </w:pPr>
      <w:r w:rsidRPr="00D47DA7">
        <w:rPr>
          <w:u w:val="single"/>
        </w:rPr>
        <w:t>Daniel Brock’s Publications</w:t>
      </w:r>
    </w:p>
    <w:p w14:paraId="65B58000" w14:textId="43235E53" w:rsidR="00FA064B" w:rsidRDefault="00FA064B">
      <w:r>
        <w:t>2024 Papers:</w:t>
      </w:r>
    </w:p>
    <w:p w14:paraId="2A7FC825" w14:textId="725871B4" w:rsidR="00FA064B" w:rsidRDefault="00FA064B" w:rsidP="00FA064B">
      <w:pPr>
        <w:pStyle w:val="ListParagraph"/>
        <w:numPr>
          <w:ilvl w:val="0"/>
          <w:numId w:val="3"/>
        </w:numPr>
      </w:pPr>
      <w:r>
        <w:t>Mondal et al</w:t>
      </w:r>
      <w:r w:rsidR="00E06A09">
        <w:fldChar w:fldCharType="begin"/>
      </w:r>
      <w:r w:rsidR="00E06A09">
        <w:instrText xml:space="preserve"> ADDIN ZOTERO_ITEM CSL_CITATION {"citationID":"QAdlINIW","properties":{"formattedCitation":"\\super 1\\nosupersub{}","plainCitation":"1","noteIndex":0},"citationItems":[{"id":943,"uris":["http://zotero.org/users/11064597/items/U9Y8W5UP"],"itemData":{"id":943,"type":"article-journal","container-title":"iScience","DOI":"10.1016/j.isci.2024.108979","ISSN":"2589-0042","issue":"2","journalAbbreviation":"iScience","language":"English","note":"publisher: Elsevier","source":"www.cell.com","title":"Selective transcriptomic dysregulation of metabolic pathways in liver and retina by short- and long-term dietary hyperglycemia","URL":"https://www.cell.com/iscience/abstract/S2589-0042(24)00200-1","volume":"27","author":[{"family":"Mondal","given":"Anupam K."},{"family":"Brock","given":"Daniel C."},{"family":"Rowan","given":"Sheldon"},{"family":"Yang","given":"Zhi-Hong"},{"family":"Rojulpote","given":"Krishna Vamsi"},{"family":"Smith","given":"Kelsey M."},{"family":"Francisco","given":"Sarah G."},{"family":"Bejarano","given":"Eloy"},{"family":"English","given":"Milton A."},{"family":"Deik","given":"Amy"},{"family":"Jeanfavre","given":"Sarah"},{"family":"Clish","given":"Clary B."},{"family":"Remaley","given":"Alan T."},{"family":"Taylor","given":"Allen"},{"family":"Swaroop","given":"Anand"}],"accessed":{"date-parts":[["2024",2,2]]},"issued":{"date-parts":[["2024",2,16]]}}}],"schema":"https://github.com/citation-style-language/schema/raw/master/csl-citation.json"} </w:instrText>
      </w:r>
      <w:r w:rsidR="00E06A09">
        <w:fldChar w:fldCharType="separate"/>
      </w:r>
      <w:r w:rsidR="00E06A09" w:rsidRPr="00E06A09">
        <w:rPr>
          <w:rFonts w:ascii="Calibri" w:hAnsi="Calibri" w:cs="Calibri"/>
          <w:szCs w:val="24"/>
          <w:vertAlign w:val="superscript"/>
        </w:rPr>
        <w:t>1</w:t>
      </w:r>
      <w:r w:rsidR="00E06A09">
        <w:fldChar w:fldCharType="end"/>
      </w:r>
    </w:p>
    <w:p w14:paraId="25BF9AF6" w14:textId="19EEC857" w:rsidR="00C626AE" w:rsidRDefault="00C626AE" w:rsidP="00FA064B">
      <w:pPr>
        <w:pStyle w:val="ListParagraph"/>
        <w:numPr>
          <w:ilvl w:val="0"/>
          <w:numId w:val="3"/>
        </w:numPr>
      </w:pPr>
      <w:r>
        <w:t>Brock et al</w:t>
      </w:r>
      <w:r>
        <w:fldChar w:fldCharType="begin"/>
      </w:r>
      <w:r>
        <w:instrText xml:space="preserve"> ADDIN ZOTERO_ITEM CSL_CITATION {"citationID":"9frVVp1Y","properties":{"formattedCitation":"\\super 2\\nosupersub{}","plainCitation":"2","noteIndex":0},"citationItems":[{"id":1137,"uris":["http://zotero.org/users/11064597/items/PI232JQD"],"itemData":{"id":1137,"type":"article-journal","abstract":"Inherited retinal diseases (IRDs) are a group of rare genetic eye conditions that cause blindness. Despite progress in identifying genes associated with IRDs, improvements are necessary for classifying rare autosomal dominant (AD) disorders. AD diseases are highly heterogenous, with causal variants being restricted to specific amino acid changes within certain protein domains, making AD conditions difficult to classify. Here, we aim to determine the top-performing in-silico tools for predicting the pathogenicity of AD IRD variants. We annotated variants from ClinVar and benchmarked 39 variant classifier tools on IRD genes, split by inheritance pattern. Using area-under-the-curve (AUC) analysis, we determined the top-performing tools and defined thresholds for variant pathogenicity. Top-performing tools were assessed using genome sequencing on a cohort of participants with IRDs of unknown etiology. MutScore achieved the highest accuracy within AD genes, yielding an AUC of 0.969. When filtering for AD gain-of-function and dominant negative variants, BayesDel had the highest accuracy with an AUC of 0.997. Five participants with variants in NR2E3, RHO, GUCA1A, and GUCY2D were confirmed to have dominantly inherited disease based on pedigree, phenotype, and segregation analysis. We identified two uncharacterized variants in GUCA1A (c.428T&amp;gt;A, p.Ile143Thr) and RHO (c.631C&amp;gt;G, p.His211Asp) in three participants. Our findings support using a multi-classifier approach comprised of new missense classifier tools to identify pathogenic variants in participants with AD IRDs. Our results provide a foundation for improved genetic diagnosis for people with IRDs.","container-title":"Human Molecular Genetics","DOI":"10.1093/hmg/ddae028","ISSN":"0964-6906","journalAbbreviation":"Human Molecular Genetics","page":"ddae028","source":"Silverchair","title":"Comparative analysis of in-silico tools in identifying pathogenic variants in dominant inherited retinal diseases","author":[{"family":"Brock","given":"Daniel C"},{"family":"Wang","given":"Meng"},{"family":"Hussain","given":"Hafiz Muhammad Jafar"},{"family":"Rauch","given":"David E"},{"family":"Marra","given":"Molly"},{"family":"Pennesi","given":"Mark E"},{"family":"Yang","given":"Paul"},{"family":"Everett","given":"Lesley"},{"family":"Ajlan","given":"Radwan S"},{"family":"Colbert","given":"Jason"},{"family":"Porto","given":"Fernanda Belga Ottoni"},{"family":"Matynia","given":"Anna"},{"family":"Gorin","given":"Michael B"},{"family":"Koenekoop","given":"Robert K"},{"family":"Lopez","given":"Irma"},{"family":"Sui","given":"Ruifang"},{"family":"Zou","given":"Gang"},{"family":"Li","given":"Yumei"},{"family":"Chen","given":"Rui"}],"issued":{"date-parts":[["2024",3,7]]}}}],"schema":"https://github.com/citation-style-language/schema/raw/master/csl-citation.json"} </w:instrText>
      </w:r>
      <w:r>
        <w:fldChar w:fldCharType="separate"/>
      </w:r>
      <w:r w:rsidRPr="00C626AE">
        <w:rPr>
          <w:rFonts w:ascii="Calibri" w:hAnsi="Calibri" w:cs="Calibri"/>
          <w:vertAlign w:val="superscript"/>
        </w:rPr>
        <w:t>2</w:t>
      </w:r>
      <w:r>
        <w:fldChar w:fldCharType="end"/>
      </w:r>
    </w:p>
    <w:p w14:paraId="3CA30CFF" w14:textId="230A85A3" w:rsidR="00FC37AC" w:rsidRDefault="00FC37AC">
      <w:r>
        <w:t>2023 Papers:</w:t>
      </w:r>
    </w:p>
    <w:p w14:paraId="0CF9E2B6" w14:textId="0FC465A2" w:rsidR="00FC37AC" w:rsidRDefault="00FC37AC" w:rsidP="00FC37AC">
      <w:pPr>
        <w:pStyle w:val="ListParagraph"/>
        <w:numPr>
          <w:ilvl w:val="0"/>
          <w:numId w:val="2"/>
        </w:numPr>
      </w:pPr>
      <w:r>
        <w:t>Yang et al</w:t>
      </w:r>
      <w:r w:rsidR="00370364">
        <w:fldChar w:fldCharType="begin"/>
      </w:r>
      <w:r w:rsidR="00C626AE">
        <w:instrText xml:space="preserve"> ADDIN ZOTERO_ITEM CSL_CITATION {"citationID":"K5KNf3FK","properties":{"formattedCitation":"\\super 3\\nosupersub{}","plainCitation":"3","noteIndex":0},"citationItems":[{"id":542,"uris":["http://zotero.org/users/11064597/items/CE4V34F7"],"itemData":{"id":542,"type":"article-journal","abstract":"Very-long-chain polyunsaturated fatty acids (VLCPUFAs; C24-38) constitute a unique class of PUFA that have important biological roles, but the lack of a suitable dietary source has limited research in this field. We produced an n-3 C24-28-rich VLCPUFA-oil concentrated from fish oil to study its bioavailability and physiological functions in C57BL/6J mice. The serum and retinal C24:5 levels increased significantly compared to control after a single-dose gavage, and VLCPUFAs were incorporated into the liver, brain, and eyes after 8-week supplementation. Dietary VLCPUFAs resulted in favorable cardiometabolic changes, and improved electroretinography responses and visual performance. VLCPUFA supplementation changed the expression of genes involved in PPAR signaling pathways. Further in vitro studies demonstrated that the VLCPUFA-oil and chemically synthesized C24:5 are potent agonists for PPARs. The multiple potential beneficial effects of fish oil-derived VLCPUFAs on cardiometabolic risk and eye health in mice support future efforts to develop VLCPUFA-oil into a supplemental therapy.","container-title":"iScience","DOI":"10.1016/j.isci.2023.108411","ISSN":"2589-0042","issue":"12","journalAbbreviation":"iScience","page":"108411","source":"ScienceDirect","title":"Dietary fish oil enriched in very-long-chain polyunsaturated fatty acid reduces cardiometabolic risk factors and improves retinal function","volume":"26","author":[{"family":"Yang","given":"Zhi-Hong"},{"family":"Gorusupudi","given":"Aruna"},{"family":"Lydic","given":"Todd A."},{"family":"Mondal","given":"Anupam K."},{"family":"Sato","given":"Seizo"},{"family":"Yamazaki","given":"Isao"},{"family":"Yamaguchi","given":"Hideaki"},{"family":"Tang","given":"Jingrong"},{"family":"Rojulpote","given":"Krishna Vamsi"},{"family":"Lin","given":"Anna B."},{"family":"Decot","given":"Hannah"},{"family":"Koch","given":"Hannah"},{"family":"Brock","given":"Daniel C."},{"family":"Arunkumar","given":"Ranganathan"},{"family":"Shi","given":"Zhen-Dan"},{"family":"Yu","given":"Zu-Xi"},{"family":"Pryor","given":"Milton"},{"family":"Kun","given":"Julia F."},{"family":"Swenson","given":"Rolf E."},{"family":"Swaroop","given":"Anand"},{"family":"Bernstein","given":"Paul S."},{"family":"Remaley","given":"Alan T."}],"issued":{"date-parts":[["2023",12,15]]}}}],"schema":"https://github.com/citation-style-language/schema/raw/master/csl-citation.json"} </w:instrText>
      </w:r>
      <w:r w:rsidR="00370364">
        <w:fldChar w:fldCharType="separate"/>
      </w:r>
      <w:r w:rsidR="00C626AE" w:rsidRPr="00C626AE">
        <w:rPr>
          <w:rFonts w:ascii="Calibri" w:hAnsi="Calibri" w:cs="Calibri"/>
          <w:vertAlign w:val="superscript"/>
        </w:rPr>
        <w:t>3</w:t>
      </w:r>
      <w:r w:rsidR="00370364">
        <w:fldChar w:fldCharType="end"/>
      </w:r>
    </w:p>
    <w:p w14:paraId="425AD6A3" w14:textId="0AA02473" w:rsidR="003F42BC" w:rsidRDefault="00D47DA7">
      <w:r>
        <w:t xml:space="preserve">2022 Papers: </w:t>
      </w:r>
    </w:p>
    <w:p w14:paraId="42705483" w14:textId="4321C1DF" w:rsidR="00D47DA7" w:rsidRDefault="00D47DA7" w:rsidP="00D47DA7">
      <w:pPr>
        <w:pStyle w:val="ListParagraph"/>
        <w:numPr>
          <w:ilvl w:val="0"/>
          <w:numId w:val="1"/>
        </w:numPr>
      </w:pPr>
      <w:r>
        <w:t>Smith et a</w:t>
      </w:r>
      <w:r w:rsidR="00FC37AC">
        <w:t>l</w:t>
      </w:r>
      <w:r w:rsidR="00F60BDF">
        <w:fldChar w:fldCharType="begin"/>
      </w:r>
      <w:r w:rsidR="00C626AE">
        <w:instrText xml:space="preserve"> ADDIN ZOTERO_ITEM CSL_CITATION {"citationID":"JIz7Qh9T","properties":{"formattedCitation":"\\super 4\\nosupersub{}","plainCitation":"4","noteIndex":0},"citationItems":[{"id":3,"uris":["http://zotero.org/users/11064597/items/68KJBCH3"],"itemData":{"id":3,"type":"article-journal","abstract":"Functional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potential.","container-title":"BMC Biology","DOI":"10.1186/s12915-022-01267-6","ISSN":"1741-7007","issue":"1","journalAbbreviation":"BMC Biology","page":"68","source":"BioMed Central","title":"GATD3A, a mitochondrial deglycase with evolutionary origins from gammaproteobacteria, restricts the formation of advanced glycation end products","volume":"20","author":[{"family":"Smith","given":"Andrew J."},{"family":"Advani","given":"Jayshree"},{"family":"Brock","given":"Daniel C."},{"family":"Nellissery","given":"Jacob"},{"family":"Gumerson","given":"Jessica"},{"family":"Dong","given":"Lijin"},{"family":"Aravind","given":"L."},{"family":"Kennedy","given":"Breandán"},{"family":"Swaroop","given":"Anand"}],"issued":{"date-parts":[["2022",3,21]]}}}],"schema":"https://github.com/citation-style-language/schema/raw/master/csl-citation.json"} </w:instrText>
      </w:r>
      <w:r w:rsidR="00F60BDF">
        <w:fldChar w:fldCharType="separate"/>
      </w:r>
      <w:r w:rsidR="00C626AE" w:rsidRPr="00C626AE">
        <w:rPr>
          <w:rFonts w:ascii="Calibri" w:hAnsi="Calibri" w:cs="Calibri"/>
          <w:vertAlign w:val="superscript"/>
        </w:rPr>
        <w:t>4</w:t>
      </w:r>
      <w:r w:rsidR="00F60BDF">
        <w:fldChar w:fldCharType="end"/>
      </w:r>
    </w:p>
    <w:p w14:paraId="2544E6E2" w14:textId="70A8E4BF" w:rsidR="00D47DA7" w:rsidRDefault="00D47DA7" w:rsidP="00D47DA7">
      <w:pPr>
        <w:pStyle w:val="ListParagraph"/>
        <w:numPr>
          <w:ilvl w:val="0"/>
          <w:numId w:val="1"/>
        </w:numPr>
      </w:pPr>
      <w:r>
        <w:t>Cleghorn et a</w:t>
      </w:r>
      <w:r w:rsidR="00FC37AC">
        <w:t>l</w:t>
      </w:r>
      <w:r w:rsidR="00F60BDF">
        <w:fldChar w:fldCharType="begin"/>
      </w:r>
      <w:r w:rsidR="00C626AE">
        <w:instrText xml:space="preserve"> ADDIN ZOTERO_ITEM CSL_CITATION {"citationID":"jJKNyfxB","properties":{"formattedCitation":"\\super 5\\nosupersub{}","plainCitation":"5","noteIndex":0},"citationItems":[{"id":6,"uris":["http://zotero.org/users/11064597/items/XBGKNB3Z"],"itemData":{"id":6,"type":"article-journal","abstract":"&lt;p&gt;Inosine monophosphate dehydrogenase (IMPDH) is a key regulatory enzyme in the &lt;i&gt;de novo&lt;/i&gt; synthesis of the purine base guanine. Dominant mutations in human IMPDH1 cause photoreceptor degeneration for reasons that are unknown. Here, we sought to provide some foundational information on Impdh1a in the zebrafish retina. We found that in zebrafish, gene subfunctionalization due to ancestral duplication resulted in a predominant retinal variant expressed exclusively in rod and cone photoreceptors. This variant is structurally and functionally similar to the human IMPDH1 retinal variant and shares a reduced sensitivity to GTP-mediated inhibition. We also demonstrated that Impdh1a forms prominent protein filaments &lt;i&gt;in vitro&lt;/i&gt; and &lt;i&gt;in vivo&lt;/i&gt; in both rod and cone photoreceptor cell bodies, synapses, and to a lesser degree, in outer segments. These filaments changed length and cellular distribution throughout the day consistent with diurnal changes in both mRNA and protein levels. The loss of Impdh1a resulted in a substantial reduction of guanine levels, although cellular morphology and cGMP levels remained normal. Our findings demonstrate a significant role for IMPDH1 in photoreceptor guanine production and provide fundamental new information on the details of this protein in the zebrafish retina.&lt;/p&gt;","container-title":"Journal of Biological Chemistry","DOI":"10.1016/j.jbc.2021.101441","ISSN":"0021-9258, 1083-351X","issue":"1","journalAbbreviation":"Journal of Biological Chemistry","language":"English","note":"publisher: Elsevier\nPMID: 34813793","source":"www.jbc.org","title":"A highly conserved zebrafish IMPDH retinal isoform produces the majority of guanine and forms dynamic protein filaments in photoreceptor cells","URL":"https://www.jbc.org/article/S0021-9258(21)01250-3/abstract","volume":"298","author":[{"family":"Cleghorn","given":"Whitney M."},{"family":"Burrell","given":"Anika L."},{"family":"Giarmarco","given":"Michelle M."},{"family":"Brock","given":"Daniel C."},{"family":"Wang","given":"Yekai"},{"family":"Chambers","given":"Zachary S."},{"family":"Du","given":"Jianhai"},{"family":"Kollman","given":"Justin M."},{"family":"Brockerhoff","given":"Susan E."}],"accessed":{"date-parts":[["2023",2,7]]},"issued":{"date-parts":[["2022",1,1]]}}}],"schema":"https://github.com/citation-style-language/schema/raw/master/csl-citation.json"} </w:instrText>
      </w:r>
      <w:r w:rsidR="00F60BDF">
        <w:fldChar w:fldCharType="separate"/>
      </w:r>
      <w:r w:rsidR="00C626AE" w:rsidRPr="00C626AE">
        <w:rPr>
          <w:rFonts w:ascii="Calibri" w:hAnsi="Calibri" w:cs="Calibri"/>
          <w:vertAlign w:val="superscript"/>
        </w:rPr>
        <w:t>5</w:t>
      </w:r>
      <w:r w:rsidR="00F60BDF">
        <w:fldChar w:fldCharType="end"/>
      </w:r>
    </w:p>
    <w:p w14:paraId="19E60442" w14:textId="4DA347F9" w:rsidR="00D47DA7" w:rsidRDefault="00D47DA7" w:rsidP="00D47DA7">
      <w:r>
        <w:t xml:space="preserve">2020 Papers: </w:t>
      </w:r>
    </w:p>
    <w:p w14:paraId="0C0CEDCF" w14:textId="52A20192" w:rsidR="00D47DA7" w:rsidRDefault="00D47DA7" w:rsidP="00D47DA7">
      <w:pPr>
        <w:pStyle w:val="ListParagraph"/>
        <w:numPr>
          <w:ilvl w:val="0"/>
          <w:numId w:val="1"/>
        </w:numPr>
      </w:pPr>
      <w:proofErr w:type="spellStart"/>
      <w:r>
        <w:t>Giarmarco</w:t>
      </w:r>
      <w:proofErr w:type="spellEnd"/>
      <w:r>
        <w:t xml:space="preserve"> et a</w:t>
      </w:r>
      <w:r w:rsidR="00FC37AC">
        <w:t>l</w:t>
      </w:r>
      <w:r w:rsidR="00F60BDF">
        <w:fldChar w:fldCharType="begin"/>
      </w:r>
      <w:r w:rsidR="00C626AE">
        <w:instrText xml:space="preserve"> ADDIN ZOTERO_ITEM CSL_CITATION {"citationID":"mqQel7NF","properties":{"formattedCitation":"\\super 6\\nosupersub{}","plainCitation":"6","noteIndex":0},"citationItems":[{"id":5,"uris":["http://zotero.org/users/11064597/items/4LSMBQYR"],"itemData":{"id":5,"type":"article-journal","abstract":"Cone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function.","container-title":"Proceedings of the National Academy of Sciences","DOI":"10.1073/pnas.2007827117","issue":"46","note":"publisher: Proceedings of the National Academy of Sciences","page":"28816-28827","source":"pnas.org (Atypon)","title":"Daily mitochondrial dynamics in cone photoreceptors","volume":"117","author":[{"family":"Giarmarco","given":"Michelle M."},{"family":"Brock","given":"Daniel C."},{"family":"Robbings","given":"Brian M."},{"family":"Cleghorn","given":"Whitney M."},{"family":"Tsantilas","given":"Kristine A."},{"family":"Kuch","given":"Kellie C."},{"family":"Ge","given":"William"},{"family":"Rutter","given":"Kaitlyn M."},{"family":"Parker","given":"Edward D."},{"family":"Hurley","given":"James B."},{"family":"Brockerhoff","given":"Susan E."}],"issued":{"date-parts":[["2020",11,17]]}}}],"schema":"https://github.com/citation-style-language/schema/raw/master/csl-citation.json"} </w:instrText>
      </w:r>
      <w:r w:rsidR="00F60BDF">
        <w:fldChar w:fldCharType="separate"/>
      </w:r>
      <w:r w:rsidR="00C626AE" w:rsidRPr="00C626AE">
        <w:rPr>
          <w:rFonts w:ascii="Calibri" w:hAnsi="Calibri" w:cs="Calibri"/>
          <w:vertAlign w:val="superscript"/>
        </w:rPr>
        <w:t>6</w:t>
      </w:r>
      <w:r w:rsidR="00F60BDF">
        <w:fldChar w:fldCharType="end"/>
      </w:r>
    </w:p>
    <w:p w14:paraId="7835939F" w14:textId="231D9FEA" w:rsidR="00D47DA7" w:rsidRDefault="00D47DA7" w:rsidP="00D47DA7">
      <w:r>
        <w:t xml:space="preserve">2019 Papers: </w:t>
      </w:r>
    </w:p>
    <w:p w14:paraId="6899E100" w14:textId="750BBF59" w:rsidR="00D47DA7" w:rsidRDefault="00D47DA7" w:rsidP="00D47DA7">
      <w:pPr>
        <w:pStyle w:val="ListParagraph"/>
        <w:numPr>
          <w:ilvl w:val="0"/>
          <w:numId w:val="1"/>
        </w:numPr>
      </w:pPr>
      <w:r>
        <w:t>Hutto et a</w:t>
      </w:r>
      <w:r w:rsidR="00FC37AC">
        <w:t>l</w:t>
      </w:r>
      <w:r w:rsidR="00892711">
        <w:fldChar w:fldCharType="begin"/>
      </w:r>
      <w:r w:rsidR="00C626AE">
        <w:instrText xml:space="preserve"> ADDIN ZOTERO_ITEM CSL_CITATION {"citationID":"MAlQspDG","properties":{"formattedCitation":"\\super 7\\nosupersub{}","plainCitation":"7","noteIndex":0},"citationItems":[{"id":4,"uris":["http://zotero.org/users/11064597/items/VEYPL98L"],"itemData":{"id":4,"type":"article-journal","abstract":"Photoreceptors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stress.","container-title":"Cell Death &amp; Differentiation","DOI":"10.1038/s41418-019-0398-2","ISSN":"1476-5403","issue":"3","journalAbbreviation":"Cell Death Differ","language":"en","license":"2019 The Author(s), under exclusive licence to ADMC Associazione Differenziamento e Morte Cellulare","note":"number: 3\npublisher: Nature Publishing Group","page":"1067-1085","source":"www.nature.com","title":"Increasing Ca2+ in photoreceptor mitochondria alters metabolites, accelerates photoresponse recovery, and reveals adaptations to mitochondrial stress","volume":"27","author":[{"family":"Hutto","given":"Rachel A."},{"family":"Bisbach","given":"Celia M."},{"family":"Abbas","given":"Fatima"},{"family":"Brock","given":"Daniel C."},{"family":"Cleghorn","given":"Whitney M."},{"family":"Parker","given":"Edward D."},{"family":"Bauer","given":"Benjamin H."},{"family":"Ge","given":"William"},{"family":"Vinberg","given":"Frans"},{"family":"Hurley","given":"James B."},{"family":"Brockerhoff","given":"Susan E."}],"issued":{"date-parts":[["2020",3]]}}}],"schema":"https://github.com/citation-style-language/schema/raw/master/csl-citation.json"} </w:instrText>
      </w:r>
      <w:r w:rsidR="00892711">
        <w:fldChar w:fldCharType="separate"/>
      </w:r>
      <w:r w:rsidR="00C626AE" w:rsidRPr="00C626AE">
        <w:rPr>
          <w:rFonts w:ascii="Calibri" w:hAnsi="Calibri" w:cs="Calibri"/>
          <w:vertAlign w:val="superscript"/>
        </w:rPr>
        <w:t>7</w:t>
      </w:r>
      <w:r w:rsidR="00892711">
        <w:fldChar w:fldCharType="end"/>
      </w:r>
    </w:p>
    <w:p w14:paraId="29940AA0" w14:textId="77777777" w:rsidR="00691FA5" w:rsidRDefault="00691FA5" w:rsidP="00691FA5"/>
    <w:p w14:paraId="062EC535" w14:textId="2A05587F" w:rsidR="00D47DA7" w:rsidRDefault="00892711" w:rsidP="00D47DA7">
      <w:r>
        <w:br w:type="page"/>
      </w:r>
    </w:p>
    <w:p w14:paraId="3F8F3B74" w14:textId="4B3DDA8C" w:rsidR="00D47DA7" w:rsidRDefault="00D47DA7" w:rsidP="00D05B2B">
      <w:pPr>
        <w:jc w:val="center"/>
        <w:rPr>
          <w:u w:val="single"/>
        </w:rPr>
      </w:pPr>
      <w:r w:rsidRPr="00D47DA7">
        <w:rPr>
          <w:u w:val="single"/>
        </w:rPr>
        <w:lastRenderedPageBreak/>
        <w:t>Works Cited</w:t>
      </w:r>
    </w:p>
    <w:p w14:paraId="6E8CC209" w14:textId="77777777" w:rsidR="003169F8" w:rsidRPr="003169F8" w:rsidRDefault="00691FA5" w:rsidP="003169F8">
      <w:pPr>
        <w:pStyle w:val="Bibliography"/>
        <w:rPr>
          <w:rFonts w:ascii="Calibri" w:hAnsi="Calibri" w:cs="Calibri"/>
        </w:rPr>
      </w:pPr>
      <w:r>
        <w:fldChar w:fldCharType="begin"/>
      </w:r>
      <w:r w:rsidR="003169F8">
        <w:instrText xml:space="preserve"> ADDIN ZOTERO_BIBL {"uncited":[],"omitted":[],"custom":[]} CSL_BIBLIOGRAPHY </w:instrText>
      </w:r>
      <w:r>
        <w:fldChar w:fldCharType="separate"/>
      </w:r>
      <w:r w:rsidR="003169F8" w:rsidRPr="003169F8">
        <w:rPr>
          <w:rFonts w:ascii="Calibri" w:hAnsi="Calibri" w:cs="Calibri"/>
        </w:rPr>
        <w:t>1.</w:t>
      </w:r>
      <w:r w:rsidR="003169F8" w:rsidRPr="003169F8">
        <w:rPr>
          <w:rFonts w:ascii="Calibri" w:hAnsi="Calibri" w:cs="Calibri"/>
        </w:rPr>
        <w:tab/>
        <w:t xml:space="preserve">Mondal AK, Brock DC, Rowan S, et al. Selective transcriptomic dysregulation of metabolic pathways in liver and retina by short- and long-term dietary hyperglycemia. </w:t>
      </w:r>
      <w:proofErr w:type="spellStart"/>
      <w:r w:rsidR="003169F8" w:rsidRPr="003169F8">
        <w:rPr>
          <w:rFonts w:ascii="Calibri" w:hAnsi="Calibri" w:cs="Calibri"/>
          <w:i/>
          <w:iCs/>
        </w:rPr>
        <w:t>iScience</w:t>
      </w:r>
      <w:proofErr w:type="spellEnd"/>
      <w:r w:rsidR="003169F8" w:rsidRPr="003169F8">
        <w:rPr>
          <w:rFonts w:ascii="Calibri" w:hAnsi="Calibri" w:cs="Calibri"/>
        </w:rPr>
        <w:t xml:space="preserve">. 2024;27(2). </w:t>
      </w:r>
      <w:proofErr w:type="gramStart"/>
      <w:r w:rsidR="003169F8" w:rsidRPr="003169F8">
        <w:rPr>
          <w:rFonts w:ascii="Calibri" w:hAnsi="Calibri" w:cs="Calibri"/>
        </w:rPr>
        <w:t>doi:10.1016/j.isci</w:t>
      </w:r>
      <w:proofErr w:type="gramEnd"/>
      <w:r w:rsidR="003169F8" w:rsidRPr="003169F8">
        <w:rPr>
          <w:rFonts w:ascii="Calibri" w:hAnsi="Calibri" w:cs="Calibri"/>
        </w:rPr>
        <w:t>.2024.108979</w:t>
      </w:r>
    </w:p>
    <w:p w14:paraId="28FCD25A" w14:textId="77777777" w:rsidR="003169F8" w:rsidRPr="003169F8" w:rsidRDefault="003169F8" w:rsidP="003169F8">
      <w:pPr>
        <w:pStyle w:val="Bibliography"/>
        <w:rPr>
          <w:rFonts w:ascii="Calibri" w:hAnsi="Calibri" w:cs="Calibri"/>
        </w:rPr>
      </w:pPr>
      <w:r w:rsidRPr="003169F8">
        <w:rPr>
          <w:rFonts w:ascii="Calibri" w:hAnsi="Calibri" w:cs="Calibri"/>
        </w:rPr>
        <w:t>2.</w:t>
      </w:r>
      <w:r w:rsidRPr="003169F8">
        <w:rPr>
          <w:rFonts w:ascii="Calibri" w:hAnsi="Calibri" w:cs="Calibri"/>
        </w:rPr>
        <w:tab/>
        <w:t xml:space="preserve">Brock DC, Wang M, Hussain HMJ, et al. Comparative analysis of in-silico tools in identifying pathogenic variants in dominant inherited retinal diseases. </w:t>
      </w:r>
      <w:r w:rsidRPr="003169F8">
        <w:rPr>
          <w:rFonts w:ascii="Calibri" w:hAnsi="Calibri" w:cs="Calibri"/>
          <w:i/>
          <w:iCs/>
        </w:rPr>
        <w:t>Human Molecular Genetics</w:t>
      </w:r>
      <w:r w:rsidRPr="003169F8">
        <w:rPr>
          <w:rFonts w:ascii="Calibri" w:hAnsi="Calibri" w:cs="Calibri"/>
        </w:rPr>
        <w:t xml:space="preserve">. Published online March 7, </w:t>
      </w:r>
      <w:proofErr w:type="gramStart"/>
      <w:r w:rsidRPr="003169F8">
        <w:rPr>
          <w:rFonts w:ascii="Calibri" w:hAnsi="Calibri" w:cs="Calibri"/>
        </w:rPr>
        <w:t>2024:ddae</w:t>
      </w:r>
      <w:proofErr w:type="gramEnd"/>
      <w:r w:rsidRPr="003169F8">
        <w:rPr>
          <w:rFonts w:ascii="Calibri" w:hAnsi="Calibri" w:cs="Calibri"/>
        </w:rPr>
        <w:t>028. doi:10.1093/</w:t>
      </w:r>
      <w:proofErr w:type="spellStart"/>
      <w:r w:rsidRPr="003169F8">
        <w:rPr>
          <w:rFonts w:ascii="Calibri" w:hAnsi="Calibri" w:cs="Calibri"/>
        </w:rPr>
        <w:t>hmg</w:t>
      </w:r>
      <w:proofErr w:type="spellEnd"/>
      <w:r w:rsidRPr="003169F8">
        <w:rPr>
          <w:rFonts w:ascii="Calibri" w:hAnsi="Calibri" w:cs="Calibri"/>
        </w:rPr>
        <w:t>/ddae028</w:t>
      </w:r>
    </w:p>
    <w:p w14:paraId="061E7C93" w14:textId="77777777" w:rsidR="003169F8" w:rsidRPr="003169F8" w:rsidRDefault="003169F8" w:rsidP="003169F8">
      <w:pPr>
        <w:pStyle w:val="Bibliography"/>
        <w:rPr>
          <w:rFonts w:ascii="Calibri" w:hAnsi="Calibri" w:cs="Calibri"/>
        </w:rPr>
      </w:pPr>
      <w:r w:rsidRPr="003169F8">
        <w:rPr>
          <w:rFonts w:ascii="Calibri" w:hAnsi="Calibri" w:cs="Calibri"/>
        </w:rPr>
        <w:t>3.</w:t>
      </w:r>
      <w:r w:rsidRPr="003169F8">
        <w:rPr>
          <w:rFonts w:ascii="Calibri" w:hAnsi="Calibri" w:cs="Calibri"/>
        </w:rPr>
        <w:tab/>
        <w:t xml:space="preserve">Yang ZH, </w:t>
      </w:r>
      <w:proofErr w:type="spellStart"/>
      <w:r w:rsidRPr="003169F8">
        <w:rPr>
          <w:rFonts w:ascii="Calibri" w:hAnsi="Calibri" w:cs="Calibri"/>
        </w:rPr>
        <w:t>Gorusupudi</w:t>
      </w:r>
      <w:proofErr w:type="spellEnd"/>
      <w:r w:rsidRPr="003169F8">
        <w:rPr>
          <w:rFonts w:ascii="Calibri" w:hAnsi="Calibri" w:cs="Calibri"/>
        </w:rPr>
        <w:t xml:space="preserve"> A, Lydic TA, et al. Dietary fish oil enriched in very-long-chain polyunsaturated fatty acid reduces cardiometabolic risk factors and improves retinal function. </w:t>
      </w:r>
      <w:proofErr w:type="spellStart"/>
      <w:r w:rsidRPr="003169F8">
        <w:rPr>
          <w:rFonts w:ascii="Calibri" w:hAnsi="Calibri" w:cs="Calibri"/>
          <w:i/>
          <w:iCs/>
        </w:rPr>
        <w:t>iScience</w:t>
      </w:r>
      <w:proofErr w:type="spellEnd"/>
      <w:r w:rsidRPr="003169F8">
        <w:rPr>
          <w:rFonts w:ascii="Calibri" w:hAnsi="Calibri" w:cs="Calibri"/>
        </w:rPr>
        <w:t xml:space="preserve">. 2023;26(12):108411. </w:t>
      </w:r>
      <w:proofErr w:type="gramStart"/>
      <w:r w:rsidRPr="003169F8">
        <w:rPr>
          <w:rFonts w:ascii="Calibri" w:hAnsi="Calibri" w:cs="Calibri"/>
        </w:rPr>
        <w:t>doi:10.1016/j.isci</w:t>
      </w:r>
      <w:proofErr w:type="gramEnd"/>
      <w:r w:rsidRPr="003169F8">
        <w:rPr>
          <w:rFonts w:ascii="Calibri" w:hAnsi="Calibri" w:cs="Calibri"/>
        </w:rPr>
        <w:t>.2023.108411</w:t>
      </w:r>
    </w:p>
    <w:p w14:paraId="5A9DB784" w14:textId="77777777" w:rsidR="003169F8" w:rsidRPr="003169F8" w:rsidRDefault="003169F8" w:rsidP="003169F8">
      <w:pPr>
        <w:pStyle w:val="Bibliography"/>
        <w:rPr>
          <w:rFonts w:ascii="Calibri" w:hAnsi="Calibri" w:cs="Calibri"/>
        </w:rPr>
      </w:pPr>
      <w:r w:rsidRPr="003169F8">
        <w:rPr>
          <w:rFonts w:ascii="Calibri" w:hAnsi="Calibri" w:cs="Calibri"/>
        </w:rPr>
        <w:t>4.</w:t>
      </w:r>
      <w:r w:rsidRPr="003169F8">
        <w:rPr>
          <w:rFonts w:ascii="Calibri" w:hAnsi="Calibri" w:cs="Calibri"/>
        </w:rPr>
        <w:tab/>
        <w:t xml:space="preserve">Smith AJ, Advani J, Brock DC, et al. GATD3A, a mitochondrial </w:t>
      </w:r>
      <w:proofErr w:type="spellStart"/>
      <w:r w:rsidRPr="003169F8">
        <w:rPr>
          <w:rFonts w:ascii="Calibri" w:hAnsi="Calibri" w:cs="Calibri"/>
        </w:rPr>
        <w:t>deglycase</w:t>
      </w:r>
      <w:proofErr w:type="spellEnd"/>
      <w:r w:rsidRPr="003169F8">
        <w:rPr>
          <w:rFonts w:ascii="Calibri" w:hAnsi="Calibri" w:cs="Calibri"/>
        </w:rPr>
        <w:t xml:space="preserve"> with evolutionary origins from </w:t>
      </w:r>
      <w:proofErr w:type="spellStart"/>
      <w:r w:rsidRPr="003169F8">
        <w:rPr>
          <w:rFonts w:ascii="Calibri" w:hAnsi="Calibri" w:cs="Calibri"/>
        </w:rPr>
        <w:t>gammaproteobacteria</w:t>
      </w:r>
      <w:proofErr w:type="spellEnd"/>
      <w:r w:rsidRPr="003169F8">
        <w:rPr>
          <w:rFonts w:ascii="Calibri" w:hAnsi="Calibri" w:cs="Calibri"/>
        </w:rPr>
        <w:t xml:space="preserve">, restricts the formation of advanced glycation end products. </w:t>
      </w:r>
      <w:r w:rsidRPr="003169F8">
        <w:rPr>
          <w:rFonts w:ascii="Calibri" w:hAnsi="Calibri" w:cs="Calibri"/>
          <w:i/>
          <w:iCs/>
        </w:rPr>
        <w:t>BMC Biology</w:t>
      </w:r>
      <w:r w:rsidRPr="003169F8">
        <w:rPr>
          <w:rFonts w:ascii="Calibri" w:hAnsi="Calibri" w:cs="Calibri"/>
        </w:rPr>
        <w:t>. 2022;20(1):68. doi:10.1186/s12915-022-01267-6</w:t>
      </w:r>
    </w:p>
    <w:p w14:paraId="6F9631EB" w14:textId="77777777" w:rsidR="003169F8" w:rsidRPr="003169F8" w:rsidRDefault="003169F8" w:rsidP="003169F8">
      <w:pPr>
        <w:pStyle w:val="Bibliography"/>
        <w:rPr>
          <w:rFonts w:ascii="Calibri" w:hAnsi="Calibri" w:cs="Calibri"/>
        </w:rPr>
      </w:pPr>
      <w:r w:rsidRPr="003169F8">
        <w:rPr>
          <w:rFonts w:ascii="Calibri" w:hAnsi="Calibri" w:cs="Calibri"/>
        </w:rPr>
        <w:t>5.</w:t>
      </w:r>
      <w:r w:rsidRPr="003169F8">
        <w:rPr>
          <w:rFonts w:ascii="Calibri" w:hAnsi="Calibri" w:cs="Calibri"/>
        </w:rPr>
        <w:tab/>
        <w:t xml:space="preserve">Cleghorn WM, Burrell AL, </w:t>
      </w:r>
      <w:proofErr w:type="spellStart"/>
      <w:r w:rsidRPr="003169F8">
        <w:rPr>
          <w:rFonts w:ascii="Calibri" w:hAnsi="Calibri" w:cs="Calibri"/>
        </w:rPr>
        <w:t>Giarmarco</w:t>
      </w:r>
      <w:proofErr w:type="spellEnd"/>
      <w:r w:rsidRPr="003169F8">
        <w:rPr>
          <w:rFonts w:ascii="Calibri" w:hAnsi="Calibri" w:cs="Calibri"/>
        </w:rPr>
        <w:t xml:space="preserve"> MM, et al. A highly conserved zebrafish IMPDH retinal isoform produces the majority of guanine and forms dynamic protein filaments in photoreceptor cells. </w:t>
      </w:r>
      <w:r w:rsidRPr="003169F8">
        <w:rPr>
          <w:rFonts w:ascii="Calibri" w:hAnsi="Calibri" w:cs="Calibri"/>
          <w:i/>
          <w:iCs/>
        </w:rPr>
        <w:t>Journal of Biological Chemistry</w:t>
      </w:r>
      <w:r w:rsidRPr="003169F8">
        <w:rPr>
          <w:rFonts w:ascii="Calibri" w:hAnsi="Calibri" w:cs="Calibri"/>
        </w:rPr>
        <w:t xml:space="preserve">. 2022;298(1). </w:t>
      </w:r>
      <w:proofErr w:type="gramStart"/>
      <w:r w:rsidRPr="003169F8">
        <w:rPr>
          <w:rFonts w:ascii="Calibri" w:hAnsi="Calibri" w:cs="Calibri"/>
        </w:rPr>
        <w:t>doi:10.1016/j.jbc</w:t>
      </w:r>
      <w:proofErr w:type="gramEnd"/>
      <w:r w:rsidRPr="003169F8">
        <w:rPr>
          <w:rFonts w:ascii="Calibri" w:hAnsi="Calibri" w:cs="Calibri"/>
        </w:rPr>
        <w:t>.2021.101441</w:t>
      </w:r>
    </w:p>
    <w:p w14:paraId="700604F2" w14:textId="77777777" w:rsidR="003169F8" w:rsidRPr="003169F8" w:rsidRDefault="003169F8" w:rsidP="003169F8">
      <w:pPr>
        <w:pStyle w:val="Bibliography"/>
        <w:rPr>
          <w:rFonts w:ascii="Calibri" w:hAnsi="Calibri" w:cs="Calibri"/>
        </w:rPr>
      </w:pPr>
      <w:r w:rsidRPr="003169F8">
        <w:rPr>
          <w:rFonts w:ascii="Calibri" w:hAnsi="Calibri" w:cs="Calibri"/>
        </w:rPr>
        <w:t>6.</w:t>
      </w:r>
      <w:r w:rsidRPr="003169F8">
        <w:rPr>
          <w:rFonts w:ascii="Calibri" w:hAnsi="Calibri" w:cs="Calibri"/>
        </w:rPr>
        <w:tab/>
      </w:r>
      <w:proofErr w:type="spellStart"/>
      <w:r w:rsidRPr="003169F8">
        <w:rPr>
          <w:rFonts w:ascii="Calibri" w:hAnsi="Calibri" w:cs="Calibri"/>
        </w:rPr>
        <w:t>Giarmarco</w:t>
      </w:r>
      <w:proofErr w:type="spellEnd"/>
      <w:r w:rsidRPr="003169F8">
        <w:rPr>
          <w:rFonts w:ascii="Calibri" w:hAnsi="Calibri" w:cs="Calibri"/>
        </w:rPr>
        <w:t xml:space="preserve"> MM, Brock DC, </w:t>
      </w:r>
      <w:proofErr w:type="spellStart"/>
      <w:r w:rsidRPr="003169F8">
        <w:rPr>
          <w:rFonts w:ascii="Calibri" w:hAnsi="Calibri" w:cs="Calibri"/>
        </w:rPr>
        <w:t>Robbings</w:t>
      </w:r>
      <w:proofErr w:type="spellEnd"/>
      <w:r w:rsidRPr="003169F8">
        <w:rPr>
          <w:rFonts w:ascii="Calibri" w:hAnsi="Calibri" w:cs="Calibri"/>
        </w:rPr>
        <w:t xml:space="preserve"> BM, et al. Daily mitochondrial dynamics in cone photoreceptors. </w:t>
      </w:r>
      <w:r w:rsidRPr="003169F8">
        <w:rPr>
          <w:rFonts w:ascii="Calibri" w:hAnsi="Calibri" w:cs="Calibri"/>
          <w:i/>
          <w:iCs/>
        </w:rPr>
        <w:t>Proceedings of the National Academy of Sciences</w:t>
      </w:r>
      <w:r w:rsidRPr="003169F8">
        <w:rPr>
          <w:rFonts w:ascii="Calibri" w:hAnsi="Calibri" w:cs="Calibri"/>
        </w:rPr>
        <w:t>. 2020;117(46):28816-28827. doi:10.1073/pnas.2007827117</w:t>
      </w:r>
    </w:p>
    <w:p w14:paraId="31F8AC6E" w14:textId="77777777" w:rsidR="003169F8" w:rsidRPr="003169F8" w:rsidRDefault="003169F8" w:rsidP="003169F8">
      <w:pPr>
        <w:pStyle w:val="Bibliography"/>
        <w:rPr>
          <w:rFonts w:ascii="Calibri" w:hAnsi="Calibri" w:cs="Calibri"/>
        </w:rPr>
      </w:pPr>
      <w:r w:rsidRPr="003169F8">
        <w:rPr>
          <w:rFonts w:ascii="Calibri" w:hAnsi="Calibri" w:cs="Calibri"/>
        </w:rPr>
        <w:t>7.</w:t>
      </w:r>
      <w:r w:rsidRPr="003169F8">
        <w:rPr>
          <w:rFonts w:ascii="Calibri" w:hAnsi="Calibri" w:cs="Calibri"/>
        </w:rPr>
        <w:tab/>
        <w:t xml:space="preserve">Hutto RA, </w:t>
      </w:r>
      <w:proofErr w:type="spellStart"/>
      <w:r w:rsidRPr="003169F8">
        <w:rPr>
          <w:rFonts w:ascii="Calibri" w:hAnsi="Calibri" w:cs="Calibri"/>
        </w:rPr>
        <w:t>Bisbach</w:t>
      </w:r>
      <w:proofErr w:type="spellEnd"/>
      <w:r w:rsidRPr="003169F8">
        <w:rPr>
          <w:rFonts w:ascii="Calibri" w:hAnsi="Calibri" w:cs="Calibri"/>
        </w:rPr>
        <w:t xml:space="preserve"> CM, Abbas F, et al. Increasing Ca2+ in photoreceptor mitochondria alters metabolites, accelerates </w:t>
      </w:r>
      <w:proofErr w:type="spellStart"/>
      <w:r w:rsidRPr="003169F8">
        <w:rPr>
          <w:rFonts w:ascii="Calibri" w:hAnsi="Calibri" w:cs="Calibri"/>
        </w:rPr>
        <w:t>photoresponse</w:t>
      </w:r>
      <w:proofErr w:type="spellEnd"/>
      <w:r w:rsidRPr="003169F8">
        <w:rPr>
          <w:rFonts w:ascii="Calibri" w:hAnsi="Calibri" w:cs="Calibri"/>
        </w:rPr>
        <w:t xml:space="preserve"> recovery, and reveals adaptations to mitochondrial stress. </w:t>
      </w:r>
      <w:r w:rsidRPr="003169F8">
        <w:rPr>
          <w:rFonts w:ascii="Calibri" w:hAnsi="Calibri" w:cs="Calibri"/>
          <w:i/>
          <w:iCs/>
        </w:rPr>
        <w:t>Cell Death Differ</w:t>
      </w:r>
      <w:r w:rsidRPr="003169F8">
        <w:rPr>
          <w:rFonts w:ascii="Calibri" w:hAnsi="Calibri" w:cs="Calibri"/>
        </w:rPr>
        <w:t>. 2020;27(3):1067-1085. doi:10.1038/s41418-019-0398-2</w:t>
      </w:r>
    </w:p>
    <w:p w14:paraId="5F01777C" w14:textId="73879B5A" w:rsidR="00D05B2B" w:rsidRPr="00D05B2B" w:rsidRDefault="00691FA5" w:rsidP="00D05B2B">
      <w:r>
        <w:fldChar w:fldCharType="end"/>
      </w:r>
    </w:p>
    <w:sectPr w:rsidR="00D05B2B" w:rsidRPr="00D0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C5D"/>
    <w:multiLevelType w:val="hybridMultilevel"/>
    <w:tmpl w:val="80AA6F04"/>
    <w:lvl w:ilvl="0" w:tplc="B6489C9C">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750E"/>
    <w:multiLevelType w:val="hybridMultilevel"/>
    <w:tmpl w:val="578057FA"/>
    <w:lvl w:ilvl="0" w:tplc="7248D02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D0B2A"/>
    <w:multiLevelType w:val="hybridMultilevel"/>
    <w:tmpl w:val="FFAE6442"/>
    <w:lvl w:ilvl="0" w:tplc="2F5E7618">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9443">
    <w:abstractNumId w:val="0"/>
  </w:num>
  <w:num w:numId="2" w16cid:durableId="190263192">
    <w:abstractNumId w:val="2"/>
  </w:num>
  <w:num w:numId="3" w16cid:durableId="24591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7"/>
    <w:rsid w:val="003169F8"/>
    <w:rsid w:val="00370364"/>
    <w:rsid w:val="003F42BC"/>
    <w:rsid w:val="00691FA5"/>
    <w:rsid w:val="00892711"/>
    <w:rsid w:val="00C626AE"/>
    <w:rsid w:val="00D05B2B"/>
    <w:rsid w:val="00D47DA7"/>
    <w:rsid w:val="00E06A09"/>
    <w:rsid w:val="00F60BDF"/>
    <w:rsid w:val="00FA064B"/>
    <w:rsid w:val="00FC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72"/>
  <w15:chartTrackingRefBased/>
  <w15:docId w15:val="{4F12E959-0754-4A40-B71B-AC21F40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A7"/>
    <w:pPr>
      <w:ind w:left="720"/>
      <w:contextualSpacing/>
    </w:pPr>
  </w:style>
  <w:style w:type="character" w:styleId="PlaceholderText">
    <w:name w:val="Placeholder Text"/>
    <w:basedOn w:val="DefaultParagraphFont"/>
    <w:uiPriority w:val="99"/>
    <w:semiHidden/>
    <w:rsid w:val="00D47DA7"/>
    <w:rPr>
      <w:color w:val="808080"/>
    </w:rPr>
  </w:style>
  <w:style w:type="character" w:customStyle="1" w:styleId="Heading1Char">
    <w:name w:val="Heading 1 Char"/>
    <w:basedOn w:val="DefaultParagraphFont"/>
    <w:link w:val="Heading1"/>
    <w:uiPriority w:val="9"/>
    <w:rsid w:val="00D47D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1FA5"/>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1001">
      <w:bodyDiv w:val="1"/>
      <w:marLeft w:val="0"/>
      <w:marRight w:val="0"/>
      <w:marTop w:val="0"/>
      <w:marBottom w:val="0"/>
      <w:divBdr>
        <w:top w:val="none" w:sz="0" w:space="0" w:color="auto"/>
        <w:left w:val="none" w:sz="0" w:space="0" w:color="auto"/>
        <w:bottom w:val="none" w:sz="0" w:space="0" w:color="auto"/>
        <w:right w:val="none" w:sz="0" w:space="0" w:color="auto"/>
      </w:divBdr>
      <w:divsChild>
        <w:div w:id="1593196393">
          <w:marLeft w:val="640"/>
          <w:marRight w:val="0"/>
          <w:marTop w:val="0"/>
          <w:marBottom w:val="0"/>
          <w:divBdr>
            <w:top w:val="none" w:sz="0" w:space="0" w:color="auto"/>
            <w:left w:val="none" w:sz="0" w:space="0" w:color="auto"/>
            <w:bottom w:val="none" w:sz="0" w:space="0" w:color="auto"/>
            <w:right w:val="none" w:sz="0" w:space="0" w:color="auto"/>
          </w:divBdr>
        </w:div>
        <w:div w:id="746533203">
          <w:marLeft w:val="640"/>
          <w:marRight w:val="0"/>
          <w:marTop w:val="0"/>
          <w:marBottom w:val="0"/>
          <w:divBdr>
            <w:top w:val="none" w:sz="0" w:space="0" w:color="auto"/>
            <w:left w:val="none" w:sz="0" w:space="0" w:color="auto"/>
            <w:bottom w:val="none" w:sz="0" w:space="0" w:color="auto"/>
            <w:right w:val="none" w:sz="0" w:space="0" w:color="auto"/>
          </w:divBdr>
        </w:div>
        <w:div w:id="1149908186">
          <w:marLeft w:val="640"/>
          <w:marRight w:val="0"/>
          <w:marTop w:val="0"/>
          <w:marBottom w:val="0"/>
          <w:divBdr>
            <w:top w:val="none" w:sz="0" w:space="0" w:color="auto"/>
            <w:left w:val="none" w:sz="0" w:space="0" w:color="auto"/>
            <w:bottom w:val="none" w:sz="0" w:space="0" w:color="auto"/>
            <w:right w:val="none" w:sz="0" w:space="0" w:color="auto"/>
          </w:divBdr>
        </w:div>
        <w:div w:id="8012665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91C6-88E0-4B56-81AD-1F42567EF421}">
  <we:reference id="wa104382081" version="1.46.0.0" store="en-US" storeType="OMEX"/>
  <we:alternateReferences>
    <we:reference id="WA104382081" version="1.46.0.0" store="" storeType="OMEX"/>
  </we:alternateReferences>
  <we:properties>
    <we:property name="MENDELEY_CITATIONS" value="[{&quot;citationID&quot;:&quot;MENDELEY_CITATION_fd63720d-7ecc-4646-81fb-161675a1dfb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quot;,&quot;citationItems&quot;:[{&quot;id&quot;:&quot;01104ab8-81c1-339b-89ad-50b23292a0c5&quot;,&quot;itemData&quot;:{&quot;type&quot;:&quot;article-journal&quot;,&quot;id&quot;:&quot;01104ab8-81c1-339b-89ad-50b23292a0c5&quot;,&quot;title&quot;:&quot;GATD3A, a mitochondrial deglycase with evolutionary origins from gammaproteobacteria, restricts the formation of advanced glycation end products&quot;,&quot;author&quot;:[{&quot;family&quot;:&quot;Smith&quot;,&quot;given&quot;:&quot;Andrew J&quot;,&quot;parse-names&quot;:false,&quot;dropping-particle&quot;:&quot;&quot;,&quot;non-dropping-particle&quot;:&quot;&quot;},{&quot;family&quot;:&quot;Advani&quot;,&quot;given&quot;:&quot;Jayshree&quot;,&quot;parse-names&quot;:false,&quot;dropping-particle&quot;:&quot;&quot;,&quot;non-dropping-particle&quot;:&quot;&quot;},{&quot;family&quot;:&quot;Brock&quot;,&quot;given&quot;:&quot;Daniel C&quot;,&quot;parse-names&quot;:false,&quot;dropping-particle&quot;:&quot;&quot;,&quot;non-dropping-particle&quot;:&quot;&quot;},{&quot;family&quot;:&quot;Nellissery&quot;,&quot;given&quot;:&quot;Jacob&quot;,&quot;parse-names&quot;:false,&quot;dropping-particle&quot;:&quot;&quot;,&quot;non-dropping-particle&quot;:&quot;&quot;},{&quot;family&quot;:&quot;Gumerson&quot;,&quot;given&quot;:&quot;Jessica&quot;,&quot;parse-names&quot;:false,&quot;dropping-particle&quot;:&quot;&quot;,&quot;non-dropping-particle&quot;:&quot;&quot;},{&quot;family&quot;:&quot;Dong&quot;,&quot;given&quot;:&quot;Lijin&quot;,&quot;parse-names&quot;:false,&quot;dropping-particle&quot;:&quot;&quot;,&quot;non-dropping-particle&quot;:&quot;&quot;},{&quot;family&quot;:&quot;Aravind&quot;,&quot;given&quot;:&quot;L&quot;,&quot;parse-names&quot;:false,&quot;dropping-particle&quot;:&quot;&quot;,&quot;non-dropping-particle&quot;:&quot;&quot;},{&quot;family&quot;:&quot;Kennedy&quot;,&quot;given&quot;:&quot;Breandán&quot;,&quot;parse-names&quot;:false,&quot;dropping-particle&quot;:&quot;&quot;,&quot;non-dropping-particle&quot;:&quot;&quot;},{&quot;family&quot;:&quot;Swaroop&quot;,&quot;given&quot;:&quot;Anand&quot;,&quot;parse-names&quot;:false,&quot;dropping-particle&quot;:&quot;&quot;,&quot;non-dropping-particle&quot;:&quot;&quot;}],&quot;container-title&quot;:&quot;BMC Biology&quot;,&quot;container-title-short&quot;:&quot;BMC Biol&quot;,&quot;DOI&quot;:&quot;10.1186/s12915-022-01267-6&quot;,&quot;ISSN&quot;:&quot;1741-7007&quot;,&quot;URL&quot;:&quot;https://doi.org/10.1186/s12915-022-01267-6&quot;,&quot;issued&quot;:{&quot;date-parts&quot;:[[2022]]},&quot;page&quot;:&quot;68&quot;,&quot;abstract&quot;:&quo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quot;,&quot;issue&quot;:&quot;1&quot;,&quot;volume&quot;:&quot;20&quot;},&quot;isTemporary&quot;:false}]},{&quot;citationID&quot;:&quot;MENDELEY_CITATION_66880d18-21d1-4408-a0d1-54bfaa048f8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quot;,&quot;citationItems&quot;:[{&quot;id&quot;:&quot;12d428ee-69d6-3e5c-bcff-0b8f266579e6&quot;,&quot;itemData&quot;:{&quot;type&quot;:&quot;article-journal&quot;,&quot;id&quot;:&quot;12d428ee-69d6-3e5c-bcff-0b8f266579e6&quot;,&quot;title&quot;:&quot;A highly conserved zebrafish IMPDH retinal isoform produces the majority of guanine and forms dynamic protein filaments in photoreceptor cells&quot;,&quot;author&quot;:[{&quot;family&quot;:&quot;Cleghorn&quot;,&quot;given&quot;:&quot;Whitney M&quot;,&quot;parse-names&quot;:false,&quot;dropping-particle&quot;:&quot;&quot;,&quot;non-dropping-particle&quot;:&quot;&quot;},{&quot;family&quot;:&quot;Burrell&quot;,&quot;given&quot;:&quot;Anika L&quot;,&quot;parse-names&quot;:false,&quot;dropping-particle&quot;:&quot;&quot;,&quot;non-dropping-particle&quot;:&quot;&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Wang&quot;,&quot;given&quot;:&quot;Yekai&quot;,&quot;parse-names&quot;:false,&quot;dropping-particle&quot;:&quot;&quot;,&quot;non-dropping-particle&quot;:&quot;&quot;},{&quot;family&quot;:&quot;Chambers&quot;,&quot;given&quot;:&quot;Zachary S&quot;,&quot;parse-names&quot;:false,&quot;dropping-particle&quot;:&quot;&quot;,&quot;non-dropping-particle&quot;:&quot;&quot;},{&quot;family&quot;:&quot;Du&quot;,&quot;given&quot;:&quot;Jianhai&quot;,&quot;parse-names&quot;:false,&quot;dropping-particle&quot;:&quot;&quot;,&quot;non-dropping-particle&quot;:&quot;&quot;},{&quot;family&quot;:&quot;Kollman&quot;,&quot;given&quot;:&quot;Justin M&quot;,&quot;parse-names&quot;:false,&quot;dropping-particle&quot;:&quot;&quot;,&quot;non-dropping-particle&quot;:&quot;&quot;},{&quot;family&quot;:&quot;Brockerhoff&quot;,&quot;given&quot;:&quot;Susan E&quot;,&quot;parse-names&quot;:false,&quot;dropping-particle&quot;:&quot;&quot;,&quot;non-dropping-particle&quot;:&quot;&quot;}],&quot;container-title&quot;:&quot;Journal of Biological Chemistry&quot;,&quot;DOI&quot;:&quot;10.1016/j.jbc.2021.101441&quot;,&quot;ISSN&quot;:&quot;0021-9258&quot;,&quot;URL&quot;:&quot;https://doi.org/10.1016/j.jbc.2021.101441&quot;,&quot;issued&quot;:{&quot;date-parts&quot;:[[2022,1,1]]},&quot;publisher&quot;:&quot;Elsevier&quot;,&quot;issue&quot;:&quot;1&quot;,&quot;volume&quot;:&quot;298&quot;,&quot;container-title-short&quot;:&quot;&quot;},&quot;isTemporary&quot;:false}]},{&quot;citationID&quot;:&quot;MENDELEY_CITATION_a50a780c-62e8-421a-b927-cc9315417a4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quot;,&quot;citationItems&quot;:[{&quot;id&quot;:&quot;3c09de6d-4e4e-3845-a777-d52de35b7bca&quot;,&quot;itemData&quot;:{&quot;type&quot;:&quot;article-journal&quot;,&quot;id&quot;:&quot;3c09de6d-4e4e-3845-a777-d52de35b7bca&quot;,&quot;title&quot;:&quot;Daily mitochondrial dynamics in cone photoreceptors&quot;,&quot;author&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Robbings&quot;,&quot;given&quot;:&quot;Brian M&quot;,&quot;parse-names&quot;:false,&quot;dropping-particle&quot;:&quot;&quot;,&quot;non-dropping-particle&quot;:&quot;&quot;},{&quot;family&quot;:&quot;Cleghorn&quot;,&quot;given&quot;:&quot;Whitney M&quot;,&quot;parse-names&quot;:false,&quot;dropping-particle&quot;:&quot;&quot;,&quot;non-dropping-particle&quot;:&quot;&quot;},{&quot;family&quot;:&quot;Tsantilas&quot;,&quot;given&quot;:&quot;Kristine A&quot;,&quot;parse-names&quot;:false,&quot;dropping-particle&quot;:&quot;&quot;,&quot;non-dropping-particle&quot;:&quot;&quot;},{&quot;family&quot;:&quot;Kuch&quot;,&quot;given&quot;:&quot;Kellie C&quot;,&quot;parse-names&quot;:false,&quot;dropping-particle&quot;:&quot;&quot;,&quot;non-dropping-particle&quot;:&quot;&quot;},{&quot;family&quot;:&quot;Ge&quot;,&quot;given&quot;:&quot;William&quot;,&quot;parse-names&quot;:false,&quot;dropping-particle&quot;:&quot;&quot;,&quot;non-dropping-particle&quot;:&quot;&quot;},{&quot;family&quot;:&quot;Rutter&quot;,&quot;given&quot;:&quot;Kaitlyn M&quot;,&quot;parse-names&quot;:false,&quot;dropping-particle&quot;:&quot;&quot;,&quot;non-dropping-particle&quot;:&quot;&quot;},{&quot;family&quot;:&quot;Parker&quot;,&quot;given&quot;:&quot;Edward D&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Proceedings of the National Academy of Sciences&quot;,&quot;DOI&quot;:&quot;10.1073/pnas.2007827117&quot;,&quot;URL&quot;:&quot;https://doi.org/10.1073/pnas.2007827117&quot;,&quot;issued&quot;:{&quot;date-parts&quot;:[[2020,11,17]]},&quot;page&quot;:&quot;28816-28827&quot;,&quot;abstract&quot;:&quo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quot;,&quot;publisher&quot;:&quot;Proceedings of the National Academy of Sciences&quot;,&quot;issue&quot;:&quot;46&quot;,&quot;volume&quot;:&quot;117&quot;,&quot;container-title-short&quot;:&quot;&quot;},&quot;isTemporary&quot;:false}]},{&quot;citationID&quot;:&quot;MENDELEY_CITATION_41376439-0848-4c36-baae-a11effc3f7b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quot;,&quot;citationItems&quot;:[{&quot;id&quot;:&quot;fca27d58-be8e-312b-a029-42f14bb00b7f&quot;,&quot;itemData&quot;:{&quot;type&quot;:&quot;article-journal&quot;,&quot;id&quot;:&quot;fca27d58-be8e-312b-a029-42f14bb00b7f&quot;,&quot;title&quot;:&quot;Increasing Ca2+ in photoreceptor mitochondria alters metabolites, accelerates photoresponse recovery, and reveals adaptations to mitochondrial stress&quot;,&quot;author&quot;:[{&quot;family&quot;:&quot;Hutto&quot;,&quot;given&quot;:&quot;Rachel A&quot;,&quot;parse-names&quot;:false,&quot;dropping-particle&quot;:&quot;&quot;,&quot;non-dropping-particle&quot;:&quot;&quot;},{&quot;family&quot;:&quot;Bisbach&quot;,&quot;given&quot;:&quot;Celia M&quot;,&quot;parse-names&quot;:false,&quot;dropping-particle&quot;:&quot;&quot;,&quot;non-dropping-particle&quot;:&quot;&quot;},{&quot;family&quot;:&quot;Abbas&quot;,&quot;given&quot;:&quot;Fatima&quot;,&quot;parse-names&quot;:false,&quot;dropping-particle&quot;:&quot;&quot;,&quot;non-dropping-particle&quot;:&quot;&quot;},{&quot;family&quot;:&quot;Brock&quot;,&quot;given&quot;:&quot;Daniel C&quot;,&quot;parse-names&quot;:false,&quot;dropping-particle&quot;:&quot;&quot;,&quot;non-dropping-particle&quot;:&quot;&quot;},{&quot;family&quot;:&quot;Cleghorn&quot;,&quot;given&quot;:&quot;Whitney M&quot;,&quot;parse-names&quot;:false,&quot;dropping-particle&quot;:&quot;&quot;,&quot;non-dropping-particle&quot;:&quot;&quot;},{&quot;family&quot;:&quot;Parker&quot;,&quot;given&quot;:&quot;Edward D&quot;,&quot;parse-names&quot;:false,&quot;dropping-particle&quot;:&quot;&quot;,&quot;non-dropping-particle&quot;:&quot;&quot;},{&quot;family&quot;:&quot;Bauer&quot;,&quot;given&quot;:&quot;Benjamin H&quot;,&quot;parse-names&quot;:false,&quot;dropping-particle&quot;:&quot;&quot;,&quot;non-dropping-particle&quot;:&quot;&quot;},{&quot;family&quot;:&quot;Ge&quot;,&quot;given&quot;:&quot;William&quot;,&quot;parse-names&quot;:false,&quot;dropping-particle&quot;:&quot;&quot;,&quot;non-dropping-particle&quot;:&quot;&quot;},{&quot;family&quot;:&quot;Vinberg&quot;,&quot;given&quot;:&quot;Frans&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Cell Death &amp; Differentiation&quot;,&quot;container-title-short&quot;:&quot;Cell Death Differ&quot;,&quot;DOI&quot;:&quot;10.1038/s41418-019-0398-2&quot;,&quot;ISSN&quot;:&quot;1476-5403&quot;,&quot;URL&quot;:&quot;https://doi.org/10.1038/s41418-019-0398-2&quot;,&quot;issued&quot;:{&quot;date-parts&quot;:[[2020]]},&quot;page&quot;:&quot;1067-1085&quot;,&quot;abstract&quot;:&quo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quot;,&quot;issue&quot;:&quot;3&quot;,&quot;volume&quot;:&quot;27&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616B-AA4F-4549-8657-C1109FE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2831</Words>
  <Characters>16138</Characters>
  <Application>Microsoft Office Word</Application>
  <DocSecurity>0</DocSecurity>
  <Lines>134</Lines>
  <Paragraphs>37</Paragraphs>
  <ScaleCrop>false</ScaleCrop>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Daniel Christopher</dc:creator>
  <cp:keywords/>
  <dc:description/>
  <cp:lastModifiedBy>Daniel Brock</cp:lastModifiedBy>
  <cp:revision>11</cp:revision>
  <dcterms:created xsi:type="dcterms:W3CDTF">2023-01-02T22:46:00Z</dcterms:created>
  <dcterms:modified xsi:type="dcterms:W3CDTF">2024-03-09T02:30:00Z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id="OdSo4rrV"/&gt;&lt;style id="http://www.zotero.org/styles/american-medical-association" hasBibliography="1" bibliographyStyleHasBeenSet="1"/&gt;&lt;prefs&gt;&lt;pref name="fieldType" value="Field"/&gt;&lt;/prefs&gt;&lt;/data&gt;</vt:lpwstr>
  </property>
</Properties>
</file>