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3000" w:line="240" w:lineRule="auto"/>
        <w:jc w:val="center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Санкт-Петербургский Национальный Исследовательский Университет Информационных технологий, механики и оптики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Лабораторная работа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#1</w:t>
      </w:r>
    </w:p>
    <w:p w:rsidR="00000000" w:rsidDel="00000000" w:rsidP="00000000" w:rsidRDefault="00000000" w:rsidRPr="00000000" w14:paraId="00000003">
      <w:pPr>
        <w:spacing w:after="2400" w:line="240" w:lineRule="auto"/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Анализ данных с помощью сценариев “ЧТО-ЕСЛИ”</w:t>
      </w:r>
    </w:p>
    <w:p w:rsidR="00000000" w:rsidDel="00000000" w:rsidP="00000000" w:rsidRDefault="00000000" w:rsidRPr="00000000" w14:paraId="00000004">
      <w:pPr>
        <w:spacing w:after="0" w:line="240" w:lineRule="auto"/>
        <w:jc w:val="righ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Выполнил: Канева</w:t>
      </w:r>
    </w:p>
    <w:p w:rsidR="00000000" w:rsidDel="00000000" w:rsidP="00000000" w:rsidRDefault="00000000" w:rsidRPr="00000000" w14:paraId="00000005">
      <w:pPr>
        <w:spacing w:after="0" w:line="240" w:lineRule="auto"/>
        <w:jc w:val="righ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Тамара Игоревна</w:t>
      </w:r>
    </w:p>
    <w:p w:rsidR="00000000" w:rsidDel="00000000" w:rsidP="00000000" w:rsidRDefault="00000000" w:rsidRPr="00000000" w14:paraId="00000006">
      <w:pPr>
        <w:spacing w:after="0" w:line="240" w:lineRule="auto"/>
        <w:jc w:val="righ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Группа № 3121</w:t>
      </w:r>
    </w:p>
    <w:p w:rsidR="00000000" w:rsidDel="00000000" w:rsidP="00000000" w:rsidRDefault="00000000" w:rsidRPr="00000000" w14:paraId="00000007">
      <w:pPr>
        <w:spacing w:after="0" w:line="240" w:lineRule="auto"/>
        <w:jc w:val="righ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Проверила: Казанова</w:t>
      </w:r>
    </w:p>
    <w:p w:rsidR="00000000" w:rsidDel="00000000" w:rsidP="00000000" w:rsidRDefault="00000000" w:rsidRPr="00000000" w14:paraId="00000008">
      <w:pPr>
        <w:spacing w:after="3880" w:line="240" w:lineRule="auto"/>
        <w:jc w:val="righ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Полина Петровна</w:t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2021</w:t>
      </w:r>
    </w:p>
    <w:p w:rsidR="00000000" w:rsidDel="00000000" w:rsidP="00000000" w:rsidRDefault="00000000" w:rsidRPr="00000000" w14:paraId="0000000B">
      <w:pPr>
        <w:spacing w:after="240" w:lin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Цель работы:</w:t>
      </w:r>
    </w:p>
    <w:p w:rsidR="00000000" w:rsidDel="00000000" w:rsidP="00000000" w:rsidRDefault="00000000" w:rsidRPr="00000000" w14:paraId="0000000C">
      <w:pPr>
        <w:tabs>
          <w:tab w:val="left" w:pos="3600"/>
        </w:tabs>
        <w:spacing w:after="60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Изучить средства программы Microsoft Excel для анализа данных с помощью сценариев и таблиц подстановки.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lin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Задачи:</w:t>
      </w:r>
    </w:p>
    <w:p w:rsidR="00000000" w:rsidDel="00000000" w:rsidP="00000000" w:rsidRDefault="00000000" w:rsidRPr="00000000" w14:paraId="0000000E">
      <w:pPr>
        <w:tabs>
          <w:tab w:val="left" w:pos="3600"/>
        </w:tabs>
        <w:spacing w:after="600" w:line="240" w:lineRule="auto"/>
        <w:rPr>
          <w:rFonts w:ascii="Arial" w:cs="Arial" w:eastAsia="Arial" w:hAnsi="Arial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Научиться создавать и просматривать сценарии, объединять разные сценарии, создавать отчёты по сценарию, а также создавать таблицы подстановки с одним или двумя входами.</w:t>
      </w:r>
    </w:p>
    <w:p w:rsidR="00000000" w:rsidDel="00000000" w:rsidP="00000000" w:rsidRDefault="00000000" w:rsidRPr="00000000" w14:paraId="0000000F">
      <w:pPr>
        <w:spacing w:after="240" w:lin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Ход работы:</w:t>
      </w:r>
    </w:p>
    <w:p w:rsidR="00000000" w:rsidDel="00000000" w:rsidP="00000000" w:rsidRDefault="00000000" w:rsidRPr="00000000" w14:paraId="00000010">
      <w:pPr>
        <w:spacing w:after="240" w:line="240" w:lineRule="auto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Создание и просмотр сценария.</w:t>
      </w:r>
    </w:p>
    <w:p w:rsidR="00000000" w:rsidDel="00000000" w:rsidP="00000000" w:rsidRDefault="00000000" w:rsidRPr="00000000" w14:paraId="00000011">
      <w:pPr>
        <w:tabs>
          <w:tab w:val="left" w:pos="4110"/>
        </w:tabs>
        <w:spacing w:after="60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Откроем книгу с данными, которые будем анализировать, например “ArrayFormulas.xls”, и скопируем лист “Товарный чек” в новую книгу, с которой и будем работать, чтобы исходные данные не потерялись. В таблице мы видим наименования товаров, их цены и количество приобретенных единиц. Вычислим сумму всего заказа, выведем её в ячейку C7 (рис. 1).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1614488</wp:posOffset>
            </wp:positionH>
            <wp:positionV relativeFrom="paragraph">
              <wp:posOffset>1171575</wp:posOffset>
            </wp:positionV>
            <wp:extent cx="2895600" cy="1251921"/>
            <wp:effectExtent b="0" l="0" r="0" t="0"/>
            <wp:wrapTopAndBottom distB="114300" distT="11430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2519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tabs>
          <w:tab w:val="left" w:pos="4110"/>
        </w:tabs>
        <w:spacing w:after="600" w:line="240" w:lineRule="auto"/>
        <w:jc w:val="center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Рис. 1. Вычисление суммы заказа.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8924925</wp:posOffset>
            </wp:positionV>
            <wp:extent cx="3961448" cy="3887746"/>
            <wp:effectExtent b="0" l="0" r="0" t="0"/>
            <wp:wrapTopAndBottom distB="114300" distT="11430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1448" cy="38877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tabs>
          <w:tab w:val="left" w:pos="4110"/>
        </w:tabs>
        <w:spacing w:after="60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Выделим диапазон B2:C5 (как ячейки, значения которых могут изменяться) и с помощью команды “Сервис” - “Сценарии” откроем окно “Диспетчер сценариев”. Добавим новый сценарий “Вариант исходный” с помощью команды “+” (рис. 2).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1990725</wp:posOffset>
            </wp:positionH>
            <wp:positionV relativeFrom="paragraph">
              <wp:posOffset>685800</wp:posOffset>
            </wp:positionV>
            <wp:extent cx="2143897" cy="2106119"/>
            <wp:effectExtent b="0" l="0" r="0" t="0"/>
            <wp:wrapTopAndBottom distB="114300" distT="1143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897" cy="21061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tabs>
          <w:tab w:val="left" w:pos="4110"/>
        </w:tabs>
        <w:spacing w:after="600" w:line="240" w:lineRule="auto"/>
        <w:jc w:val="center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Рис. 2. Диспетчер сценариев.</w:t>
      </w:r>
    </w:p>
    <w:p w:rsidR="00000000" w:rsidDel="00000000" w:rsidP="00000000" w:rsidRDefault="00000000" w:rsidRPr="00000000" w14:paraId="00000015">
      <w:pPr>
        <w:tabs>
          <w:tab w:val="left" w:pos="4110"/>
        </w:tabs>
        <w:spacing w:after="60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В открывшемся окне введём имя сценария и убедимся, что в поле “Изменяемые ячейки” указаны корректные значения, после чего нажмём кнопку “ОК” (рис. 3).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1869285</wp:posOffset>
            </wp:positionH>
            <wp:positionV relativeFrom="paragraph">
              <wp:posOffset>474315</wp:posOffset>
            </wp:positionV>
            <wp:extent cx="2382544" cy="2725132"/>
            <wp:effectExtent b="0" l="0" r="0" t="0"/>
            <wp:wrapTopAndBottom distB="114300" distT="11430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2544" cy="27251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tabs>
          <w:tab w:val="left" w:pos="4110"/>
        </w:tabs>
        <w:spacing w:after="600" w:line="240" w:lineRule="auto"/>
        <w:jc w:val="center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Рис. 3. Добавление сценария “Вариант исходный”.</w:t>
      </w:r>
    </w:p>
    <w:p w:rsidR="00000000" w:rsidDel="00000000" w:rsidP="00000000" w:rsidRDefault="00000000" w:rsidRPr="00000000" w14:paraId="00000017">
      <w:pPr>
        <w:tabs>
          <w:tab w:val="left" w:pos="4110"/>
        </w:tabs>
        <w:spacing w:after="60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Поскольку нас в текущем сценарии, как следует из его названия, интересуют только исходные значения, то не будем менять ничего в окне “Значения сценария” и просто нажмём кнопку “ОК”, вернувшись в “Диспетчер сценариев”, где появился сценарий “Вариант исходный” (рис. 4).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1576388</wp:posOffset>
            </wp:positionH>
            <wp:positionV relativeFrom="paragraph">
              <wp:posOffset>819150</wp:posOffset>
            </wp:positionV>
            <wp:extent cx="3011487" cy="2953732"/>
            <wp:effectExtent b="0" l="0" r="0" t="0"/>
            <wp:wrapTopAndBottom distB="114300" distT="11430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1487" cy="29537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tabs>
          <w:tab w:val="left" w:pos="4110"/>
        </w:tabs>
        <w:spacing w:after="600" w:line="240" w:lineRule="auto"/>
        <w:jc w:val="center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Рис. 4. “Диспетчер сценариев” после создания сценария “Вариант исходный”.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11191875</wp:posOffset>
            </wp:positionV>
            <wp:extent cx="6119820" cy="3124200"/>
            <wp:effectExtent b="0" l="0" r="0" t="0"/>
            <wp:wrapSquare wrapText="bothSides" distB="114300" distT="114300" distL="114300" distR="11430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24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tabs>
          <w:tab w:val="left" w:pos="4110"/>
        </w:tabs>
        <w:spacing w:after="60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Аналогично, создадим еще два сценария с другими значениями (которые введем в окне “Значения сценария”). Назовём их “Вариант один” и “Вариант два”, соответственно, а после по очереди просмотрим все три сценария (рис. 5 - 7). Для этого в “Диспетчере сценариев” выберем нужный сценарий и нажмём на кнопку “Показать”.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line="240" w:lineRule="auto"/>
        <w:jc w:val="center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Рис. 5. Просмотр сценария “Вариант исходный”.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723900</wp:posOffset>
            </wp:positionH>
            <wp:positionV relativeFrom="paragraph">
              <wp:posOffset>114300</wp:posOffset>
            </wp:positionV>
            <wp:extent cx="4723448" cy="2409472"/>
            <wp:effectExtent b="0" l="0" r="0" t="0"/>
            <wp:wrapTopAndBottom distB="114300" distT="11430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3448" cy="24094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733425</wp:posOffset>
            </wp:positionH>
            <wp:positionV relativeFrom="paragraph">
              <wp:posOffset>3000375</wp:posOffset>
            </wp:positionV>
            <wp:extent cx="4708688" cy="2410400"/>
            <wp:effectExtent b="0" l="0" r="0" t="0"/>
            <wp:wrapTopAndBottom distB="114300" distT="11430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8688" cy="2410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spacing w:after="240" w:line="240" w:lineRule="auto"/>
        <w:jc w:val="center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Рис. 6. Просмотр сценария “Вариант один”.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723900</wp:posOffset>
            </wp:positionH>
            <wp:positionV relativeFrom="paragraph">
              <wp:posOffset>2857500</wp:posOffset>
            </wp:positionV>
            <wp:extent cx="4724400" cy="2409825"/>
            <wp:effectExtent b="0" l="0" r="0" t="0"/>
            <wp:wrapTopAndBottom distB="114300" distT="11430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09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spacing w:after="240" w:line="240" w:lineRule="auto"/>
        <w:jc w:val="center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Рис. 7. Просмотр сценария “Вариант два”.</w:t>
      </w:r>
    </w:p>
    <w:p w:rsidR="00000000" w:rsidDel="00000000" w:rsidP="00000000" w:rsidRDefault="00000000" w:rsidRPr="00000000" w14:paraId="0000001D">
      <w:pPr>
        <w:spacing w:after="240" w:line="240" w:lineRule="auto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Объединение сценариев.</w:t>
      </w:r>
    </w:p>
    <w:p w:rsidR="00000000" w:rsidDel="00000000" w:rsidP="00000000" w:rsidRDefault="00000000" w:rsidRPr="00000000" w14:paraId="0000001E">
      <w:pPr>
        <w:spacing w:after="24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Поскольку с созданием и просмотром сценариев мы разобрались, перейдём к</w:t>
      </w:r>
    </w:p>
    <w:p w:rsidR="00000000" w:rsidDel="00000000" w:rsidP="00000000" w:rsidRDefault="00000000" w:rsidRPr="00000000" w14:paraId="0000001F">
      <w:pPr>
        <w:spacing w:after="24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объединению сценариев, которое предполагает объединение сценариев из различных книг Excel. В связи с этим создадим новую книгу с исходными данными листа “Товарный чек”, для которой создадим новый сценарий “Вариант омега” с произвольными значениями (рис. 8).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964410</wp:posOffset>
            </wp:positionH>
            <wp:positionV relativeFrom="paragraph">
              <wp:posOffset>876300</wp:posOffset>
            </wp:positionV>
            <wp:extent cx="4194823" cy="2151697"/>
            <wp:effectExtent b="0" l="0" r="0" t="0"/>
            <wp:wrapTopAndBottom distB="114300" distT="11430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4823" cy="21516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spacing w:after="240" w:line="240" w:lineRule="auto"/>
        <w:jc w:val="center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Рис. 8. Просмотр сценария “Вариант омега” на копии исходного листа “Товарный чек”.</w:t>
      </w:r>
    </w:p>
    <w:p w:rsidR="00000000" w:rsidDel="00000000" w:rsidP="00000000" w:rsidRDefault="00000000" w:rsidRPr="00000000" w14:paraId="00000021">
      <w:pPr>
        <w:spacing w:after="24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Чтобы объединить “Вариант омега” с остальными, перейдем в исходную книгу и откроем в ней “Диспетчер сценариев” и нажмём кнопку “Объединить”. Откроется окно “Объединить сценарии”, в котором нужно выбрать желаемую книгу и в ней желаемый лист для объединения (рис. 9).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2219325</wp:posOffset>
            </wp:positionH>
            <wp:positionV relativeFrom="paragraph">
              <wp:posOffset>819150</wp:posOffset>
            </wp:positionV>
            <wp:extent cx="1732597" cy="1355597"/>
            <wp:effectExtent b="0" l="0" r="0" t="0"/>
            <wp:wrapTopAndBottom distB="114300" distT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2597" cy="13555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spacing w:after="240" w:line="240" w:lineRule="auto"/>
        <w:jc w:val="center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Рис. 9. Окно “Объединить сценарии”.</w:t>
      </w:r>
    </w:p>
    <w:p w:rsidR="00000000" w:rsidDel="00000000" w:rsidP="00000000" w:rsidRDefault="00000000" w:rsidRPr="00000000" w14:paraId="00000023">
      <w:pPr>
        <w:spacing w:after="24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Выведем сценарий “Вариант омега” на экран (рис. 10).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1019175</wp:posOffset>
            </wp:positionH>
            <wp:positionV relativeFrom="paragraph">
              <wp:posOffset>342900</wp:posOffset>
            </wp:positionV>
            <wp:extent cx="4134803" cy="2105924"/>
            <wp:effectExtent b="0" l="0" r="0" t="0"/>
            <wp:wrapTopAndBottom distB="114300" distT="11430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4803" cy="21059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spacing w:after="240" w:line="240" w:lineRule="auto"/>
        <w:jc w:val="center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Рис. 10. Просмотр сценария “Вариант омега” на листе “Товарный чек”.</w:t>
      </w:r>
    </w:p>
    <w:p w:rsidR="00000000" w:rsidDel="00000000" w:rsidP="00000000" w:rsidRDefault="00000000" w:rsidRPr="00000000" w14:paraId="00000025">
      <w:pPr>
        <w:spacing w:after="240" w:line="240" w:lineRule="auto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Создание отчёта по сценарию.</w:t>
      </w:r>
    </w:p>
    <w:p w:rsidR="00000000" w:rsidDel="00000000" w:rsidP="00000000" w:rsidRDefault="00000000" w:rsidRPr="00000000" w14:paraId="00000026">
      <w:pPr>
        <w:spacing w:after="24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Для более наглядной демонстрации результатов создадим отчёт. Для этого откроем окно “Диспетчер сценариев” и нажмём кнопку “Сводка”. Откроется окно “Структура сценария”, где можно выбрать тип отчёта и ячейку результата. Выберем “Структура сценария” как тип отчёта и “С7” как ячейку результата (рис. 11).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2266950</wp:posOffset>
            </wp:positionH>
            <wp:positionV relativeFrom="paragraph">
              <wp:posOffset>933450</wp:posOffset>
            </wp:positionV>
            <wp:extent cx="1586910" cy="1342072"/>
            <wp:effectExtent b="0" l="0" r="0" t="0"/>
            <wp:wrapTopAndBottom distB="114300" distT="1143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6910" cy="13420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spacing w:after="240" w:line="240" w:lineRule="auto"/>
        <w:jc w:val="center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Рис. 11. Окно “Структура сценария”.</w:t>
      </w:r>
    </w:p>
    <w:p w:rsidR="00000000" w:rsidDel="00000000" w:rsidP="00000000" w:rsidRDefault="00000000" w:rsidRPr="00000000" w14:paraId="00000028">
      <w:pPr>
        <w:spacing w:after="240" w:line="240" w:lineRule="auto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Создание таблицы подстановки с одним входом.</w:t>
      </w:r>
    </w:p>
    <w:p w:rsidR="00000000" w:rsidDel="00000000" w:rsidP="00000000" w:rsidRDefault="00000000" w:rsidRPr="00000000" w14:paraId="00000029">
      <w:pPr>
        <w:spacing w:after="24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Поработаем с таблицами подстановки. Откроем файл “Таблицы подстановки.xls”. В некоторых её ячейках, например в ячейке B7, можем заметить функцию “ПЛТ” (рис. 12). Это финансовая функция, возвращающая сумму периодического платежа для аннуитета на основе постоянства сумм платежей и постоянной процентной ставки. На вход принимает следующие аргументы: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line="24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Ставка (обязательный) - процентная ставка по ссуде.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line="24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Кпер (обязательный) - общее число выплат по ссуде.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line="24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Пс (обязательный) - приведённая к текущему моменту стоимость или сумма, которая на текущий момент равноценна ряду будущих платежей.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line="24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Пс (необязательный) - будущая стоимость или величина остатка денежных средств, которая нужна после последней выплаты. По умолчанию предполагается значение 0.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240" w:line="24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Тип (необязательный) - число, обозначающее, когда будет производиться выплата. По умолчанию предполагается значение 0, то есть в конце периода, также может принимать значение 1, то есть в начале периода.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1362075</wp:posOffset>
            </wp:positionH>
            <wp:positionV relativeFrom="paragraph">
              <wp:posOffset>704850</wp:posOffset>
            </wp:positionV>
            <wp:extent cx="3399473" cy="1348158"/>
            <wp:effectExtent b="0" l="0" r="0" t="0"/>
            <wp:wrapTopAndBottom distB="114300" distT="11430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9473" cy="13481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spacing w:after="240" w:line="240" w:lineRule="auto"/>
        <w:jc w:val="center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Рис. 12. Синтаксис функции “ПЛТ”.</w:t>
      </w:r>
    </w:p>
    <w:p w:rsidR="00000000" w:rsidDel="00000000" w:rsidP="00000000" w:rsidRDefault="00000000" w:rsidRPr="00000000" w14:paraId="00000030">
      <w:pPr>
        <w:spacing w:after="24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Создадим таблицу, показывающую зависимость размера выплат в зависимости от количества периодов при постоянной процентной ставке. Для этого в отдельную строку введём значения, которые следует подставить в ячейку ввода, убедимся, что в ячейке D7 введена нужная формула, и выделим диапазон ячеек содержащий формулы и значения подстановки. Далее во вкладке “Данные”, нажмём на кнопку “Анализ “что-если”” и в открывшемся контекстном меню выберем “Таблица данных”. Откроется окно “Таблица данных”, где в поле “Подставлять значения по столбцам” введём “B6”, так как в оригинальной формуле именно эта ячейка отвечает за период выплат (рис. 12).</w:t>
      </w:r>
    </w:p>
    <w:p w:rsidR="00000000" w:rsidDel="00000000" w:rsidP="00000000" w:rsidRDefault="00000000" w:rsidRPr="00000000" w14:paraId="00000031">
      <w:pPr>
        <w:spacing w:after="240" w:line="240" w:lineRule="auto"/>
        <w:jc w:val="center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Рис. 12. Окно “Таблица данных”.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1681163</wp:posOffset>
            </wp:positionH>
            <wp:positionV relativeFrom="paragraph">
              <wp:posOffset>114300</wp:posOffset>
            </wp:positionV>
            <wp:extent cx="2768677" cy="1056322"/>
            <wp:effectExtent b="0" l="0" r="0" t="0"/>
            <wp:wrapTopAndBottom distB="114300" distT="11430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8677" cy="10563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spacing w:after="24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После того, как нажмём кнопку “ОК”, получим следующую таблицу (рис. 13).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6119820" cy="13335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line="240" w:lineRule="auto"/>
        <w:jc w:val="center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Рис. 13. Таблица подстановки с одним входом.</w:t>
      </w:r>
    </w:p>
    <w:p w:rsidR="00000000" w:rsidDel="00000000" w:rsidP="00000000" w:rsidRDefault="00000000" w:rsidRPr="00000000" w14:paraId="00000034">
      <w:pPr>
        <w:spacing w:after="240" w:line="240" w:lineRule="auto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Создание таблицы подстановки с двумя входами.</w:t>
      </w:r>
    </w:p>
    <w:p w:rsidR="00000000" w:rsidDel="00000000" w:rsidP="00000000" w:rsidRDefault="00000000" w:rsidRPr="00000000" w14:paraId="00000035">
      <w:pPr>
        <w:spacing w:after="24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Создадим таблицу, показывающую зависимость размера выплат в зависимости от количества периодов при переменной процентной ставке. Для этого в отдельную строку введём значения, которые следует подставить в ячейку ввода (период выплат), введём значения, которые следует подставить в другую ячейку ввода (процентная ставка), убедимся, что в ячейке D10 введена нужная формула, и выделим диапазон ячеек содержащий формулы и значения подстановки. Далее во вкладке “Данные”, нажмём на кнопку “Анализ “что-если”” и в открывшемся контекстном меню выберем “Таблица данных”. Откроется окно “Таблица данных”, где в поле “Подставлять значения по столбцам” введём “B6”, так как в оригинальной формуле именно эта ячейка отвечает за период выплат, а в поле “Подставлять значения по строкам” введём “B5”, так как в оригинальной формуле именно эта ячейка отвечает за процентную ставку (рис. 14).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1664498</wp:posOffset>
            </wp:positionH>
            <wp:positionV relativeFrom="paragraph">
              <wp:posOffset>2286000</wp:posOffset>
            </wp:positionV>
            <wp:extent cx="2789192" cy="1057275"/>
            <wp:effectExtent b="0" l="0" r="0" t="0"/>
            <wp:wrapTopAndBottom distB="114300" distT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9192" cy="1057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spacing w:after="240" w:line="240" w:lineRule="auto"/>
        <w:jc w:val="center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Рис. 14. Окно “Таблица данных”.</w:t>
      </w:r>
    </w:p>
    <w:p w:rsidR="00000000" w:rsidDel="00000000" w:rsidP="00000000" w:rsidRDefault="00000000" w:rsidRPr="00000000" w14:paraId="00000037">
      <w:pPr>
        <w:spacing w:after="24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После того, как нажмём кнопку “ОК”, получим следующую таблицу (рис. 15).</w:t>
      </w:r>
    </w:p>
    <w:p w:rsidR="00000000" w:rsidDel="00000000" w:rsidP="00000000" w:rsidRDefault="00000000" w:rsidRPr="00000000" w14:paraId="00000039">
      <w:pPr>
        <w:spacing w:after="24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6119820" cy="23749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line="240" w:lineRule="auto"/>
        <w:jc w:val="center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Рис. 15. Таблица подстановки с двумя входами.</w:t>
      </w:r>
    </w:p>
    <w:p w:rsidR="00000000" w:rsidDel="00000000" w:rsidP="00000000" w:rsidRDefault="00000000" w:rsidRPr="00000000" w14:paraId="0000003B">
      <w:pPr>
        <w:spacing w:after="240" w:lin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Вывод:</w:t>
      </w:r>
    </w:p>
    <w:p w:rsidR="00000000" w:rsidDel="00000000" w:rsidP="00000000" w:rsidRDefault="00000000" w:rsidRPr="00000000" w14:paraId="0000003C">
      <w:pPr>
        <w:tabs>
          <w:tab w:val="left" w:pos="4095"/>
        </w:tabs>
        <w:spacing w:after="60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В ходе этой лабораторной работы были получены навыки анализа данных с помощью сценариев “ЧТО-ЕСЛИ”, а именно создание, изменение, вывод на экран и объединение сценариев и создание таблиц подстановки с одним и двумя входами в Microsoft Excel. Это навыки необходимы для работы с данными, когда при их обработке необходимо установить явную зависимость одних значений от других по какому-либо правилу.</w:t>
      </w:r>
    </w:p>
    <w:sectPr>
      <w:pgSz w:h="16838" w:w="11906" w:orient="portrait"/>
      <w:pgMar w:bottom="1134" w:top="1134" w:left="1134" w:right="113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4.png"/><Relationship Id="rId22" Type="http://schemas.openxmlformats.org/officeDocument/2006/relationships/image" Target="media/image4.png"/><Relationship Id="rId10" Type="http://schemas.openxmlformats.org/officeDocument/2006/relationships/image" Target="media/image9.png"/><Relationship Id="rId21" Type="http://schemas.openxmlformats.org/officeDocument/2006/relationships/image" Target="media/image6.png"/><Relationship Id="rId13" Type="http://schemas.openxmlformats.org/officeDocument/2006/relationships/image" Target="media/image17.png"/><Relationship Id="rId12" Type="http://schemas.openxmlformats.org/officeDocument/2006/relationships/image" Target="media/image13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6.png"/><Relationship Id="rId14" Type="http://schemas.openxmlformats.org/officeDocument/2006/relationships/image" Target="media/image15.png"/><Relationship Id="rId17" Type="http://schemas.openxmlformats.org/officeDocument/2006/relationships/image" Target="media/image18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7.png"/><Relationship Id="rId18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