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FE7B" w14:textId="77777777" w:rsidR="000421A6" w:rsidRDefault="000421A6" w:rsidP="000421A6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>Job Duties and Responsibilities</w:t>
      </w:r>
    </w:p>
    <w:p w14:paraId="2C18AE72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Lead the compensation strategy for the organization, overseeing and managing the design, implementation, and ongoing administration of compensation plans, including base salary, annual bonuses, long-term incentives, and equity compensation, ensuring they are competitive, fair, and aligned with the organization’s objectives</w:t>
      </w:r>
    </w:p>
    <w:p w14:paraId="49E90555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Prepare materials for and support the Compensation Committee of the Board, ensuring materials cover compensation trends, executive compensation decisions, and other key compensation matters.</w:t>
      </w:r>
    </w:p>
    <w:p w14:paraId="0B7E7762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Conduct regular market analyses to ensure that compensation programs remain competitive and compliant with industry standards.</w:t>
      </w:r>
    </w:p>
    <w:p w14:paraId="0DB6947D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Stay up to date on compensation trends, regulatory changes, and legislative developments, and ensure programs are compliant with all relevant laws and regulations.</w:t>
      </w:r>
    </w:p>
    <w:p w14:paraId="306B477E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Effectively communicate and educate on compensation programs to the broader People &amp; Purpose teams and enterprise, fostering transparency and understanding across the organization</w:t>
      </w:r>
    </w:p>
    <w:p w14:paraId="1EA27C93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Collaborate with HR business partners, senior leadership, and external consultants to ensure compensation programs meet the needs of the business.</w:t>
      </w:r>
    </w:p>
    <w:p w14:paraId="5A91D809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Develop internal talent, identify/onboard new roles, and help set the ‘culture’ to support growth and performance</w:t>
      </w:r>
    </w:p>
    <w:p w14:paraId="2819B9CC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Manage key partnerships across finance and legal teams to ensure complete understanding of financial implications of our compensation programs</w:t>
      </w:r>
    </w:p>
    <w:p w14:paraId="7DF9897E" w14:textId="77777777" w:rsidR="000421A6" w:rsidRDefault="000421A6" w:rsidP="000421A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Oversee the delivery of strategic compensation initiatives in collaboration with the broader People &amp; Purpose team, such as formalizing our compensation philosophy, modernizing our compensation structures and designing innovative incentive plans to support the delivery of key business results</w:t>
      </w:r>
    </w:p>
    <w:p w14:paraId="691CA46D" w14:textId="77777777" w:rsidR="000421A6" w:rsidRDefault="000421A6" w:rsidP="000421A6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>QUALIFICATIONS:</w:t>
      </w:r>
    </w:p>
    <w:p w14:paraId="0ADCDAF8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Bachelor’s degree required; 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Master’s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degree preferred</w:t>
      </w:r>
    </w:p>
    <w:p w14:paraId="55C908C0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10+ years of compensation experience, including strong experience in designing and implementing compensation programs across a distributed workforce as well as corporate and executive levels and experience coaching and mentoring team members to support teammates through their skills and careers</w:t>
      </w:r>
    </w:p>
    <w:p w14:paraId="1C61917B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Strong background in executive and equity compensation, and broad-based compensation design</w:t>
      </w:r>
    </w:p>
    <w:p w14:paraId="6616EC74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 xml:space="preserve">Proven management &amp; leadership skills with the ability to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counsel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on compensation strategies</w:t>
      </w:r>
    </w:p>
    <w:p w14:paraId="187A1701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Understanding of financial principles, including accounting, budgeting, forecasting, and financial analysis</w:t>
      </w:r>
    </w:p>
    <w:p w14:paraId="1ED13451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Proficient with compensation management systems and advanced Excel modeling skills</w:t>
      </w:r>
    </w:p>
    <w:p w14:paraId="5AD0CEAE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Excellent interpersonal and communication skills; verbal, written, presentation and diplomacy skills</w:t>
      </w:r>
    </w:p>
    <w:p w14:paraId="1795DF73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Ability to lead people and develop talent</w:t>
      </w:r>
    </w:p>
    <w:p w14:paraId="6BAA0A61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Ability to navigate sensitive topics with discretion and professionalism</w:t>
      </w:r>
    </w:p>
    <w:p w14:paraId="755D0FA4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Strong strategic thinking and problem-solving abilities with a results-driven approach.</w:t>
      </w:r>
    </w:p>
    <w:p w14:paraId="0E2DEFB5" w14:textId="77777777" w:rsidR="000421A6" w:rsidRDefault="000421A6" w:rsidP="000421A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Ability to analyze data and trends to make informed decisions that impact the organization’s compensation strategy.</w:t>
      </w:r>
    </w:p>
    <w:p w14:paraId="101710C4" w14:textId="77777777" w:rsidR="00F6131A" w:rsidRDefault="00F6131A"/>
    <w:sectPr w:rsidR="00F61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8A7"/>
    <w:multiLevelType w:val="multilevel"/>
    <w:tmpl w:val="2B2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24AB4"/>
    <w:multiLevelType w:val="multilevel"/>
    <w:tmpl w:val="5EA4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016445">
    <w:abstractNumId w:val="1"/>
  </w:num>
  <w:num w:numId="2" w16cid:durableId="71855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A6"/>
    <w:rsid w:val="000421A6"/>
    <w:rsid w:val="000F6C3F"/>
    <w:rsid w:val="001307B1"/>
    <w:rsid w:val="00E17597"/>
    <w:rsid w:val="00F6131A"/>
    <w:rsid w:val="00FE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47544"/>
  <w15:chartTrackingRefBased/>
  <w15:docId w15:val="{185A20C6-04CC-6442-A2F9-34BD6D53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Gudzak</dc:creator>
  <cp:keywords/>
  <dc:description/>
  <cp:lastModifiedBy>Anthony Gudzak</cp:lastModifiedBy>
  <cp:revision>1</cp:revision>
  <dcterms:created xsi:type="dcterms:W3CDTF">2025-04-06T13:50:00Z</dcterms:created>
  <dcterms:modified xsi:type="dcterms:W3CDTF">2025-04-06T13:50:00Z</dcterms:modified>
</cp:coreProperties>
</file>