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0069" w14:textId="77777777" w:rsidR="007E7D39" w:rsidRPr="00060721" w:rsidRDefault="00000000">
      <w:pPr>
        <w:pStyle w:val="Heading2"/>
        <w:spacing w:before="200" w:after="200"/>
        <w:rPr>
          <w:sz w:val="36"/>
          <w:szCs w:val="36"/>
        </w:rPr>
      </w:pPr>
      <w:r w:rsidRPr="00060721">
        <w:rPr>
          <w:sz w:val="36"/>
          <w:szCs w:val="36"/>
        </w:rPr>
        <w:t>EXECUTIVE SUMMARY</w:t>
      </w:r>
    </w:p>
    <w:p w14:paraId="3F0C789D" w14:textId="77777777" w:rsidR="007E7D39" w:rsidRPr="00060721" w:rsidRDefault="00000000">
      <w:p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The Nek ANZAC Co-operative is developing sovereign AI alignment infrastructure that directly supports AISI's mandate. We seek to become a recognized community partner.</w:t>
      </w:r>
    </w:p>
    <w:p w14:paraId="5C7BE8EA" w14:textId="77777777" w:rsidR="007E7D39" w:rsidRPr="00060721" w:rsidRDefault="00000000">
      <w:p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Our initiative combines open-source alignment verification with a novel co-operative governance model designed to embed responsible AI practices at the institutional level. We are positioned to support both AISI's research objectives and the broader Australian AI safety ecosystem.</w:t>
      </w:r>
    </w:p>
    <w:p w14:paraId="18A33699" w14:textId="77777777" w:rsidR="007E7D39" w:rsidRPr="00060721" w:rsidRDefault="00000000">
      <w:pPr>
        <w:pStyle w:val="Heading2"/>
        <w:spacing w:before="200" w:after="200"/>
        <w:rPr>
          <w:sz w:val="36"/>
          <w:szCs w:val="36"/>
        </w:rPr>
      </w:pPr>
      <w:r w:rsidRPr="00060721">
        <w:rPr>
          <w:sz w:val="36"/>
          <w:szCs w:val="36"/>
        </w:rPr>
        <w:t>ALIGNMENT WITH AISI MANDATE</w:t>
      </w:r>
    </w:p>
    <w:p w14:paraId="48723A0A" w14:textId="77777777" w:rsidR="007E7D39" w:rsidRPr="00060721" w:rsidRDefault="00000000">
      <w:p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Our multi-model consensus protocol (Tri-Weave) directly addresses AI safety through three core mechanisms:</w:t>
      </w:r>
    </w:p>
    <w:p w14:paraId="61295CC9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Adversarial validation across multiple model architectures</w:t>
      </w:r>
    </w:p>
    <w:p w14:paraId="0AD96BFB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Formal verification of outputs against alignment criteria</w:t>
      </w:r>
    </w:p>
    <w:p w14:paraId="5210314F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Edge-deployed alignment infrastructure for distributed safety assurance</w:t>
      </w:r>
    </w:p>
    <w:p w14:paraId="52407538" w14:textId="77777777" w:rsidR="007E7D39" w:rsidRPr="00060721" w:rsidRDefault="00000000">
      <w:p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Our co-operative structure embeds responsible AI governance at the institutional level, aligning with AISI's commitment to developing safety-conscious AI ecosystems.</w:t>
      </w:r>
    </w:p>
    <w:p w14:paraId="0DDDD72A" w14:textId="77777777" w:rsidR="007E7D39" w:rsidRPr="00060721" w:rsidRDefault="00000000">
      <w:pPr>
        <w:pStyle w:val="Heading2"/>
        <w:spacing w:before="200" w:after="200"/>
        <w:rPr>
          <w:sz w:val="36"/>
          <w:szCs w:val="36"/>
        </w:rPr>
      </w:pPr>
      <w:r w:rsidRPr="00060721">
        <w:rPr>
          <w:sz w:val="36"/>
          <w:szCs w:val="36"/>
        </w:rPr>
        <w:t>WHAT WE OFFER AISI</w:t>
      </w:r>
    </w:p>
    <w:p w14:paraId="1294165D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Open-source alignment verification platform (coherence-</w:t>
      </w:r>
      <w:proofErr w:type="spellStart"/>
      <w:r w:rsidRPr="00060721">
        <w:rPr>
          <w:sz w:val="28"/>
          <w:szCs w:val="28"/>
        </w:rPr>
        <w:t>mcp</w:t>
      </w:r>
      <w:proofErr w:type="spellEnd"/>
      <w:r w:rsidRPr="00060721">
        <w:rPr>
          <w:sz w:val="28"/>
          <w:szCs w:val="28"/>
        </w:rPr>
        <w:t>)</w:t>
      </w:r>
    </w:p>
    <w:p w14:paraId="562AB8CA" w14:textId="77777777" w:rsidR="007E7D39" w:rsidRPr="00060721" w:rsidRDefault="00000000">
      <w:pPr>
        <w:pStyle w:val="ListParagraph"/>
        <w:numPr>
          <w:ilvl w:val="1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Community-driven development model supporting safety research</w:t>
      </w:r>
    </w:p>
    <w:p w14:paraId="3FFFF067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Real-world testbed for multi-model AI safety (edge-deployed Coherence Forge hardware)</w:t>
      </w:r>
    </w:p>
    <w:p w14:paraId="58B68325" w14:textId="77777777" w:rsidR="007E7D39" w:rsidRPr="00060721" w:rsidRDefault="00000000">
      <w:pPr>
        <w:pStyle w:val="ListParagraph"/>
        <w:numPr>
          <w:ilvl w:val="1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Practical validation environment for safety evaluation methodologies</w:t>
      </w:r>
    </w:p>
    <w:p w14:paraId="6CD21993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Novel governance model: co-operative structure as responsible AI mechanism</w:t>
      </w:r>
    </w:p>
    <w:p w14:paraId="532C1543" w14:textId="77777777" w:rsidR="007E7D39" w:rsidRPr="00060721" w:rsidRDefault="00000000">
      <w:pPr>
        <w:pStyle w:val="ListParagraph"/>
        <w:numPr>
          <w:ilvl w:val="1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Institutional framework demonstrating economic alignment with safety practices</w:t>
      </w:r>
    </w:p>
    <w:p w14:paraId="5D3884BA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Trans-Tasman perspective on international AI safety coordination</w:t>
      </w:r>
    </w:p>
    <w:p w14:paraId="5C48C828" w14:textId="77777777" w:rsidR="007E7D39" w:rsidRPr="00060721" w:rsidRDefault="00000000">
      <w:pPr>
        <w:pStyle w:val="ListParagraph"/>
        <w:numPr>
          <w:ilvl w:val="1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Bridge between Australian and New Zealand AI governance initiatives</w:t>
      </w:r>
    </w:p>
    <w:p w14:paraId="4C1BB241" w14:textId="77777777" w:rsidR="00060721" w:rsidRDefault="00060721">
      <w:pPr>
        <w:pStyle w:val="Heading2"/>
        <w:spacing w:before="200" w:after="200"/>
        <w:rPr>
          <w:sz w:val="36"/>
          <w:szCs w:val="36"/>
        </w:rPr>
      </w:pPr>
    </w:p>
    <w:p w14:paraId="6F3398A5" w14:textId="58764401" w:rsidR="007E7D39" w:rsidRPr="00060721" w:rsidRDefault="00000000">
      <w:pPr>
        <w:pStyle w:val="Heading2"/>
        <w:spacing w:before="200" w:after="200"/>
        <w:rPr>
          <w:sz w:val="36"/>
          <w:szCs w:val="36"/>
        </w:rPr>
      </w:pPr>
      <w:r w:rsidRPr="00060721">
        <w:rPr>
          <w:sz w:val="36"/>
          <w:szCs w:val="36"/>
        </w:rPr>
        <w:lastRenderedPageBreak/>
        <w:t>WHAT WE SEEK FROM AISI</w:t>
      </w:r>
    </w:p>
    <w:p w14:paraId="2973E449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Recognition as community research partner</w:t>
      </w:r>
    </w:p>
    <w:p w14:paraId="5E097F30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Access to AISI safety evaluation frameworks</w:t>
      </w:r>
    </w:p>
    <w:p w14:paraId="2D6136E5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Input on our alignment verification methodology</w:t>
      </w:r>
    </w:p>
    <w:p w14:paraId="0583BC99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Potential pilot program participation</w:t>
      </w:r>
    </w:p>
    <w:p w14:paraId="29E6DF0C" w14:textId="77777777" w:rsidR="007E7D39" w:rsidRPr="00060721" w:rsidRDefault="00000000">
      <w:pPr>
        <w:pStyle w:val="Heading2"/>
        <w:spacing w:before="200" w:after="200"/>
        <w:rPr>
          <w:sz w:val="36"/>
          <w:szCs w:val="36"/>
        </w:rPr>
      </w:pPr>
      <w:r w:rsidRPr="00060721">
        <w:rPr>
          <w:sz w:val="36"/>
          <w:szCs w:val="36"/>
        </w:rPr>
        <w:t>NATIONAL AI CENTRE SYNERGY</w:t>
      </w:r>
    </w:p>
    <w:p w14:paraId="1907A24F" w14:textId="77777777" w:rsidR="007E7D39" w:rsidRPr="00060721" w:rsidRDefault="00000000">
      <w:p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Our edge-deployed model directly supports the National AI Centre's mandate to help Australian businesses adopt AI safely. We offer:</w:t>
      </w:r>
    </w:p>
    <w:p w14:paraId="54EA6719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Practical reference implementation for safe AI deployment</w:t>
      </w:r>
    </w:p>
    <w:p w14:paraId="3F81FEFA" w14:textId="77777777" w:rsidR="007E7D39" w:rsidRPr="00060721" w:rsidRDefault="00000000">
      <w:pPr>
        <w:pStyle w:val="ListParagraph"/>
        <w:numPr>
          <w:ilvl w:val="1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Case study demonstrating sovereign AI adoption pathway</w:t>
      </w:r>
    </w:p>
    <w:p w14:paraId="791F8EF0" w14:textId="77777777" w:rsidR="007E7D39" w:rsidRPr="00060721" w:rsidRDefault="00000000">
      <w:pPr>
        <w:pStyle w:val="ListParagraph"/>
        <w:numPr>
          <w:ilvl w:val="1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Open-source tools and methodologies for business adoption</w:t>
      </w:r>
    </w:p>
    <w:p w14:paraId="4ABB9063" w14:textId="77777777" w:rsidR="007E7D39" w:rsidRPr="00060721" w:rsidRDefault="00000000">
      <w:p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Our co-operative structure provides a replicable governance model for other AI safety initiatives seeking to balance commercial viability with responsible practices.</w:t>
      </w:r>
    </w:p>
    <w:p w14:paraId="75535433" w14:textId="77777777" w:rsidR="00060721" w:rsidRPr="00060721" w:rsidRDefault="00060721">
      <w:pPr>
        <w:spacing w:after="100"/>
        <w:rPr>
          <w:sz w:val="28"/>
          <w:szCs w:val="28"/>
        </w:rPr>
      </w:pPr>
    </w:p>
    <w:p w14:paraId="189F01E8" w14:textId="77777777" w:rsidR="007E7D39" w:rsidRPr="00060721" w:rsidRDefault="00000000">
      <w:pPr>
        <w:pStyle w:val="Heading2"/>
        <w:spacing w:before="200" w:after="200"/>
        <w:rPr>
          <w:sz w:val="36"/>
          <w:szCs w:val="36"/>
        </w:rPr>
      </w:pPr>
      <w:r w:rsidRPr="00060721">
        <w:rPr>
          <w:sz w:val="36"/>
          <w:szCs w:val="36"/>
        </w:rPr>
        <w:t>AUKUS PILLAR II READINESS</w:t>
      </w:r>
    </w:p>
    <w:p w14:paraId="2718CFE3" w14:textId="77777777" w:rsidR="007E7D39" w:rsidRPr="00060721" w:rsidRDefault="00000000">
      <w:p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Our architecture is designed for high-assurance environments while maintaining civilian democratic oversight:</w:t>
      </w:r>
    </w:p>
    <w:p w14:paraId="7DEC108D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Core co-operative maintains sovereign civilian control and open governance</w:t>
      </w:r>
    </w:p>
    <w:p w14:paraId="6443F04D" w14:textId="77777777" w:rsidR="007E7D39" w:rsidRPr="00060721" w:rsidRDefault="00000000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Subsidiary bridge (Anyon Nexus Pty Ltd) interfaces with defence requirements</w:t>
      </w:r>
    </w:p>
    <w:p w14:paraId="1D669636" w14:textId="77777777" w:rsidR="007E7D39" w:rsidRPr="00060721" w:rsidRDefault="00000000">
      <w:pPr>
        <w:pStyle w:val="ListParagraph"/>
        <w:numPr>
          <w:ilvl w:val="1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Architectural separation ensures alignment with AUKUS security requirements</w:t>
      </w:r>
    </w:p>
    <w:p w14:paraId="039D601A" w14:textId="77777777" w:rsidR="007E7D39" w:rsidRPr="00060721" w:rsidRDefault="00000000">
      <w:pPr>
        <w:pStyle w:val="ListParagraph"/>
        <w:numPr>
          <w:ilvl w:val="1"/>
          <w:numId w:val="1"/>
        </w:num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Multi-tier governance enables participation across security and civilian contexts</w:t>
      </w:r>
    </w:p>
    <w:p w14:paraId="477C67B0" w14:textId="77777777" w:rsidR="007E7D39" w:rsidRPr="00060721" w:rsidRDefault="00000000">
      <w:pPr>
        <w:spacing w:after="100"/>
        <w:rPr>
          <w:sz w:val="28"/>
          <w:szCs w:val="28"/>
        </w:rPr>
      </w:pPr>
      <w:r w:rsidRPr="00060721">
        <w:rPr>
          <w:sz w:val="28"/>
          <w:szCs w:val="28"/>
        </w:rPr>
        <w:t>This dual-structure approach allows us to contribute to national security objectives while maintaining the open, community-driven ethos essential to responsible AI development.</w:t>
      </w:r>
    </w:p>
    <w:sectPr w:rsidR="007E7D39" w:rsidRPr="000607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875D" w14:textId="77777777" w:rsidR="000D7B63" w:rsidRDefault="000D7B63" w:rsidP="00060721">
      <w:r>
        <w:separator/>
      </w:r>
    </w:p>
  </w:endnote>
  <w:endnote w:type="continuationSeparator" w:id="0">
    <w:p w14:paraId="60E1174C" w14:textId="77777777" w:rsidR="000D7B63" w:rsidRDefault="000D7B63" w:rsidP="00060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86DD" w14:textId="77777777" w:rsidR="00060721" w:rsidRDefault="00060721" w:rsidP="00060721">
    <w:pPr>
      <w:spacing w:after="300"/>
    </w:pPr>
    <w:r>
      <w:t>The Nek ANZAC Co-operative Partnership Proposal</w:t>
    </w:r>
  </w:p>
  <w:p w14:paraId="5D93BA83" w14:textId="77777777" w:rsidR="00060721" w:rsidRPr="00060721" w:rsidRDefault="00060721" w:rsidP="000607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952A2" w14:textId="77777777" w:rsidR="000D7B63" w:rsidRDefault="000D7B63" w:rsidP="00060721">
      <w:r>
        <w:separator/>
      </w:r>
    </w:p>
  </w:footnote>
  <w:footnote w:type="continuationSeparator" w:id="0">
    <w:p w14:paraId="7EBEBC7C" w14:textId="77777777" w:rsidR="000D7B63" w:rsidRDefault="000D7B63" w:rsidP="00060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6099" w14:textId="77777777" w:rsidR="00060721" w:rsidRDefault="00060721" w:rsidP="00060721">
    <w:pPr>
      <w:pStyle w:val="Heading1"/>
      <w:spacing w:before="200" w:after="200"/>
    </w:pPr>
    <w:r>
      <w:t>AISI Engagement Brief</w:t>
    </w:r>
  </w:p>
  <w:p w14:paraId="1C6E02BE" w14:textId="77777777" w:rsidR="00060721" w:rsidRDefault="000607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97D29"/>
    <w:multiLevelType w:val="hybridMultilevel"/>
    <w:tmpl w:val="E6DC4806"/>
    <w:lvl w:ilvl="0" w:tplc="8A206D0E">
      <w:start w:val="1"/>
      <w:numFmt w:val="bullet"/>
      <w:lvlText w:val="●"/>
      <w:lvlJc w:val="left"/>
      <w:pPr>
        <w:ind w:left="720" w:hanging="360"/>
      </w:pPr>
    </w:lvl>
    <w:lvl w:ilvl="1" w:tplc="26B8DB26">
      <w:start w:val="1"/>
      <w:numFmt w:val="bullet"/>
      <w:lvlText w:val="○"/>
      <w:lvlJc w:val="left"/>
      <w:pPr>
        <w:ind w:left="1440" w:hanging="360"/>
      </w:pPr>
    </w:lvl>
    <w:lvl w:ilvl="2" w:tplc="D3E217D0">
      <w:start w:val="1"/>
      <w:numFmt w:val="bullet"/>
      <w:lvlText w:val="■"/>
      <w:lvlJc w:val="left"/>
      <w:pPr>
        <w:ind w:left="2160" w:hanging="360"/>
      </w:pPr>
    </w:lvl>
    <w:lvl w:ilvl="3" w:tplc="CCBCF584">
      <w:start w:val="1"/>
      <w:numFmt w:val="bullet"/>
      <w:lvlText w:val="●"/>
      <w:lvlJc w:val="left"/>
      <w:pPr>
        <w:ind w:left="2880" w:hanging="360"/>
      </w:pPr>
    </w:lvl>
    <w:lvl w:ilvl="4" w:tplc="6D34DDD6">
      <w:start w:val="1"/>
      <w:numFmt w:val="bullet"/>
      <w:lvlText w:val="○"/>
      <w:lvlJc w:val="left"/>
      <w:pPr>
        <w:ind w:left="3600" w:hanging="360"/>
      </w:pPr>
    </w:lvl>
    <w:lvl w:ilvl="5" w:tplc="D6365920">
      <w:start w:val="1"/>
      <w:numFmt w:val="bullet"/>
      <w:lvlText w:val="■"/>
      <w:lvlJc w:val="left"/>
      <w:pPr>
        <w:ind w:left="4320" w:hanging="360"/>
      </w:pPr>
    </w:lvl>
    <w:lvl w:ilvl="6" w:tplc="9A983644">
      <w:start w:val="1"/>
      <w:numFmt w:val="bullet"/>
      <w:lvlText w:val="●"/>
      <w:lvlJc w:val="left"/>
      <w:pPr>
        <w:ind w:left="5040" w:hanging="360"/>
      </w:pPr>
    </w:lvl>
    <w:lvl w:ilvl="7" w:tplc="41D612FC">
      <w:start w:val="1"/>
      <w:numFmt w:val="bullet"/>
      <w:lvlText w:val="●"/>
      <w:lvlJc w:val="left"/>
      <w:pPr>
        <w:ind w:left="5760" w:hanging="360"/>
      </w:pPr>
    </w:lvl>
    <w:lvl w:ilvl="8" w:tplc="9E7456F6">
      <w:start w:val="1"/>
      <w:numFmt w:val="bullet"/>
      <w:lvlText w:val="●"/>
      <w:lvlJc w:val="left"/>
      <w:pPr>
        <w:ind w:left="6480" w:hanging="360"/>
      </w:pPr>
    </w:lvl>
  </w:abstractNum>
  <w:num w:numId="1" w16cid:durableId="922297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D39"/>
    <w:rsid w:val="00044B8E"/>
    <w:rsid w:val="00060721"/>
    <w:rsid w:val="000D7B63"/>
    <w:rsid w:val="007E7D39"/>
    <w:rsid w:val="009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7C80"/>
  <w15:docId w15:val="{FB566A1A-22E1-4A62-BCF9-9B615396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07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0721"/>
  </w:style>
  <w:style w:type="paragraph" w:styleId="Footer">
    <w:name w:val="footer"/>
    <w:basedOn w:val="Normal"/>
    <w:link w:val="FooterChar"/>
    <w:uiPriority w:val="99"/>
    <w:unhideWhenUsed/>
    <w:rsid w:val="000607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372</Words>
  <Characters>2527</Characters>
  <Application>Microsoft Office Word</Application>
  <DocSecurity>0</DocSecurity>
  <Lines>61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toolate 28</cp:lastModifiedBy>
  <cp:revision>2</cp:revision>
  <dcterms:created xsi:type="dcterms:W3CDTF">2026-02-16T18:11:00Z</dcterms:created>
  <dcterms:modified xsi:type="dcterms:W3CDTF">2026-02-16T19:16:00Z</dcterms:modified>
</cp:coreProperties>
</file>