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100"/>
      </w:pPr>
      <w:r>
        <w:t xml:space="preserve">Australian Research Council (ARC) Linkage Projects 2026</w:t>
      </w:r>
    </w:p>
    <w:p>
      <w:pPr>
        <w:spacing w:line="360" w:after="300"/>
        <w:jc w:val="center"/>
      </w:pPr>
      <w:r>
        <w:t xml:space="preserve">Expression of Interest</w:t>
      </w:r>
    </w:p>
    <w:p>
      <w:pPr>
        <w:spacing w:line="360" w:after="400"/>
      </w:pPr>
      <w:r>
        <w:t xml:space="preserve">APPLICATION DEADLINE: March 18-25, 2026</w:t>
      </w:r>
    </w:p>
    <w:p>
      <w:pPr>
        <w:spacing w:line="360" w:after="200"/>
      </w:pPr>
      <w:r>
        <w:t xml:space="preserve">APPLICANT DETAILS</w:t>
      </w:r>
    </w:p>
    <w:p>
      <w:pPr>
        <w:spacing w:line="360" w:after="200"/>
      </w:pPr>
      <w:r>
        <w:t xml:space="preserve">Industry Partner: The Nek ANZAC Co-operative Limited (proposed) / Reson8-Labs</w:t>
      </w:r>
    </w:p>
    <w:p>
      <w:pPr>
        <w:spacing w:line="360" w:after="200"/>
      </w:pPr>
      <w:r>
        <w:t xml:space="preserve">Contact: Matthew Ruhnau, Founding Director</w:t>
      </w:r>
    </w:p>
    <w:p>
      <w:pPr>
        <w:spacing w:line="360" w:after="200"/>
      </w:pPr>
      <w:r>
        <w:t xml:space="preserve">Proposed University Partner(s): [To be confirmed — University of Sydney / UNSW / ANU]</w:t>
      </w:r>
    </w:p>
    <w:p>
      <w:pPr>
        <w:spacing w:line="360" w:after="200"/>
      </w:pPr>
      <w:r>
        <w:t xml:space="preserve">PROJECT TITLE</w:t>
      </w:r>
    </w:p>
    <w:p>
      <w:pPr>
        <w:spacing w:line="360" w:after="200"/>
      </w:pPr>
      <w:r>
        <w:t xml:space="preserve">Topological Verification Methods for Multi-Agent AI Alignment in Sovereign Edge Deployments</w:t>
      </w:r>
    </w:p>
    <w:p>
      <w:pPr>
        <w:spacing w:line="360" w:after="200"/>
      </w:pPr>
      <w:r>
        <w:t xml:space="preserve">1. PROJECT TITLE AND SUMMARY</w:t>
      </w:r>
    </w:p>
    <w:p>
      <w:pPr>
        <w:spacing w:line="360" w:after="200"/>
      </w:pPr>
      <w:r>
        <w:t xml:space="preserve">This project addresses a critical gap in AI alignment verification for multi-model systems deployed at the network edge. Current approaches to AI alignment, including Reinforcement Learning from Human Feedback (RLHF), lack formal verification mechanisms for consensus-based outputs in distributed environments.</w:t>
      </w:r>
    </w:p>
    <w:p>
      <w:pPr>
        <w:spacing w:line="360" w:after="200"/>
      </w:pPr>
      <w:r>
        <w:t xml:space="preserve">We propose topological invariant methods, inspired by anyonic braiding in quantum topology, as a novel verification mechanism for multi-agent AI consensus. The industry partner (The Nek ANZAC Co-operative) will contribute an operational open-source platform and sovereign hardware infrastructure. The university partner will provide theoretical computer science and advanced mathematics expertise.</w:t>
      </w:r>
    </w:p>
    <w:p>
      <w:pPr>
        <w:spacing w:line="360" w:after="400"/>
      </w:pPr>
      <w:r>
        <w:t xml:space="preserve">This collaboration positions Australia to lead sovereign AI safety verification, reducing dependency on foreign alignment research and establishing a training pipeline for the next generation of Australian AI safety researchers. The project directly supports AUKUS Pillar II objectives for technological sovereignty.</w:t>
      </w:r>
    </w:p>
    <w:p>
      <w:pPr>
        <w:spacing w:line="360" w:after="200"/>
      </w:pPr>
      <w:r>
        <w:t xml:space="preserve">2. AIMS AND BACKGROUND</w:t>
      </w:r>
    </w:p>
    <w:p>
      <w:pPr>
        <w:spacing w:line="360" w:after="200"/>
      </w:pPr>
      <w:r>
        <w:t xml:space="preserve">Background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Current AI alignment approaches (RLHF, constitutional AI) lack formal verification for multi-model consensus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Edge deployment of AI systems creates unique verification challenges distinct from cloud-based models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Formal methods for distributed consensus exist in computer science but have not been applied to AI output verification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Australia has an opportunity to establish sovereignty in AI safety verification technology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Anyonic braiding and topological invariants offer mathematical foundations applicable to output provenance</w:t>
      </w:r>
    </w:p>
    <w:p>
      <w:pPr>
        <w:spacing w:line="360" w:after="200"/>
      </w:pPr>
      <w:r>
        <w:t xml:space="preserve">Research Aims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Develop a formal verification framework for multi-agent AI consensus at the network edge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Apply topological invariant methods to create tamper-resistant output provenance chains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Demonstrate feasibility on sovereign hardware (Coherence Forge cluster)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Create an Australian-led governance framework for edge-deployed AI alignment</w:t>
      </w:r>
    </w:p>
    <w:p>
      <w:pPr>
        <w:spacing w:line="360" w:after="200"/>
      </w:pPr>
    </w:p>
    <w:p>
      <w:pPr>
        <w:spacing w:line="360" w:after="200"/>
      </w:pPr>
      <w:r>
        <w:t xml:space="preserve">3. RESEARCH PLAN OVERVIEW</w:t>
      </w:r>
    </w:p>
    <w:p>
      <w:pPr>
        <w:spacing w:line="360" w:after="200"/>
      </w:pPr>
      <w:r>
        <w:t xml:space="preserve">Work Package 1 (WP1): Formal Model of Multi-Agent Consensus Verification</w:t>
      </w:r>
    </w:p>
    <w:p>
      <w:pPr>
        <w:spacing w:line="360" w:after="200"/>
      </w:pPr>
      <w:r>
        <w:t xml:space="preserve">Establish mathematical formalism for representing multi-model agreement as a formal verification problem. Develop state-transition semantics for consensus protocols. Prove correctness properties using temporal logic.</w:t>
      </w:r>
    </w:p>
    <w:p>
      <w:pPr>
        <w:spacing w:line="360" w:after="200"/>
      </w:pPr>
      <w:r>
        <w:t xml:space="preserve">Work Package 2 (WP2): Topological Invariant Computation</w:t>
      </w:r>
    </w:p>
    <w:p>
      <w:pPr>
        <w:spacing w:line="360" w:after="200"/>
      </w:pPr>
      <w:r>
        <w:t xml:space="preserve">Implement algorithms for computing topological invariants from model outputs. Create mapping between output sequences and anyonic braiding configurations. Develop provenance chains resistant to undetected manipulation.</w:t>
      </w:r>
    </w:p>
    <w:p>
      <w:pPr>
        <w:spacing w:line="360" w:after="200"/>
      </w:pPr>
      <w:r>
        <w:t xml:space="preserve">Work Package 3 (WP3): Edge Deployment and Empirical Validation</w:t>
      </w:r>
    </w:p>
    <w:p>
      <w:pPr>
        <w:spacing w:line="360" w:after="200"/>
      </w:pPr>
      <w:r>
        <w:t xml:space="preserve">Deploy verification framework on Coherence Forge hardware. Conduct extensive testing with real-world multi-model inference scenarios. Measure performance overhead and latency impact.</w:t>
      </w:r>
    </w:p>
    <w:p>
      <w:pPr>
        <w:spacing w:line="360" w:after="200"/>
      </w:pPr>
      <w:r>
        <w:t xml:space="preserve">Work Package 4 (WP4): Governance Framework Integration</w:t>
      </w:r>
    </w:p>
    <w:p>
      <w:pPr>
        <w:spacing w:line="360" w:after="400"/>
      </w:pPr>
      <w:r>
        <w:t xml:space="preserve">Develop governance protocols integrating topological verification into autonomous edge-deployed systems. Create audit trails and transparency mechanisms for regulatory compliance.</w:t>
      </w:r>
    </w:p>
    <w:p>
      <w:pPr>
        <w:spacing w:line="360" w:after="200"/>
      </w:pPr>
      <w:r>
        <w:t xml:space="preserve">4. INDUSTRY PARTNER CONTRIBUTION</w:t>
      </w:r>
    </w:p>
    <w:p>
      <w:pPr>
        <w:spacing w:line="360" w:after="200"/>
      </w:pPr>
      <w:r>
        <w:t xml:space="preserve">The Nek ANZAC Co-operative Limited / Reson8-Labs commits the following resources: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D3D3D3" w:val="clear"/>
            <w:vAlign w:val="center"/>
          </w:tcPr>
          <w:p>
            <w:r>
              <w:t xml:space="preserve">Contribution Type</w:t>
            </w:r>
          </w:p>
        </w:tc>
        <w:tc>
          <w:tcPr>
            <w:tcW w:type="dxa" w:w="2500"/>
            <w:shd w:fill="D3D3D3" w:val="clear"/>
            <w:vAlign w:val="center"/>
          </w:tcPr>
          <w:p>
            <w:r>
              <w:t xml:space="preserve">Value</w:t>
            </w:r>
          </w:p>
        </w:tc>
        <w:tc>
          <w:tcPr>
            <w:tcW w:type="dxa" w:w="3500"/>
            <w:shd w:fill="D3D3D3" w:val="clear"/>
            <w:vAlign w:val="center"/>
          </w:tcPr>
          <w:p>
            <w:r>
              <w:t xml:space="preserve">Annual</w:t>
            </w:r>
          </w:p>
        </w:tc>
        <w:tc>
          <w:tcPr>
            <w:tcW w:type="dxa" w:w="3740"/>
            <w:shd w:fill="D3D3D3" w:val="clear"/>
            <w:vAlign w:val="center"/>
          </w:tcPr>
          <w:p>
            <w:r>
              <w:t xml:space="preserve">Duration</w:t>
            </w:r>
          </w:p>
        </w:tc>
      </w:tr>
      <w:tr>
        <w:tc>
          <w:tcPr>
            <w:tcW w:type="dxa" w:w="2500"/>
            <w:shd w:val="clear"/>
          </w:tcPr>
          <w:p>
            <w:r>
              <w:t xml:space="preserve">Cash contribution</w:t>
            </w:r>
          </w:p>
        </w:tc>
        <w:tc>
          <w:tcPr>
            <w:tcW w:type="dxa" w:w="2500"/>
            <w:shd w:val="clear"/>
          </w:tcPr>
          <w:p>
            <w:r>
              <w:t xml:space="preserve">$50,000</w:t>
            </w:r>
          </w:p>
        </w:tc>
        <w:tc>
          <w:tcPr>
            <w:tcW w:type="dxa" w:w="3500"/>
            <w:shd w:val="clear"/>
          </w:tcPr>
          <w:p>
            <w:r>
              <w:t xml:space="preserve">$50,000/year</w:t>
            </w:r>
          </w:p>
        </w:tc>
        <w:tc>
          <w:tcPr>
            <w:tcW w:type="dxa" w:w="3740"/>
            <w:shd w:val="clear"/>
          </w:tcPr>
          <w:p>
            <w:r>
              <w:t xml:space="preserve">3 years</w:t>
            </w:r>
          </w:p>
        </w:tc>
      </w:tr>
      <w:tr>
        <w:tc>
          <w:tcPr>
            <w:tcW w:type="dxa" w:w="2500"/>
            <w:shd w:val="clear"/>
          </w:tcPr>
          <w:p>
            <w:r>
              <w:t xml:space="preserve">Hardware access (Coherence Forge cluster)</w:t>
            </w:r>
          </w:p>
        </w:tc>
        <w:tc>
          <w:tcPr>
            <w:tcW w:type="dxa" w:w="2500"/>
            <w:shd w:val="clear"/>
          </w:tcPr>
          <w:p>
            <w:r>
              <w:t xml:space="preserve">~$18,000</w:t>
            </w:r>
          </w:p>
        </w:tc>
        <w:tc>
          <w:tcPr>
            <w:tcW w:type="dxa" w:w="3500"/>
            <w:shd w:val="clear"/>
          </w:tcPr>
          <w:p>
            <w:r>
              <w:t xml:space="preserve">In-kind</w:t>
            </w:r>
          </w:p>
        </w:tc>
        <w:tc>
          <w:tcPr>
            <w:tcW w:type="dxa" w:w="3740"/>
            <w:shd w:val="clear"/>
          </w:tcPr>
          <w:p>
            <w:r>
              <w:t xml:space="preserve">3 years</w:t>
            </w:r>
          </w:p>
        </w:tc>
      </w:tr>
      <w:tr>
        <w:tc>
          <w:tcPr>
            <w:tcW w:type="dxa" w:w="2500"/>
            <w:shd w:val="clear"/>
          </w:tcPr>
          <w:p>
            <w:r>
              <w:t xml:space="preserve">Software platform access</w:t>
            </w:r>
          </w:p>
        </w:tc>
        <w:tc>
          <w:tcPr>
            <w:tcW w:type="dxa" w:w="2500"/>
            <w:shd w:val="clear"/>
          </w:tcPr>
          <w:p>
            <w:r>
              <w:t xml:space="preserve">Proprietary</w:t>
            </w:r>
          </w:p>
        </w:tc>
        <w:tc>
          <w:tcPr>
            <w:tcW w:type="dxa" w:w="3500"/>
            <w:shd w:val="clear"/>
          </w:tcPr>
          <w:p>
            <w:r>
              <w:t xml:space="preserve">In-kind</w:t>
            </w:r>
          </w:p>
        </w:tc>
        <w:tc>
          <w:tcPr>
            <w:tcW w:type="dxa" w:w="3740"/>
            <w:shd w:val="clear"/>
          </w:tcPr>
          <w:p>
            <w:r>
              <w:t xml:space="preserve">3 years</w:t>
            </w:r>
          </w:p>
        </w:tc>
      </w:tr>
      <w:tr>
        <w:tc>
          <w:tcPr>
            <w:tcW w:type="dxa" w:w="2500"/>
            <w:shd w:val="clear"/>
          </w:tcPr>
          <w:p>
            <w:r>
              <w:t xml:space="preserve">Technical staff time (0.5 FTE)</w:t>
            </w:r>
          </w:p>
        </w:tc>
        <w:tc>
          <w:tcPr>
            <w:tcW w:type="dxa" w:w="2500"/>
            <w:shd w:val="clear"/>
          </w:tcPr>
          <w:p>
            <w:r>
              <w:t xml:space="preserve">~$60,000</w:t>
            </w:r>
          </w:p>
        </w:tc>
        <w:tc>
          <w:tcPr>
            <w:tcW w:type="dxa" w:w="3500"/>
            <w:shd w:val="clear"/>
          </w:tcPr>
          <w:p>
            <w:r>
              <w:t xml:space="preserve">$60,000/year</w:t>
            </w:r>
          </w:p>
        </w:tc>
        <w:tc>
          <w:tcPr>
            <w:tcW w:type="dxa" w:w="3740"/>
            <w:shd w:val="clear"/>
          </w:tcPr>
          <w:p>
            <w:r>
              <w:t xml:space="preserve">3 years</w:t>
            </w:r>
          </w:p>
        </w:tc>
      </w:tr>
      <w:tr>
        <w:tc>
          <w:tcPr>
            <w:tcW w:type="dxa" w:w="2500"/>
            <w:shd w:val="clear"/>
          </w:tcPr>
          <w:p>
            <w:r>
              <w:t xml:space="preserve">TOTAL ESTIMATED VALUE</w:t>
            </w:r>
          </w:p>
        </w:tc>
        <w:tc>
          <w:tcPr>
            <w:tcW w:type="dxa" w:w="2500"/>
            <w:shd w:val="clear"/>
          </w:tcPr>
          <w:p>
            <w:r>
              <w:t xml:space="preserve">~$250,000</w:t>
            </w:r>
          </w:p>
        </w:tc>
        <w:tc>
          <w:tcPr>
            <w:tcW w:type="dxa" w:w="3500"/>
            <w:shd w:val="clear"/>
          </w:tcPr>
          <w:p>
            <w:r>
              <w:t xml:space="preserve">~$173,000/year</w:t>
            </w:r>
          </w:p>
        </w:tc>
        <w:tc>
          <w:tcPr>
            <w:tcW w:type="dxa" w:w="3740"/>
            <w:shd w:val="clear"/>
          </w:tcPr>
          <w:p>
            <w:r>
              <w:t xml:space="preserve">3 years</w:t>
            </w:r>
          </w:p>
        </w:tc>
      </w:tr>
    </w:tbl>
    <w:p>
      <w:pPr>
        <w:spacing w:line="360" w:after="400"/>
      </w:pPr>
      <w:r>
        <w:t xml:space="preserve">This substantial in-kind contribution demonstrates industry commitment to the research and ensures alignment with commercial deployment timelines.</w:t>
      </w:r>
    </w:p>
    <w:p>
      <w:pPr>
        <w:spacing w:line="360" w:after="200"/>
      </w:pPr>
      <w:r>
        <w:t xml:space="preserve">5. SIGNIFICANCE AND INNOVATION</w:t>
      </w:r>
    </w:p>
    <w:p>
      <w:pPr>
        <w:spacing w:line="360" w:after="200"/>
      </w:pPr>
      <w:r>
        <w:t xml:space="preserve">This project is the first to combine topological mathematics with AI alignment verification for distributed edge deployments. Key innovations include: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Novel application of anyonic braiding mathematics to multi-model consensus verification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First formal verification framework specifically designed for edge-deployed multi-agent AI systems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Sovereign Australian capability in AI safety verification, reducing reliance on US/EU research institutions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Direct alignment with AUKUS Pillar II strategic objectives for technology independence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Open-source contribution to global AI safety research community</w:t>
      </w:r>
    </w:p>
    <w:p>
      <w:pPr>
        <w:spacing w:line="360" w:after="200"/>
      </w:pPr>
      <w:r>
        <w:t xml:space="preserve">6. NATIONAL BENEFIT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Establishes Australia as a leader in sovereign AI safety technology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Reduces dependency on foreign alignment research for critical infrastructure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Creates a training pipeline for Australian AI safety researchers and engineers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Positions Australia for AUKUS Pillar II collaborative technologies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Enables Australian organizations to deploy AI with verifiable alignment guarantees</w:t>
      </w:r>
    </w:p>
    <w:p>
      <w:pPr>
        <w:spacing w:line="360" w:after="200"/>
      </w:pPr>
    </w:p>
    <w:p>
      <w:pPr>
        <w:spacing w:line="360" w:after="200"/>
      </w:pPr>
      <w:r>
        <w:t xml:space="preserve">7. FEASIBILITY</w:t>
      </w:r>
    </w:p>
    <w:p>
      <w:pPr>
        <w:spacing w:line="360" w:after="200"/>
      </w:pPr>
      <w:r>
        <w:t xml:space="preserve">The industry partner has demonstrated significant operational capability: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coherence-mcp v0.3.1 operational platform with 190 automated tests demonstrating reliability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71 implemented skills showing mature architecture for multi-agent coordination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Coherence Forge hardware specifications confirmed and available for deployment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Co-operative structure provides governance and long-term commitment assurance</w:t>
      </w:r>
    </w:p>
    <w:p>
      <w:pPr>
        <w:pStyle w:val="ListParagraph"/>
        <w:numPr>
          <w:ilvl w:val="0"/>
          <w:numId w:val="1"/>
        </w:numPr>
        <w:spacing w:line="360" w:after="120"/>
      </w:pPr>
      <w:r>
        <w:t xml:space="preserve">Matthew Ruhnau brings foundational expertise in topological methods and AI systems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2026-02-16T18:16:22.727Z</dcterms:created>
  <dcterms:modified xsi:type="dcterms:W3CDTF">2026-02-16T18:16:22.727Z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