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t xml:space="preserve">CNL Registration Pathway</w:t>
      </w:r>
    </w:p>
    <w:p>
      <w:pPr>
        <w:spacing w:after="300"/>
      </w:pPr>
      <w:r>
        <w:t xml:space="preserve">The Nek ANZAC Co-operative Limited - Step-by-Step Registration Guide</w:t>
      </w:r>
    </w:p>
    <w:p>
      <w:pPr>
        <w:pStyle w:val="Heading2"/>
        <w:spacing w:after="200" w:before="200"/>
      </w:pPr>
      <w:r>
        <w:t xml:space="preserve">OVERVIEW</w:t>
      </w:r>
    </w:p>
    <w:p>
      <w:pPr>
        <w:spacing w:after="100" w:line="240"/>
      </w:pPr>
      <w:r>
        <w:t xml:space="preserve">Registration under Co-operatives National Law (CNL) in New South Wales (primary jurisdiction). The Nek ANZAC Co-operative Limited is structured as a non-distributing co-operative with share capital, positioning it to: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Distribute benefits proportionally to member activity and usage</w:t>
      </w:r>
    </w:p>
    <w:p>
      <w:pPr>
        <w:pStyle w:val="ListParagraph"/>
        <w:numPr>
          <w:ilvl w:val="1"/>
          <w:numId w:val="1"/>
        </w:numPr>
        <w:spacing w:after="100" w:line="240"/>
      </w:pPr>
      <w:r>
        <w:t xml:space="preserve">Retain earnings for strategic reinvestment in AI safety infrastructure</w:t>
      </w:r>
    </w:p>
    <w:p>
      <w:pPr>
        <w:pStyle w:val="ListParagraph"/>
        <w:numPr>
          <w:ilvl w:val="1"/>
          <w:numId w:val="1"/>
        </w:numPr>
        <w:spacing w:after="100" w:line="240"/>
      </w:pPr>
      <w:r>
        <w:t xml:space="preserve">Maintain democratic member governance while operating as a sustainable enterprise</w:t>
      </w:r>
    </w:p>
    <w:p>
      <w:pPr>
        <w:pStyle w:val="Heading2"/>
        <w:spacing w:after="200" w:before="200"/>
      </w:pPr>
      <w:r>
        <w:t xml:space="preserve">PRE-REGISTRATION REQUIREMENTS</w:t>
      </w:r>
    </w:p>
    <w:p>
      <w:pPr>
        <w:spacing w:after="100" w:line="240"/>
      </w:pPr>
      <w:r>
        <w:t xml:space="preserve">The following conditions must be satisfied before lodging the registration application:</w:t>
      </w:r>
    </w:p>
    <w:p>
      <w:pPr>
        <w:pStyle w:val="ListParagraph"/>
        <w:numPr>
          <w:ilvl w:val="0"/>
          <w:numId w:val="{numbering-reference-0}"/>
        </w:numPr>
        <w:spacing w:after="100" w:line="240"/>
      </w:pPr>
      <w:r>
        <w:t xml:space="preserve">Minimum 5 active members who will form and use the co-operative</w:t>
      </w:r>
    </w:p>
    <w:p>
      <w:pPr>
        <w:spacing w:before="0" w:after="100"/>
      </w:pPr>
      <w:r>
        <w:t xml:space="preserve">All founding members must intend to actively participate in the co-operative and be named in the application.</w:t>
      </w:r>
    </w:p>
    <w:p>
      <w:pPr>
        <w:pStyle w:val="ListParagraph"/>
        <w:numPr>
          <w:ilvl w:val="0"/>
          <w:numId w:val="{numbering-reference-0}"/>
        </w:numPr>
        <w:spacing w:after="100" w:line="240"/>
      </w:pPr>
      <w:r>
        <w:t xml:space="preserve">At least 2 members must be Australian residents</w:t>
      </w:r>
    </w:p>
    <w:p>
      <w:pPr>
        <w:spacing w:before="0" w:after="100"/>
      </w:pPr>
      <w:r>
        <w:t xml:space="preserve">Supports domestic presence and regulatory compliance.</w:t>
      </w:r>
    </w:p>
    <w:p>
      <w:pPr>
        <w:pStyle w:val="ListParagraph"/>
        <w:numPr>
          <w:ilvl w:val="0"/>
          <w:numId w:val="{numbering-reference-0}"/>
        </w:numPr>
        <w:spacing w:after="100" w:line="240"/>
      </w:pPr>
      <w:r>
        <w:t xml:space="preserve">At least 2 proposed directors must be ordinarily resident in Australia (s172 CNL)</w:t>
      </w:r>
    </w:p>
    <w:p>
      <w:pPr>
        <w:spacing w:before="0" w:after="100"/>
      </w:pPr>
      <w:r>
        <w:t xml:space="preserve">Director residency is a statutory requirement; director consent forms must accompany the application.</w:t>
      </w:r>
    </w:p>
    <w:p>
      <w:pPr>
        <w:pStyle w:val="ListParagraph"/>
        <w:numPr>
          <w:ilvl w:val="0"/>
          <w:numId w:val="{numbering-reference-0}"/>
        </w:numPr>
        <w:spacing w:after="100" w:line="240"/>
      </w:pPr>
      <w:r>
        <w:t xml:space="preserve">Draft rules conforming to CNL requirements</w:t>
      </w:r>
    </w:p>
    <w:p>
      <w:pPr>
        <w:spacing w:before="0" w:after="100"/>
      </w:pPr>
      <w:r>
        <w:t xml:space="preserve">Rules must comply with CNL Schedule 7 (Model Rules) or justify departure. Legal review recommended.</w:t>
      </w:r>
    </w:p>
    <w:p>
      <w:pPr>
        <w:pStyle w:val="Heading2"/>
        <w:spacing w:after="200" w:before="200"/>
      </w:pPr>
      <w:r>
        <w:t xml:space="preserve">STEP-BY-STEP REGISTRATION</w:t>
      </w:r>
    </w:p>
    <w:p>
      <w:pPr>
        <w:pStyle w:val="Heading2"/>
        <w:spacing w:after="200" w:before="200"/>
      </w:pPr>
      <w:r>
        <w:t xml:space="preserve">Step 1: Assemble Founding Members</w:t>
      </w:r>
    </w:p>
    <w:p>
      <w:pPr>
        <w:spacing w:after="100" w:line="240"/>
      </w:pPr>
      <w:r>
        <w:t xml:space="preserve">Target: Minimum 5 founding members with geographic balance. Recommended structure: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3 Australian residents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2 New Zealand residents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This Trans-Tasman composition reflects our ANZAC foundation and demonstrates institutional commitment to bi-national collaboration.</w:t>
      </w:r>
    </w:p>
    <w:p>
      <w:pPr>
        <w:pStyle w:val="Heading2"/>
        <w:spacing w:after="200" w:before="200"/>
      </w:pPr>
      <w:r>
        <w:t xml:space="preserve">Step 2: Draft Co-operative Rules</w:t>
      </w:r>
    </w:p>
    <w:p>
      <w:pPr>
        <w:spacing w:after="100" w:line="240"/>
      </w:pPr>
      <w:r>
        <w:t xml:space="preserve">Based on Model Rules (CNL Schedule 7). The Founding Constitution has already been drafted and incorporates: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Member rights and obligations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Director election and governance procedures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Share capital allocation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Dividend and surplus distribution policies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Dispute resolution mechanisms</w:t>
      </w:r>
    </w:p>
    <w:p>
      <w:pPr>
        <w:spacing w:after="100" w:line="240"/>
      </w:pPr>
      <w:r>
        <w:t xml:space="preserve">Recommendation: Have legal counsel review rules before formation meeting to ensure CNL compliance.</w:t>
      </w:r>
    </w:p>
    <w:p>
      <w:pPr>
        <w:pStyle w:val="Heading2"/>
        <w:spacing w:after="200" w:before="200"/>
      </w:pPr>
      <w:r>
        <w:t xml:space="preserve">Step 3: Convene Formation Meeting</w:t>
      </w:r>
    </w:p>
    <w:p>
      <w:pPr>
        <w:spacing w:after="100" w:line="240"/>
      </w:pPr>
      <w:r>
        <w:t xml:space="preserve">All founding members must attend (virtual attendance acceptable under current regulatory guidance).</w:t>
      </w:r>
    </w:p>
    <w:p>
      <w:pPr>
        <w:spacing w:after="100" w:line="240"/>
      </w:pPr>
      <w:r>
        <w:t xml:space="preserve">At the formation meeting, the founding members must pass resolutions to:</w:t>
      </w:r>
    </w:p>
    <w:p>
      <w:pPr>
        <w:pStyle w:val="ListParagraph"/>
        <w:numPr>
          <w:ilvl w:val="0"/>
          <w:numId w:val="{numbering-reference-0}"/>
        </w:numPr>
        <w:spacing w:after="100" w:line="240"/>
      </w:pPr>
      <w:r>
        <w:t xml:space="preserve">Form the co-operative</w:t>
      </w:r>
    </w:p>
    <w:p>
      <w:pPr>
        <w:pStyle w:val="ListParagraph"/>
        <w:numPr>
          <w:ilvl w:val="0"/>
          <w:numId w:val="{numbering-reference-0}"/>
        </w:numPr>
        <w:spacing w:after="100" w:line="240"/>
      </w:pPr>
      <w:r>
        <w:t xml:space="preserve">Adopt the rules</w:t>
      </w:r>
    </w:p>
    <w:p>
      <w:pPr>
        <w:pStyle w:val="ListParagraph"/>
        <w:numPr>
          <w:ilvl w:val="0"/>
          <w:numId w:val="{numbering-reference-0}"/>
        </w:numPr>
        <w:spacing w:after="100" w:line="240"/>
      </w:pPr>
      <w:r>
        <w:t xml:space="preserve">Elect initial directors</w:t>
      </w:r>
    </w:p>
    <w:p>
      <w:pPr>
        <w:spacing w:after="100" w:line="240"/>
      </w:pPr>
      <w:r>
        <w:t xml:space="preserve">Minutes of meeting must be detailed and signed by all attendees.</w:t>
      </w:r>
    </w:p>
    <w:p>
      <w:pPr>
        <w:pStyle w:val="Heading2"/>
        <w:spacing w:after="200" w:before="200"/>
      </w:pPr>
      <w:r>
        <w:t xml:space="preserve">Step 4: Lodge Application with NSW Fair Trading</w:t>
      </w:r>
    </w:p>
    <w:p>
      <w:pPr>
        <w:spacing w:after="100" w:line="240"/>
      </w:pPr>
      <w:r>
        <w:t xml:space="preserve">Submit to NSW Fair Trading or relevant state registrar. Application package includes: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Completed application form (provided by registrar)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Proposed rules (certified copy)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Minutes of formation meeting (certified copy)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Consent forms from directors (original signatures required)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Registration fee (~$541)</w:t>
      </w:r>
    </w:p>
    <w:p>
      <w:pPr>
        <w:spacing w:after="100" w:line="240"/>
      </w:pPr>
      <w:r>
        <w:t xml:space="preserve">Processing typically takes 2–4 weeks.</w:t>
      </w:r>
    </w:p>
    <w:p>
      <w:pPr>
        <w:pStyle w:val="Heading2"/>
        <w:spacing w:after="200" w:before="200"/>
      </w:pPr>
      <w:r>
        <w:t xml:space="preserve">Step 5: Receive Certificate of Registration</w:t>
      </w:r>
    </w:p>
    <w:p>
      <w:pPr>
        <w:spacing w:after="100" w:line="240"/>
      </w:pPr>
      <w:r>
        <w:t xml:space="preserve">Upon approval, NSW Fair Trading issues a Certificate of Registration. This document is required for all subsequent financial and legal registrations.</w:t>
      </w:r>
    </w:p>
    <w:p>
      <w:pPr>
        <w:pStyle w:val="Heading2"/>
        <w:spacing w:after="200" w:before="200"/>
      </w:pPr>
      <w:r>
        <w:t xml:space="preserve">Step 6: Apply for ABN/TFN via Australian Business Register</w:t>
      </w:r>
    </w:p>
    <w:p>
      <w:pPr>
        <w:spacing w:after="100" w:line="240"/>
      </w:pPr>
      <w:r>
        <w:t xml:space="preserve">Once the Certificate of Registration is received: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Complete ABN application online (www.abr.gov.au)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Apply for Tax File Number (TFN) simultaneously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Processing is typically automatic (immediate for ABN, 24–48 hours for TFN)</w:t>
      </w:r>
    </w:p>
    <w:p>
      <w:pPr>
        <w:pStyle w:val="Heading2"/>
        <w:spacing w:after="200" w:before="200"/>
      </w:pPr>
      <w:r>
        <w:t xml:space="preserve">Step 7: Open Business Bank Account</w:t>
      </w:r>
    </w:p>
    <w:p>
      <w:pPr>
        <w:spacing w:after="100" w:line="240"/>
      </w:pPr>
      <w:r>
        <w:t xml:space="preserve">Contact recommended banks (CBA, Westpac) that have cooperative-friendly account structures. Required documents: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Certificate of Registration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ABN confirmation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Incorporation documents (rules, minutes)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Director identification (passports/licenses)</w:t>
      </w:r>
    </w:p>
    <w:p>
      <w:pPr>
        <w:pStyle w:val="Heading2"/>
        <w:spacing w:after="200" w:before="200"/>
      </w:pPr>
      <w:r>
        <w:t xml:space="preserve">Step 8: Register for GST (if applicable)</w:t>
      </w:r>
    </w:p>
    <w:p>
      <w:pPr>
        <w:spacing w:after="100" w:line="240"/>
      </w:pPr>
      <w:r>
        <w:t xml:space="preserve">If turnover is expected to exceed $75,000 in any 12-month period, GST registration is mandatory. Apply via: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ATO Business Portal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Effective from specified date</w:t>
      </w:r>
    </w:p>
    <w:p>
      <w:pPr>
        <w:pStyle w:val="Heading2"/>
        <w:spacing w:after="200" w:before="200"/>
      </w:pPr>
      <w:r>
        <w:t xml:space="preserve">POST-REGISTRATION REQUIREMENTS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Lodge Annual Return with registrar (within 6 months of financial year end)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Hold AGM within 5 months of financial year end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Maintain register of members (required by CNL)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Small co-operative exemptions apply if revenue &lt; $8M (reduced audit and reporting requirements)</w:t>
      </w:r>
    </w:p>
    <w:p>
      <w:pPr>
        <w:pStyle w:val="Heading2"/>
        <w:spacing w:after="200" w:before="200"/>
      </w:pPr>
      <w:r>
        <w:t xml:space="preserve">COST ESTIMATE</w:t>
      </w:r>
    </w:p>
    <w:p>
      <w:pPr>
        <w:spacing w:after="10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D3D3D3" w:val="clear"/>
            <w:vAlign w:val="center"/>
          </w:tcPr>
          <w:p>
            <w:r>
              <w:t xml:space="preserve">Item</w:t>
            </w:r>
          </w:p>
        </w:tc>
        <w:tc>
          <w:tcPr>
            <w:tcW w:type="dxa" w:w="4680"/>
            <w:shd w:fill="D3D3D3" w:val="clear"/>
            <w:vAlign w:val="center"/>
          </w:tcPr>
          <w:p>
            <w:r>
              <w:t xml:space="preserve">Estimated Cost</w:t>
            </w:r>
          </w:p>
        </w:tc>
      </w:tr>
      <w:tr>
        <w:tc>
          <w:tcPr>
            <w:tcW w:type="dxa" w:w="4680"/>
            <w:vAlign w:val="center"/>
          </w:tcPr>
          <w:p>
            <w:r>
              <w:t xml:space="preserve">Registration fee (NSW Fair Trading)</w:t>
            </w:r>
          </w:p>
        </w:tc>
        <w:tc>
          <w:tcPr>
            <w:tcW w:type="dxa" w:w="4680"/>
            <w:vAlign w:val="center"/>
          </w:tcPr>
          <w:p>
            <w:r>
              <w:t xml:space="preserve">~$541</w:t>
            </w:r>
          </w:p>
        </w:tc>
      </w:tr>
      <w:tr>
        <w:tc>
          <w:tcPr>
            <w:tcW w:type="dxa" w:w="4680"/>
            <w:vAlign w:val="center"/>
          </w:tcPr>
          <w:p>
            <w:r>
              <w:t xml:space="preserve">Legal review of rules</w:t>
            </w:r>
          </w:p>
        </w:tc>
        <w:tc>
          <w:tcPr>
            <w:tcW w:type="dxa" w:w="4680"/>
            <w:vAlign w:val="center"/>
          </w:tcPr>
          <w:p>
            <w:r>
              <w:t xml:space="preserve">~$2,000–5,000</w:t>
            </w:r>
          </w:p>
        </w:tc>
      </w:tr>
      <w:tr>
        <w:tc>
          <w:tcPr>
            <w:tcW w:type="dxa" w:w="4680"/>
            <w:vAlign w:val="center"/>
          </w:tcPr>
          <w:p>
            <w:r>
              <w:t xml:space="preserve">ABN/TFN application</w:t>
            </w:r>
          </w:p>
        </w:tc>
        <w:tc>
          <w:tcPr>
            <w:tcW w:type="dxa" w:w="4680"/>
            <w:vAlign w:val="center"/>
          </w:tcPr>
          <w:p>
            <w:r>
              <w:t xml:space="preserve">$0</w:t>
            </w:r>
          </w:p>
        </w:tc>
      </w:tr>
      <w:tr>
        <w:tc>
          <w:tcPr>
            <w:tcW w:type="dxa" w:w="4680"/>
            <w:vAlign w:val="center"/>
          </w:tcPr>
          <w:p>
            <w:r>
              <w:t xml:space="preserve">Bank account setup</w:t>
            </w:r>
          </w:p>
        </w:tc>
        <w:tc>
          <w:tcPr>
            <w:tcW w:type="dxa" w:w="4680"/>
            <w:vAlign w:val="center"/>
          </w:tcPr>
          <w:p>
            <w:r>
              <w:t xml:space="preserve">$0</w:t>
            </w:r>
          </w:p>
        </w:tc>
      </w:tr>
      <w:tr>
        <w:tc>
          <w:tcPr>
            <w:tcW w:type="dxa" w:w="4680"/>
            <w:vAlign w:val="center"/>
          </w:tcPr>
          <w:p>
            <w:r>
              <w:t xml:space="preserve">Annual return (year 1 onward)</w:t>
            </w:r>
          </w:p>
        </w:tc>
        <w:tc>
          <w:tcPr>
            <w:tcW w:type="dxa" w:w="4680"/>
            <w:vAlign w:val="center"/>
          </w:tcPr>
          <w:p>
            <w:r>
              <w:t xml:space="preserve">~$100/year</w:t>
            </w:r>
          </w:p>
        </w:tc>
      </w:tr>
      <w:tr>
        <w:tc>
          <w:tcPr>
            <w:tcW w:type="dxa" w:w="4680"/>
            <w:vAlign w:val="center"/>
          </w:tcPr>
          <w:p>
            <w:r>
              <w:t xml:space="preserve">Insurance (PI/PL)</w:t>
            </w:r>
          </w:p>
        </w:tc>
        <w:tc>
          <w:tcPr>
            <w:tcW w:type="dxa" w:w="4680"/>
            <w:vAlign w:val="center"/>
          </w:tcPr>
          <w:p>
            <w:r>
              <w:t xml:space="preserve">~$1,500/year</w:t>
            </w:r>
          </w:p>
        </w:tc>
      </w:tr>
    </w:tbl>
    <w:p>
      <w:pPr>
        <w:spacing w:after="100" w:line="240"/>
      </w:pPr>
    </w:p>
    <w:p>
      <w:pPr>
        <w:spacing w:after="100" w:line="240"/>
      </w:pPr>
      <w:r>
        <w:t xml:space="preserve">Total estimated startup cost: ~$2,500–$6,500 (excluding initial capital investment). Ongoing annual cost: ~$1,600–$1,700 (insurance + annual return).</w:t>
      </w:r>
    </w:p>
    <w:p>
      <w:pPr>
        <w:pStyle w:val="Heading2"/>
        <w:spacing w:after="200" w:before="200"/>
      </w:pPr>
      <w:r>
        <w:t xml:space="preserve">TIMELINE</w:t>
      </w:r>
    </w:p>
    <w:p>
      <w:pPr>
        <w:spacing w:after="100" w:line="240"/>
      </w:pPr>
      <w:r>
        <w:t xml:space="preserve">Target registration by April 2026 (aligns with ARC Linkage application deadlines if pursued). Recommended milestones: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Q1 2026: Finalize founding members and legal review of rules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Q2 2026: Convene formation meeting and lodge registration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Q2–Q3 2026: Receive Certificate of Registration and establish banking</w:t>
      </w:r>
    </w:p>
    <w:p>
      <w:pPr>
        <w:pStyle w:val="Heading2"/>
        <w:spacing w:after="200" w:before="200"/>
      </w:pPr>
      <w:r>
        <w:t xml:space="preserve">RISK REGISTER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Finding 5 founding members: Mitigation — commence recruitment immediately; leverage existing networks across AU/NZ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Director residency requirement: Mitigation — identify Australian directors early; ensure consent forms are complete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Potential delays with registrar: Mitigation — allow 6–8 weeks buffer; ensure application is complete and accurate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Need for legal review of rules: Mitigation — budget $2,000–$5,000; begin legal engagement in Q1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2026-02-16T18:11:54.335Z</dcterms:created>
  <dcterms:modified xsi:type="dcterms:W3CDTF">2026-02-16T18:11:54.335Z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