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 w:line="360"/>
        <w:jc w:val="center"/>
        <w:rPr>
          <w:rFonts w:ascii="Arial" w:cs="Arial" w:eastAsia="Arial" w:hAnsi="Arial"/>
          <w:b/>
          <w:bCs/>
          <w:sz w:val="32"/>
          <w:szCs w:val="32"/>
        </w:rPr>
      </w:pPr>
      <w:r>
        <w:t xml:space="preserve">THE NEK ANZAC CO-OPERATIVE — Financial Projection Model</w:t>
      </w:r>
    </w:p>
    <w:p>
      <w:pPr>
        <w:spacing w:before="0" w:after="400" w:line="36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Dispersion (2026) to Transition (2027) to Resonance (2028+)</w:t>
      </w: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1. FINANCIAL OVERVIEW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Non-distributing co-operative. All surplus reinvested.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Revenue streams: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• Membership fees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• R&amp;D Tax Incentive refunds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• Grant funding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• Potential service contracts</w:t>
      </w:r>
    </w:p>
    <w:p>
      <w:pPr>
        <w:spacing w:after="2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2. PHASE 1: DISPERSION (2026) — Setup Year</w:t>
      </w: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Expenses: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Item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Q1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Q2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Q3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Q4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Total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Co-op registration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$541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$541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Legal review of rules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$3,000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$3,000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Coherence Forge hardware (1 unit)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$6,000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$6,000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Domain/hosting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$800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Insurance (PI/PL)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$1,500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$1,500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 compute (burst)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Travel (Trans-Tasman)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TOTAL EXPENSES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$4,241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$8,200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$2,700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$700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$15,841</w:t>
            </w:r>
          </w:p>
        </w:tc>
      </w:tr>
    </w:tbl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Income: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Item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Q1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Q2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Q3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Q4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Total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Membership shares (5 x $10)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R&amp;D Tax Incentive (43.5% of ~$10,000)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$4,350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$4,350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IGP Advisory (if approved)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TOTAL INCOME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$4,350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$4,400</w:t>
            </w:r>
          </w:p>
        </w:tc>
      </w:tr>
    </w:tbl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Net Position Year 1: -$11,441 (funded from founding director contribution)</w:t>
      </w:r>
    </w:p>
    <w:p>
      <w:pPr>
        <w:spacing w:after="4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3. PHASE 2: TRANSITION (2027) — Growth Year</w:t>
      </w: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Expenses: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Item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Amount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Additional Forge units (3 x $6,000)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$18,000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Developer time (0.5 FTE equivalent)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 compute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Insurance/admin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$3,000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Travel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ARC Linkage cash contribution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TOTAL EXPENSES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$119,000</w:t>
            </w:r>
          </w:p>
        </w:tc>
      </w:tr>
    </w:tbl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Income: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Item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Amount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Membership shares (10 new x $10)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R&amp;D Tax Incentive (43.5% of ~$60,000)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$26,100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ARC Linkage grant (university-led)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Service contracts (pilot)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TOTAL INCOME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$46,200</w:t>
            </w:r>
          </w:p>
        </w:tc>
      </w:tr>
    </w:tbl>
    <w:p>
      <w:pPr>
        <w:spacing w:after="4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4. PHASE 3: RESONANCE (2028+) — Sustainable Operations</w:t>
      </w: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Expenses: ~$200,000/year (scaled team, hardware fleet, operations)</w:t>
      </w:r>
    </w:p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Income: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Revenue Source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Annual Amount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R&amp;D Tax Incentive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$43,500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Service contracts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$80,000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CCU issuance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Grant co-funding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$30,000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TOTAL INCOME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$203,500</w:t>
            </w:r>
          </w:p>
        </w:tc>
      </w:tr>
    </w:tbl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Net: Break-even to positive</w:t>
      </w:r>
    </w:p>
    <w:p>
      <w:pPr>
        <w:spacing w:after="4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5. KEY ASSUMPTIONS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Assumption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Value</w:t>
            </w:r>
          </w:p>
        </w:tc>
        <w:tc>
          <w:tcPr>
            <w:shd w:fill="D3D3D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b/>
                <w:bCs/>
                <w:sz w:val="22"/>
                <w:szCs w:val="22"/>
              </w:rPr>
            </w:pPr>
            <w:r>
              <w:t xml:space="preserve">Source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R&amp;D Tax 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43.5% refundable (turnover &lt; $20M)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ATO policy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Hardware unit cost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$6,000 AUD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Coherence Forge pricing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Membership share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$10 (nominal)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Co-operative bylaws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Cloud burst 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$500/quarter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AWS/Azure estimates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ARC Linkage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$50K/year industry cash contribution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ARC scheme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Exchange 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1 AUD = 0.92 NZD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t xml:space="preserve">Current market rate</w:t>
            </w:r>
          </w:p>
        </w:tc>
      </w:tr>
    </w:tbl>
    <w:p>
      <w:pPr>
        <w:spacing w:after="4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6. SENSITIVITY ANALYSIS</w:t>
      </w: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If R&amp;D Tax Incentive denied: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Phase 1 deficit increases to ~$16K, requires additional founding contribution</w:t>
      </w:r>
    </w:p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If ARC Linkage not approved: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Pivot to CSIRO direct partnership + AISI engagement, reduce Phase 2 scope</w:t>
      </w:r>
    </w:p>
    <w:p>
      <w:pPr>
        <w:spacing w:after="200"/>
      </w:pPr>
    </w:p>
    <w:p>
      <w:pPr>
        <w:spacing w:before="0" w:after="200" w:line="360"/>
        <w:rPr>
          <w:rFonts w:ascii="Arial" w:cs="Arial" w:eastAsia="Arial" w:hAnsi="Arial"/>
          <w:b/>
          <w:bCs/>
          <w:sz w:val="22"/>
          <w:szCs w:val="22"/>
        </w:rPr>
      </w:pPr>
      <w:r>
        <w:t xml:space="preserve">If fewer than 5 founding members: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Delay registration, operate as unincorporated JV until threshold met</w:t>
      </w:r>
    </w:p>
    <w:p>
      <w:pPr>
        <w:spacing w:after="400"/>
      </w:pPr>
    </w:p>
    <w:p>
      <w:pPr>
        <w:spacing w:before="200" w:after="200" w:line="360"/>
        <w:rPr>
          <w:rFonts w:ascii="Arial" w:cs="Arial" w:eastAsia="Arial" w:hAnsi="Arial"/>
          <w:b/>
          <w:bCs/>
          <w:sz w:val="48"/>
          <w:szCs w:val="48"/>
        </w:rPr>
      </w:pPr>
      <w:r>
        <w:t xml:space="preserve">7. FUNDING WATERFALL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Priority order: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(1) Founding contributions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(2) R&amp;D Tax refunds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(3) Grant funding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(4) Service revenue</w:t>
      </w:r>
    </w:p>
    <w:p>
      <w:pPr>
        <w:spacing w:before="0" w:after="200" w:line="360"/>
        <w:rPr>
          <w:rFonts w:ascii="Arial" w:cs="Arial" w:eastAsia="Arial" w:hAnsi="Arial"/>
          <w:b w:val="false"/>
          <w:bCs w:val="false"/>
          <w:sz w:val="22"/>
          <w:szCs w:val="22"/>
        </w:rPr>
      </w:pPr>
      <w:r>
        <w:t xml:space="preserve">(5) CCU issuance (last resort, preserves member control)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2026-02-16T18:45:22.764Z</dcterms:created>
  <dcterms:modified xsi:type="dcterms:W3CDTF">2026-02-16T18:45:22.764Z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