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 w:line="360"/>
        <w:jc w:val="center"/>
      </w:pPr>
      <w:r>
        <w:t xml:space="preserve">INDUSTRY GROWTH PROGRAM</w:t>
      </w:r>
    </w:p>
    <w:p>
      <w:pPr>
        <w:spacing w:after="240" w:line="360"/>
        <w:jc w:val="center"/>
      </w:pPr>
      <w:r>
        <w:t xml:space="preserve">Expression of Interest</w:t>
      </w:r>
    </w:p>
    <w:p>
      <w:pPr>
        <w:spacing w:before="240" w:after="120" w:line="360"/>
      </w:pPr>
      <w:r>
        <w:t xml:space="preserve">1. APPLICANT DETAILS</w:t>
      </w:r>
    </w:p>
    <w:p>
      <w:pPr>
        <w:spacing w:after="100" w:line="360"/>
      </w:pPr>
      <w:r>
        <w:t xml:space="preserve">Entity Name: Reson8-Labs (transitioning to The Nek ANZAC Co-operative Limited)</w:t>
      </w:r>
    </w:p>
    <w:p>
      <w:pPr>
        <w:spacing w:after="100" w:line="360"/>
      </w:pPr>
      <w:r>
        <w:t xml:space="preserve">ABN: Pending</w:t>
      </w:r>
    </w:p>
    <w:p>
      <w:pPr>
        <w:spacing w:after="100" w:line="360"/>
      </w:pPr>
      <w:r>
        <w:t xml:space="preserve">Applicant: Matthew Ruhnau, Founding Director</w:t>
      </w:r>
    </w:p>
    <w:p>
      <w:pPr>
        <w:spacing w:after="100" w:line="360"/>
      </w:pPr>
      <w:r>
        <w:t xml:space="preserve">Location: Sydney, NSW, Australia</w:t>
      </w:r>
    </w:p>
    <w:p>
      <w:pPr>
        <w:spacing w:after="100" w:line="360"/>
      </w:pPr>
      <w:r>
        <w:t xml:space="preserve">Sector: Artificial Intelligence / Sovereign Technology Infrastructure</w:t>
      </w:r>
    </w:p>
    <w:p>
      <w:pPr>
        <w:spacing w:after="240" w:line="360"/>
      </w:pPr>
      <w:r>
        <w:t xml:space="preserve">Structure: Non-distributing co-operative under Co-operatives National Law (Australia)</w:t>
      </w:r>
    </w:p>
    <w:p>
      <w:pPr>
        <w:spacing w:before="240" w:after="120" w:line="360"/>
      </w:pPr>
      <w:r>
        <w:t xml:space="preserve">2. PROJECT SUMMARY</w:t>
      </w:r>
    </w:p>
    <w:p>
      <w:pPr>
        <w:spacing w:after="120" w:line="360"/>
      </w:pPr>
      <w:r>
        <w:t xml:space="preserve">Sovereign AI Alignment Infrastructure for the Trans-Tasman Corridor</w:t>
      </w:r>
    </w:p>
    <w:p>
      <w:pPr>
        <w:spacing w:after="240" w:line="360"/>
      </w:pPr>
      <w:r>
        <w:t xml:space="preserve">The Nek ANZAC Co-operative is developing edge-deployed AI alignment and orchestration tools on an open-source basis. Our mission is to build sovereign compute capability across the Trans-Tasman region, reducing dependency on foreign hyperscalers and establishing regional self-determination in artificial intelligence.</w:t>
      </w:r>
    </w:p>
    <w:p>
      <w:pPr>
        <w:spacing w:before="240" w:after="120" w:line="360"/>
      </w:pPr>
      <w:r>
        <w:t xml:space="preserve">3. INNOVATION DESCRIPTION</w:t>
      </w:r>
    </w:p>
    <w:p>
      <w:pPr>
        <w:spacing w:after="120" w:line="360"/>
      </w:pPr>
      <w:r>
        <w:t xml:space="preserve">Our innovation encompasses three core components: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Multi-model Consensus Protocol: A novel framework for AI safety and alignment verification across heterogeneous model architectures, enabling consensus-based output validation without centralised control.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Edge-Deployed Hardware Architecture (Coherence Forge): Purpose-built distributed compute nodes designed for edge deployment, optimised for alignment verification and orchestration workloads.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Open-Source Orchestration Middleware (coherence-mcp): A sovereign, community-managed orchestration layer enabling topological verification of AI outputs and enabling trustless inter-node communication.</w:t>
      </w:r>
    </w:p>
    <w:p>
      <w:pPr>
        <w:spacing w:after="120" w:line="360"/>
      </w:pPr>
    </w:p>
    <w:p>
      <w:pPr>
        <w:spacing w:before="240" w:after="120" w:line="360"/>
      </w:pPr>
      <w:r>
        <w:t xml:space="preserve">4. MARKET OPPORTUNITY</w:t>
      </w:r>
    </w:p>
    <w:p>
      <w:pPr>
        <w:spacing w:after="120" w:line="360"/>
      </w:pPr>
      <w:r>
        <w:t xml:space="preserve">The Australian AI market is projected to reach $22.6 billion by 2030. Key drivers include: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Sovereign AI as a national security imperative: Australia requires indigenous AI capability to maintain technological sovereignty.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AUKUS Pillar II alignment: Our infrastructure supports Five Eyes technological cooperation and interoperability.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Trans-Tasman economic corridor: Joint AU-NZ infrastructure enhances regional competitiveness and knowledge exchange.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Reduction of hyperscaler dependency: Regional edge compute reduces reliance on foreign cloud providers and centralised systems.</w:t>
      </w:r>
    </w:p>
    <w:p>
      <w:pPr>
        <w:spacing w:after="120" w:line="360"/>
      </w:pPr>
    </w:p>
    <w:p>
      <w:pPr>
        <w:spacing w:before="240" w:after="120" w:line="360"/>
      </w:pPr>
      <w:r>
        <w:t xml:space="preserve">5. GROWTH PLAN</w:t>
      </w:r>
    </w:p>
    <w:p>
      <w:pPr>
        <w:spacing w:after="80" w:line="360"/>
      </w:pPr>
      <w:r>
        <w:t xml:space="preserve">Phase 1 (2026): Co-operative Registration and First Hardware Deployment</w:t>
      </w:r>
    </w:p>
    <w:p>
      <w:pPr>
        <w:spacing w:after="120" w:line="360"/>
      </w:pPr>
      <w:r>
        <w:t xml:space="preserve">Formal registration of The Nek ANZAC Co-operative Limited; initial sovereign node deployment in Sydney; release of coherence-mcp v1.0.</w:t>
      </w:r>
    </w:p>
    <w:p>
      <w:pPr>
        <w:spacing w:after="80" w:line="360"/>
      </w:pPr>
      <w:r>
        <w:t xml:space="preserve">Phase 2 (2027): First 10 Member Nodes</w:t>
      </w:r>
    </w:p>
    <w:p>
      <w:pPr>
        <w:spacing w:after="120" w:line="360"/>
      </w:pPr>
      <w:r>
        <w:t xml:space="preserve">Recruitment and onboarding of founding member organisations across Australia and New Zealand; establishment of distributed consensus network; community governance structures.</w:t>
      </w:r>
    </w:p>
    <w:p>
      <w:pPr>
        <w:spacing w:after="80" w:line="360"/>
      </w:pPr>
      <w:r>
        <w:t xml:space="preserve">Phase 3 (2028+): Trans-Tasman Relay Network</w:t>
      </w:r>
    </w:p>
    <w:p>
      <w:pPr>
        <w:spacing w:after="240" w:line="360"/>
      </w:pPr>
      <w:r>
        <w:t xml:space="preserve">Scale to 50+ nodes; establish international research partnerships; monetise through licensing of alignment verification services.</w:t>
      </w:r>
    </w:p>
    <w:p>
      <w:pPr>
        <w:spacing w:before="240" w:after="120" w:line="360"/>
      </w:pPr>
      <w:r>
        <w:t xml:space="preserve">6. TEAM &amp; CAPABILITY</w:t>
      </w:r>
    </w:p>
    <w:p>
      <w:pPr>
        <w:spacing w:after="120" w:line="360"/>
      </w:pPr>
      <w:r>
        <w:t xml:space="preserve">Matthew Ruhnau, Founding Director, brings deep technical background in distributed systems, AI infrastructure, and open-source governance. The co-operative model ensures embedded distributed expertise across member organisations.</w:t>
      </w:r>
    </w:p>
    <w:p>
      <w:pPr>
        <w:spacing w:after="80" w:line="360"/>
      </w:pPr>
      <w:r>
        <w:t xml:space="preserve">Strategic Partnerships: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CSIRO and national research institutions: Validation and research collaboration on responsible AI frameworks.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Australian and New Zealand university sector: Technical talent pipeline and research partnerships.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Five Eyes technology partners: Export-ready sovereign infrastructure.</w:t>
      </w:r>
    </w:p>
    <w:p>
      <w:pPr>
        <w:spacing w:after="120" w:line="360"/>
      </w:pPr>
    </w:p>
    <w:p>
      <w:pPr>
        <w:spacing w:before="240" w:after="120" w:line="360"/>
      </w:pPr>
      <w:r>
        <w:t xml:space="preserve">7. FUNDING REQUEST</w:t>
      </w:r>
    </w:p>
    <w:p>
      <w:pPr>
        <w:spacing w:after="120" w:line="360"/>
      </w:pPr>
      <w:r>
        <w:t xml:space="preserve">We request IGP support in the form of: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Advisory services: Strategy, export market development, and Five Eyes engagement.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Grant funding: Hardware procurement and intellectual property protection.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Network access: Connection to IGP-supported export programs and market intelligence.</w:t>
      </w:r>
    </w:p>
    <w:p>
      <w:pPr>
        <w:spacing w:after="120" w:line="360"/>
      </w:pPr>
    </w:p>
    <w:p>
      <w:pPr>
        <w:spacing w:before="240" w:after="120" w:line="360"/>
      </w:pPr>
      <w:r>
        <w:t xml:space="preserve">8. ALIGNMENT WITH IGP OBJECTIVES</w:t>
      </w:r>
    </w:p>
    <w:p>
      <w:pPr>
        <w:spacing w:after="120" w:line="360"/>
      </w:pPr>
      <w:r>
        <w:t xml:space="preserve">The Nek ANZAC Co-operative aligns with IGP priorities: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Sovereign Capability: Indigenous AI infrastructure reduces geopolitical technology risk.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Export Potential: Sovereign alignment infrastructure is export-ready for Five Eyes and allied nations.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Regional Job Creation: Distributed co-operative model creates technical employment across regional centres.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Strategic Infrastructure: Reduces dependency on foreign hyperscalers; enhances Australian technology independence.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2026-02-16T18:10:07.327Z</dcterms:created>
  <dcterms:modified xsi:type="dcterms:W3CDTF">2026-02-16T18:10:07.327Z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