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100"/>
      </w:pPr>
      <w:r>
        <w:t xml:space="preserve">R&amp;D TAX INCENTIVE</w:t>
      </w:r>
    </w:p>
    <w:p>
      <w:pPr>
        <w:spacing w:line="360" w:after="100"/>
      </w:pPr>
      <w:r>
        <w:t xml:space="preserve">Documentation Scaffold</w:t>
      </w:r>
    </w:p>
    <w:p>
      <w:pPr>
        <w:spacing w:line="360" w:after="300"/>
      </w:pPr>
      <w:r>
        <w:t xml:space="preserve">(Section 355-25 ITAA 1997)</w:t>
      </w:r>
    </w:p>
    <w:p>
      <w:pPr>
        <w:spacing w:line="360" w:after="400"/>
      </w:pPr>
      <w:r>
        <w:t xml:space="preserve">The Nek ANZAC Co-operative Limited (Proposed)</w:t>
      </w:r>
    </w:p>
    <w:p>
      <w:pPr>
        <w:spacing w:line="360" w:after="200"/>
      </w:pPr>
      <w:r>
        <w:t xml:space="preserve">1. ENTITY DETAILS</w:t>
      </w:r>
    </w:p>
    <w:p>
      <w:pPr>
        <w:pStyle w:val="ListParagraph"/>
        <w:numPr>
          <w:ilvl w:val="0"/>
          <w:numId w:val="1"/>
        </w:numPr>
        <w:spacing w:line="360" w:after="120"/>
      </w:pPr>
      <w:r>
        <w:t xml:space="preserve">Legal Entity: The Nek ANZAC Co-operative Limited (proposed)</w:t>
      </w:r>
    </w:p>
    <w:p>
      <w:pPr>
        <w:pStyle w:val="ListParagraph"/>
        <w:numPr>
          <w:ilvl w:val="0"/>
          <w:numId w:val="1"/>
        </w:numPr>
        <w:spacing w:line="360" w:after="120"/>
      </w:pPr>
      <w:r>
        <w:t xml:space="preserve">ABN: [Pending]</w:t>
      </w:r>
    </w:p>
    <w:p>
      <w:pPr>
        <w:pStyle w:val="ListParagraph"/>
        <w:numPr>
          <w:ilvl w:val="0"/>
          <w:numId w:val="1"/>
        </w:numPr>
        <w:spacing w:line="360" w:after="120"/>
      </w:pPr>
      <w:r>
        <w:t xml:space="preserve">Status: Australian-resident entity</w:t>
      </w:r>
    </w:p>
    <w:p>
      <w:pPr>
        <w:pStyle w:val="ListParagraph"/>
        <w:numPr>
          <w:ilvl w:val="0"/>
          <w:numId w:val="1"/>
        </w:numPr>
        <w:spacing w:line="360" w:after="120"/>
      </w:pPr>
      <w:r>
        <w:t xml:space="preserve">Projected Turnover: Under $20M</w:t>
      </w:r>
    </w:p>
    <w:p>
      <w:pPr>
        <w:pStyle w:val="ListParagraph"/>
        <w:numPr>
          <w:ilvl w:val="0"/>
          <w:numId w:val="1"/>
        </w:numPr>
        <w:spacing w:line="360" w:after="120"/>
      </w:pPr>
      <w:r>
        <w:t xml:space="preserve">Offset Entitlement: 43.5% refundable offset (eligible threshold)</w:t>
      </w:r>
    </w:p>
    <w:p>
      <w:pPr>
        <w:spacing w:line="360" w:after="200"/>
      </w:pPr>
    </w:p>
    <w:p>
      <w:pPr>
        <w:spacing w:line="360" w:after="200"/>
      </w:pPr>
      <w:r>
        <w:t xml:space="preserve">2. R&amp;D ENTITY STRUCTURE</w:t>
      </w:r>
    </w:p>
    <w:p>
      <w:pPr>
        <w:spacing w:line="360" w:after="200"/>
      </w:pPr>
      <w:r>
        <w:t xml:space="preserve">The Nek ANZAC Co-operative is established as a co-operative entity under the Co-operatives National Law (CNL). Critical note: Co-operatives ARE eligible entities under the R&amp;D Tax Incentive provided they meet these criteria:</w:t>
      </w:r>
    </w:p>
    <w:p>
      <w:pPr>
        <w:pStyle w:val="ListParagraph"/>
        <w:numPr>
          <w:ilvl w:val="0"/>
          <w:numId w:val="1"/>
        </w:numPr>
        <w:spacing w:line="360" w:after="120"/>
      </w:pPr>
      <w:r>
        <w:t xml:space="preserve">Incorporated under applicable Co-operative legislation</w:t>
      </w:r>
    </w:p>
    <w:p>
      <w:pPr>
        <w:pStyle w:val="ListParagraph"/>
        <w:numPr>
          <w:ilvl w:val="0"/>
          <w:numId w:val="1"/>
        </w:numPr>
        <w:spacing w:line="360" w:after="120"/>
      </w:pPr>
      <w:r>
        <w:t xml:space="preserve">Carry on business in Australia</w:t>
      </w:r>
    </w:p>
    <w:p>
      <w:pPr>
        <w:pStyle w:val="ListParagraph"/>
        <w:numPr>
          <w:ilvl w:val="0"/>
          <w:numId w:val="1"/>
        </w:numPr>
        <w:spacing w:line="360" w:after="120"/>
      </w:pPr>
      <w:r>
        <w:t xml:space="preserve">Are required by law to disclose financial records</w:t>
      </w:r>
    </w:p>
    <w:p>
      <w:pPr>
        <w:pStyle w:val="ListParagraph"/>
        <w:numPr>
          <w:ilvl w:val="0"/>
          <w:numId w:val="1"/>
        </w:numPr>
        <w:spacing w:line="360" w:after="120"/>
      </w:pPr>
      <w:r>
        <w:t xml:space="preserve">Not primarily investment entities</w:t>
      </w:r>
    </w:p>
    <w:p>
      <w:pPr>
        <w:spacing w:line="360" w:after="400"/>
      </w:pPr>
      <w:r>
        <w:t xml:space="preserve">The Nek ANZAC Co-operative satisfies all criteria and qualifies for the R&amp;D Tax Incentive.</w:t>
      </w:r>
    </w:p>
    <w:p>
      <w:pPr>
        <w:spacing w:line="360" w:after="200"/>
      </w:pPr>
      <w:r>
        <w:t xml:space="preserve">3. CORE R&amp;D ACTIVITIES</w:t>
      </w:r>
    </w:p>
    <w:p>
      <w:pPr>
        <w:spacing w:line="360" w:after="200"/>
      </w:pPr>
      <w:r>
        <w:t xml:space="preserve">Activity 3a: Multi-Model Consensus Protocol Development</w:t>
      </w:r>
    </w:p>
    <w:p>
      <w:pPr>
        <w:spacing w:line="360" w:after="200"/>
      </w:pPr>
      <w:r>
        <w:t xml:space="preserve">Novel approach to AI alignment through cognitive tri-weave methodology. This involves creating new consensus algorithms that integrate outputs from multiple specialized AI models into a unified, verified representation. Key research questions address how to formally verify that consensus-based outputs maintain alignment properties even when individual models diverge. This activity is clearly R&amp;D as it involves developing novel processes and investigating alternatives to existing consensus approaches.</w:t>
      </w:r>
    </w:p>
    <w:p>
      <w:pPr>
        <w:spacing w:line="360" w:after="200"/>
      </w:pPr>
      <w:r>
        <w:t xml:space="preserve">Activity 3b: Topological Verification of AI Outputs</w:t>
      </w:r>
    </w:p>
    <w:p>
      <w:pPr>
        <w:spacing w:line="360" w:after="200"/>
      </w:pPr>
      <w:r>
        <w:t xml:space="preserve">Applying anyonic braiding mathematics to output provenance. This involves research into mathematical frameworks for creating tamper-resistant representations of model outputs and implementing novel algorithms for computing topological invariants from neural network activations. The work extends existing mathematics in unexpected ways to a new domain (AI safety), clearly constituting R&amp;D.</w:t>
      </w:r>
    </w:p>
    <w:p>
      <w:pPr>
        <w:spacing w:line="360" w:after="200"/>
      </w:pPr>
      <w:r>
        <w:t xml:space="preserve">Activity 3c: Edge-Deployed Inference Optimization</w:t>
      </w:r>
    </w:p>
    <w:p>
      <w:pPr>
        <w:spacing w:line="360" w:after="200"/>
      </w:pPr>
      <w:r>
        <w:t xml:space="preserve">Novel hardware configurations for sovereign AI deployment at the network edge. Research into specialized hardware acceleration for topological verification computations, including investigation of field-programmable gate array (FPGA) implementations and novel interconnect topologies for distributed edge inference.</w:t>
      </w:r>
    </w:p>
    <w:p>
      <w:pPr>
        <w:spacing w:line="360" w:after="200"/>
      </w:pPr>
      <w:r>
        <w:t xml:space="preserve">Activity 3d: Distributed Consensus Governance Middleware</w:t>
      </w:r>
    </w:p>
    <w:p>
      <w:pPr>
        <w:spacing w:line="360" w:after="400"/>
      </w:pPr>
      <w:r>
        <w:t xml:space="preserve">coherence-mcp platform development. Ongoing research into middleware architectures for managing consensus state, skill coordination, and governance token mechanics across sovereign edge deployments. This work involves developing new software systems for previously unsolved problems in decentralized AI governance.</w:t>
      </w:r>
    </w:p>
    <w:p>
      <w:pPr>
        <w:spacing w:line="360" w:after="200"/>
      </w:pPr>
      <w:r>
        <w:t xml:space="preserve">4. SUPPORTING R&amp;D ACTIVITIES</w:t>
      </w:r>
    </w:p>
    <w:p>
      <w:pPr>
        <w:pStyle w:val="ListParagraph"/>
        <w:numPr>
          <w:ilvl w:val="0"/>
          <w:numId w:val="1"/>
        </w:numPr>
        <w:spacing w:line="360" w:after="120"/>
      </w:pPr>
      <w:r>
        <w:t xml:space="preserve">Hardware benchmarking and configuration: Testing novel configurations of Coherence Forge clusters to optimize for topological verification workloads</w:t>
      </w:r>
    </w:p>
    <w:p>
      <w:pPr>
        <w:pStyle w:val="ListParagraph"/>
        <w:numPr>
          <w:ilvl w:val="0"/>
          <w:numId w:val="1"/>
        </w:numPr>
        <w:spacing w:line="360" w:after="120"/>
      </w:pPr>
      <w:r>
        <w:t xml:space="preserve">Test suite development: Creation of 190+ automated tests validating correctness of core R&amp;D activities</w:t>
      </w:r>
    </w:p>
    <w:p>
      <w:pPr>
        <w:pStyle w:val="ListParagraph"/>
        <w:numPr>
          <w:ilvl w:val="0"/>
          <w:numId w:val="1"/>
        </w:numPr>
        <w:spacing w:line="360" w:after="120"/>
      </w:pPr>
      <w:r>
        <w:t xml:space="preserve">Documentation and open-source community building: Preparation of research outputs for academic publication and open-source release</w:t>
      </w:r>
    </w:p>
    <w:p>
      <w:pPr>
        <w:spacing w:line="360" w:after="200"/>
      </w:pPr>
    </w:p>
    <w:p>
      <w:pPr>
        <w:spacing w:line="360" w:after="200"/>
      </w:pPr>
      <w:r>
        <w:t xml:space="preserve">5. EXPENDITURE CATEGORIES</w:t>
      </w:r>
    </w:p>
    <w:p>
      <w:pPr>
        <w:spacing w:line="360" w:after="200"/>
      </w:pPr>
      <w:r>
        <w:t xml:space="preserve">The following expenditure categories are eligible under the R&amp;D Tax Incentive:</w:t>
      </w:r>
    </w:p>
    <w:p>
      <w:pPr>
        <w:pStyle w:val="ListParagraph"/>
        <w:numPr>
          <w:ilvl w:val="0"/>
          <w:numId w:val="1"/>
        </w:numPr>
        <w:spacing w:line="360" w:after="120"/>
      </w:pPr>
      <w:r>
        <w:t xml:space="preserve">Employee costs: Developer and researcher time allocated to R&amp;D activities</w:t>
      </w:r>
    </w:p>
    <w:p>
      <w:pPr>
        <w:pStyle w:val="ListParagraph"/>
        <w:numPr>
          <w:ilvl w:val="0"/>
          <w:numId w:val="1"/>
        </w:numPr>
        <w:spacing w:line="360" w:after="120"/>
      </w:pPr>
      <w:r>
        <w:t xml:space="preserve">Hardware depreciation: Coherence Forge cluster and associated computing equipment</w:t>
      </w:r>
    </w:p>
    <w:p>
      <w:pPr>
        <w:pStyle w:val="ListParagraph"/>
        <w:numPr>
          <w:ilvl w:val="0"/>
          <w:numId w:val="1"/>
        </w:numPr>
        <w:spacing w:line="360" w:after="120"/>
      </w:pPr>
      <w:r>
        <w:t xml:space="preserve">Cloud compute services: Burst capacity for testing distributed scenarios</w:t>
      </w:r>
    </w:p>
    <w:p>
      <w:pPr>
        <w:pStyle w:val="ListParagraph"/>
        <w:numPr>
          <w:ilvl w:val="0"/>
          <w:numId w:val="1"/>
        </w:numPr>
        <w:spacing w:line="360" w:after="120"/>
      </w:pPr>
      <w:r>
        <w:t xml:space="preserve">Software licenses: Development tools, simulation environments, and specialized mathematics libraries</w:t>
      </w:r>
    </w:p>
    <w:p>
      <w:pPr>
        <w:pStyle w:val="ListParagraph"/>
        <w:numPr>
          <w:ilvl w:val="0"/>
          <w:numId w:val="1"/>
        </w:numPr>
        <w:spacing w:line="360" w:after="120"/>
      </w:pPr>
      <w:r>
        <w:t xml:space="preserve">Travel: Trans-Tasman coordination and engagement with university partners</w:t>
      </w:r>
    </w:p>
    <w:p>
      <w:pPr>
        <w:spacing w:line="360" w:after="200"/>
      </w:pPr>
    </w:p>
    <w:p>
      <w:pPr>
        <w:spacing w:line="360" w:after="200"/>
      </w:pPr>
      <w:r>
        <w:t xml:space="preserve">6. RECORD-KEEPING REQUIREMENTS</w:t>
      </w:r>
    </w:p>
    <w:p>
      <w:pPr>
        <w:spacing w:line="360" w:after="200"/>
      </w:pPr>
      <w:r>
        <w:t xml:space="preserve">The following records will be maintained as contemporaneous evidence of R&amp;D activities:</w:t>
      </w:r>
    </w:p>
    <w:p>
      <w:pPr>
        <w:pStyle w:val="ListParagraph"/>
        <w:numPr>
          <w:ilvl w:val="0"/>
          <w:numId w:val="1"/>
        </w:numPr>
        <w:spacing w:line="360" w:after="120"/>
      </w:pPr>
      <w:r>
        <w:t xml:space="preserve">Git commit logs: Version control records documenting code changes, authors, timestamps, and commit messages describing R&amp;D work</w:t>
      </w:r>
    </w:p>
    <w:p>
      <w:pPr>
        <w:pStyle w:val="ListParagraph"/>
        <w:numPr>
          <w:ilvl w:val="0"/>
          <w:numId w:val="1"/>
        </w:numPr>
        <w:spacing w:line="360" w:after="120"/>
      </w:pPr>
      <w:r>
        <w:t xml:space="preserve">ATOM trail logging: Automated event logs from the coherence-mcp platform documenting system behavior and experimental outcomes</w:t>
      </w:r>
    </w:p>
    <w:p>
      <w:pPr>
        <w:pStyle w:val="ListParagraph"/>
        <w:numPr>
          <w:ilvl w:val="0"/>
          <w:numId w:val="1"/>
        </w:numPr>
        <w:spacing w:line="360" w:after="120"/>
      </w:pPr>
      <w:r>
        <w:t xml:space="preserve">Automated test results: Continuous integration outputs showing test execution, pass/fail results, and performance metrics</w:t>
      </w:r>
    </w:p>
    <w:p>
      <w:pPr>
        <w:pStyle w:val="ListParagraph"/>
        <w:numPr>
          <w:ilvl w:val="0"/>
          <w:numId w:val="1"/>
        </w:numPr>
        <w:spacing w:line="360" w:after="120"/>
      </w:pPr>
      <w:r>
        <w:t xml:space="preserve">Hardware telemetry data: Performance metrics and configuration logs from Coherence Forge deployments</w:t>
      </w:r>
    </w:p>
    <w:p>
      <w:pPr>
        <w:pStyle w:val="ListParagraph"/>
        <w:numPr>
          <w:ilvl w:val="0"/>
          <w:numId w:val="1"/>
        </w:numPr>
        <w:spacing w:line="360" w:after="120"/>
      </w:pPr>
      <w:r>
        <w:t xml:space="preserve">Project documentation: Technical specifications, design documents, and research notes</w:t>
      </w:r>
    </w:p>
    <w:p>
      <w:pPr>
        <w:spacing w:line="360" w:after="200"/>
      </w:pPr>
    </w:p>
    <w:p>
      <w:pPr>
        <w:spacing w:line="360" w:after="200"/>
      </w:pPr>
      <w:r>
        <w:t xml:space="preserve">7. ADVANCE/OVERSEAS FINDING NOTES</w:t>
      </w:r>
    </w:p>
    <w:p>
      <w:pPr>
        <w:spacing w:line="360" w:after="200"/>
      </w:pPr>
      <w:r>
        <w:t xml:space="preserve">If any R&amp;D activities are conducted in New Zealand (Trans-Tasman coordination), an Overseas Finding from AusIndustry may be required. The following applies:</w:t>
      </w:r>
    </w:p>
    <w:p>
      <w:pPr>
        <w:pStyle w:val="ListParagraph"/>
        <w:numPr>
          <w:ilvl w:val="0"/>
          <w:numId w:val="1"/>
        </w:numPr>
        <w:spacing w:line="360" w:after="120"/>
      </w:pPr>
      <w:r>
        <w:t xml:space="preserve">Pre-registration with AusIndustry is recommended before conducting R&amp;D with NZ partners</w:t>
      </w:r>
    </w:p>
    <w:p>
      <w:pPr>
        <w:pStyle w:val="ListParagraph"/>
        <w:numPr>
          <w:ilvl w:val="0"/>
          <w:numId w:val="1"/>
        </w:numPr>
        <w:spacing w:line="360" w:after="120"/>
      </w:pPr>
      <w:r>
        <w:t xml:space="preserve">Overseas-conducted R&amp;D must relate to supporting an Australian core competency</w:t>
      </w:r>
    </w:p>
    <w:p>
      <w:pPr>
        <w:pStyle w:val="ListParagraph"/>
        <w:numPr>
          <w:ilvl w:val="0"/>
          <w:numId w:val="1"/>
        </w:numPr>
        <w:spacing w:line="360" w:after="120"/>
      </w:pPr>
      <w:r>
        <w:t xml:space="preserve">Only the Australian-conducted portion of expenditure is eligible for the tax offset</w:t>
      </w:r>
    </w:p>
    <w:p>
      <w:pPr>
        <w:pStyle w:val="ListParagraph"/>
        <w:numPr>
          <w:ilvl w:val="0"/>
          <w:numId w:val="1"/>
        </w:numPr>
        <w:spacing w:line="360" w:after="120"/>
      </w:pPr>
      <w:r>
        <w:t xml:space="preserve">Overseas Findings are approved on a project-by-project basis</w:t>
      </w:r>
    </w:p>
    <w:p>
      <w:pPr>
        <w:spacing w:line="360" w:after="200"/>
      </w:pPr>
    </w:p>
    <w:p>
      <w:pPr>
        <w:spacing w:line="360" w:after="200"/>
      </w:pPr>
      <w:r>
        <w:t xml:space="preserve">8. TIMELINE</w:t>
      </w:r>
    </w:p>
    <w:p>
      <w:pPr>
        <w:pStyle w:val="ListParagraph"/>
        <w:numPr>
          <w:ilvl w:val="0"/>
          <w:numId w:val="1"/>
        </w:numPr>
        <w:spacing w:line="360" w:after="120"/>
      </w:pPr>
      <w:r>
        <w:t xml:space="preserve">Year 1: Register co-operative, obtain ABN, register R&amp;D activities with AusIndustry (within 10 months of income year end)</w:t>
      </w:r>
    </w:p>
    <w:p>
      <w:pPr>
        <w:pStyle w:val="ListParagraph"/>
        <w:numPr>
          <w:ilvl w:val="0"/>
          <w:numId w:val="1"/>
        </w:numPr>
        <w:spacing w:line="360" w:after="120"/>
      </w:pPr>
      <w:r>
        <w:t xml:space="preserve">Years 1-3: Conduct R&amp;D activities, maintain contemporaneous records</w:t>
      </w:r>
    </w:p>
    <w:p>
      <w:pPr>
        <w:pStyle w:val="ListParagraph"/>
        <w:numPr>
          <w:ilvl w:val="0"/>
          <w:numId w:val="1"/>
        </w:numPr>
        <w:spacing w:line="360" w:after="120"/>
      </w:pPr>
      <w:r>
        <w:t xml:space="preserve">Year 3 &amp; onwards: Lodge R&amp;D Tax Incentive Schedule with annual tax return claiming eligible expenditure</w:t>
      </w:r>
    </w:p>
    <w:p>
      <w:pPr>
        <w:spacing w:line="360" w:after="200"/>
      </w:pPr>
    </w:p>
    <w:p>
      <w:pPr>
        <w:spacing w:line="360" w:after="200"/>
      </w:pPr>
      <w:r>
        <w:t xml:space="preserve">9. R&amp;D EXPENDITURE TRACKING TABLE</w:t>
      </w:r>
    </w:p>
    <w:p>
      <w:pPr>
        <w:spacing w:line="360" w:after="200"/>
      </w:pPr>
      <w:r>
        <w:t xml:space="preserve">The following table template is used to track R&amp;D expenditure by quarter: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000"/>
            <w:shd w:fill="D3D3D3" w:val="clear"/>
            <w:vAlign w:val="center"/>
          </w:tcPr>
          <w:p>
            <w:r>
              <w:t xml:space="preserve">R&amp;D Activity</w:t>
            </w:r>
          </w:p>
        </w:tc>
        <w:tc>
          <w:tcPr>
            <w:tcW w:type="dxa" w:w="1600"/>
            <w:shd w:fill="D3D3D3" w:val="clear"/>
            <w:vAlign w:val="center"/>
          </w:tcPr>
          <w:p>
            <w:r>
              <w:t xml:space="preserve">Q1 ($)</w:t>
            </w:r>
          </w:p>
        </w:tc>
        <w:tc>
          <w:tcPr>
            <w:tcW w:type="dxa" w:w="1600"/>
            <w:shd w:fill="D3D3D3" w:val="clear"/>
            <w:vAlign w:val="center"/>
          </w:tcPr>
          <w:p>
            <w:r>
              <w:t xml:space="preserve">Q2 ($)</w:t>
            </w:r>
          </w:p>
        </w:tc>
        <w:tc>
          <w:tcPr>
            <w:tcW w:type="dxa" w:w="1600"/>
            <w:shd w:fill="D3D3D3" w:val="clear"/>
            <w:vAlign w:val="center"/>
          </w:tcPr>
          <w:p>
            <w:r>
              <w:t xml:space="preserve">Q3 ($)</w:t>
            </w:r>
          </w:p>
        </w:tc>
        <w:tc>
          <w:tcPr>
            <w:tcW w:type="dxa" w:w="1600"/>
            <w:shd w:fill="D3D3D3" w:val="clear"/>
            <w:vAlign w:val="center"/>
          </w:tcPr>
          <w:p>
            <w:r>
              <w:t xml:space="preserve">Q4 ($)</w:t>
            </w:r>
          </w:p>
        </w:tc>
        <w:tc>
          <w:tcPr>
            <w:tcW w:type="dxa" w:w="1600"/>
            <w:shd w:fill="D3D3D3" w:val="clear"/>
            <w:vAlign w:val="center"/>
          </w:tcPr>
          <w:p>
            <w:r>
              <w:t xml:space="preserve">Annual Total ($)</w:t>
            </w:r>
          </w:p>
        </w:tc>
      </w:tr>
      <w:tr>
        <w:tc>
          <w:tcPr>
            <w:tcW w:type="dxa" w:w="2000"/>
            <w:shd w:val="clear"/>
          </w:tcPr>
          <w:p>
            <w:r>
              <w:t xml:space="preserve">3a: Consensus Protocol Dev</w:t>
            </w:r>
          </w:p>
        </w:tc>
        <w:tc>
          <w:tcPr>
            <w:tcW w:type="dxa" w:w="1600"/>
            <w:shd w:val="clear"/>
          </w:tcPr>
          <w:p>
            <w:r>
              <w:t xml:space="preserve">15000</w:t>
            </w:r>
          </w:p>
        </w:tc>
        <w:tc>
          <w:tcPr>
            <w:tcW w:type="dxa" w:w="1600"/>
            <w:shd w:val="clear"/>
          </w:tcPr>
          <w:p>
            <w:r>
              <w:t xml:space="preserve">18000</w:t>
            </w:r>
          </w:p>
        </w:tc>
        <w:tc>
          <w:tcPr>
            <w:tcW w:type="dxa" w:w="1600"/>
            <w:shd w:val="clear"/>
          </w:tcPr>
          <w:p>
            <w:r>
              <w:t xml:space="preserve">16000</w:t>
            </w:r>
          </w:p>
        </w:tc>
        <w:tc>
          <w:tcPr>
            <w:tcW w:type="dxa" w:w="1600"/>
            <w:shd w:val="clear"/>
          </w:tcPr>
          <w:p>
            <w:r>
              <w:t xml:space="preserve">20000</w:t>
            </w:r>
          </w:p>
        </w:tc>
        <w:tc>
          <w:tcPr>
            <w:tcW w:type="dxa" w:w="1600"/>
            <w:shd w:val="clear"/>
          </w:tcPr>
          <w:p>
            <w:r>
              <w:t xml:space="preserve">69000</w:t>
            </w:r>
          </w:p>
        </w:tc>
      </w:tr>
      <w:tr>
        <w:tc>
          <w:tcPr>
            <w:tcW w:type="dxa" w:w="2000"/>
            <w:shd w:val="clear"/>
          </w:tcPr>
          <w:p>
            <w:r>
              <w:t xml:space="preserve">3b: Topological Verification</w:t>
            </w:r>
          </w:p>
        </w:tc>
        <w:tc>
          <w:tcPr>
            <w:tcW w:type="dxa" w:w="1600"/>
            <w:shd w:val="clear"/>
          </w:tcPr>
          <w:p>
            <w:r>
              <w:t xml:space="preserve">12000</w:t>
            </w:r>
          </w:p>
        </w:tc>
        <w:tc>
          <w:tcPr>
            <w:tcW w:type="dxa" w:w="1600"/>
            <w:shd w:val="clear"/>
          </w:tcPr>
          <w:p>
            <w:r>
              <w:t xml:space="preserve">15000</w:t>
            </w:r>
          </w:p>
        </w:tc>
        <w:tc>
          <w:tcPr>
            <w:tcW w:type="dxa" w:w="1600"/>
            <w:shd w:val="clear"/>
          </w:tcPr>
          <w:p>
            <w:r>
              <w:t xml:space="preserve">18000</w:t>
            </w:r>
          </w:p>
        </w:tc>
        <w:tc>
          <w:tcPr>
            <w:tcW w:type="dxa" w:w="1600"/>
            <w:shd w:val="clear"/>
          </w:tcPr>
          <w:p>
            <w:r>
              <w:t xml:space="preserve">16000</w:t>
            </w:r>
          </w:p>
        </w:tc>
        <w:tc>
          <w:tcPr>
            <w:tcW w:type="dxa" w:w="1600"/>
            <w:shd w:val="clear"/>
          </w:tcPr>
          <w:p>
            <w:r>
              <w:t xml:space="preserve">61000</w:t>
            </w:r>
          </w:p>
        </w:tc>
      </w:tr>
      <w:tr>
        <w:tc>
          <w:tcPr>
            <w:tcW w:type="dxa" w:w="2000"/>
            <w:shd w:val="clear"/>
          </w:tcPr>
          <w:p>
            <w:r>
              <w:t xml:space="preserve">3c: Edge Optimization</w:t>
            </w:r>
          </w:p>
        </w:tc>
        <w:tc>
          <w:tcPr>
            <w:tcW w:type="dxa" w:w="1600"/>
            <w:shd w:val="clear"/>
          </w:tcPr>
          <w:p>
            <w:r>
              <w:t xml:space="preserve">8000</w:t>
            </w:r>
          </w:p>
        </w:tc>
        <w:tc>
          <w:tcPr>
            <w:tcW w:type="dxa" w:w="1600"/>
            <w:shd w:val="clear"/>
          </w:tcPr>
          <w:p>
            <w:r>
              <w:t xml:space="preserve">10000</w:t>
            </w:r>
          </w:p>
        </w:tc>
        <w:tc>
          <w:tcPr>
            <w:tcW w:type="dxa" w:w="1600"/>
            <w:shd w:val="clear"/>
          </w:tcPr>
          <w:p>
            <w:r>
              <w:t xml:space="preserve">12000</w:t>
            </w:r>
          </w:p>
        </w:tc>
        <w:tc>
          <w:tcPr>
            <w:tcW w:type="dxa" w:w="1600"/>
            <w:shd w:val="clear"/>
          </w:tcPr>
          <w:p>
            <w:r>
              <w:t xml:space="preserve">11000</w:t>
            </w:r>
          </w:p>
        </w:tc>
        <w:tc>
          <w:tcPr>
            <w:tcW w:type="dxa" w:w="1600"/>
            <w:shd w:val="clear"/>
          </w:tcPr>
          <w:p>
            <w:r>
              <w:t xml:space="preserve">41000</w:t>
            </w:r>
          </w:p>
        </w:tc>
      </w:tr>
      <w:tr>
        <w:tc>
          <w:tcPr>
            <w:tcW w:type="dxa" w:w="2000"/>
            <w:shd w:val="clear"/>
          </w:tcPr>
          <w:p>
            <w:r>
              <w:t xml:space="preserve">3d: Governance Middleware</w:t>
            </w:r>
          </w:p>
        </w:tc>
        <w:tc>
          <w:tcPr>
            <w:tcW w:type="dxa" w:w="1600"/>
            <w:shd w:val="clear"/>
          </w:tcPr>
          <w:p>
            <w:r>
              <w:t xml:space="preserve">10000</w:t>
            </w:r>
          </w:p>
        </w:tc>
        <w:tc>
          <w:tcPr>
            <w:tcW w:type="dxa" w:w="1600"/>
            <w:shd w:val="clear"/>
          </w:tcPr>
          <w:p>
            <w:r>
              <w:t xml:space="preserve">12000</w:t>
            </w:r>
          </w:p>
        </w:tc>
        <w:tc>
          <w:tcPr>
            <w:tcW w:type="dxa" w:w="1600"/>
            <w:shd w:val="clear"/>
          </w:tcPr>
          <w:p>
            <w:r>
              <w:t xml:space="preserve">14000</w:t>
            </w:r>
          </w:p>
        </w:tc>
        <w:tc>
          <w:tcPr>
            <w:tcW w:type="dxa" w:w="1600"/>
            <w:shd w:val="clear"/>
          </w:tcPr>
          <w:p>
            <w:r>
              <w:t xml:space="preserve">13000</w:t>
            </w:r>
          </w:p>
        </w:tc>
        <w:tc>
          <w:tcPr>
            <w:tcW w:type="dxa" w:w="1600"/>
            <w:shd w:val="clear"/>
          </w:tcPr>
          <w:p>
            <w:r>
              <w:t xml:space="preserve">49000</w:t>
            </w:r>
          </w:p>
        </w:tc>
      </w:tr>
      <w:tr>
        <w:tc>
          <w:tcPr>
            <w:tcW w:type="dxa" w:w="2000"/>
            <w:shd w:val="clear"/>
          </w:tcPr>
          <w:p>
            <w:r>
              <w:t xml:space="preserve">Supporting Activities</w:t>
            </w:r>
          </w:p>
        </w:tc>
        <w:tc>
          <w:tcPr>
            <w:tcW w:type="dxa" w:w="1600"/>
            <w:shd w:val="clear"/>
          </w:tcPr>
          <w:p>
            <w:r>
              <w:t xml:space="preserve">5000</w:t>
            </w:r>
          </w:p>
        </w:tc>
        <w:tc>
          <w:tcPr>
            <w:tcW w:type="dxa" w:w="1600"/>
            <w:shd w:val="clear"/>
          </w:tcPr>
          <w:p>
            <w:r>
              <w:t xml:space="preserve">5000</w:t>
            </w:r>
          </w:p>
        </w:tc>
        <w:tc>
          <w:tcPr>
            <w:tcW w:type="dxa" w:w="1600"/>
            <w:shd w:val="clear"/>
          </w:tcPr>
          <w:p>
            <w:r>
              <w:t xml:space="preserve">5000</w:t>
            </w:r>
          </w:p>
        </w:tc>
        <w:tc>
          <w:tcPr>
            <w:tcW w:type="dxa" w:w="1600"/>
            <w:shd w:val="clear"/>
          </w:tcPr>
          <w:p>
            <w:r>
              <w:t xml:space="preserve">5000</w:t>
            </w:r>
          </w:p>
        </w:tc>
        <w:tc>
          <w:tcPr>
            <w:tcW w:type="dxa" w:w="1600"/>
            <w:shd w:val="clear"/>
          </w:tcPr>
          <w:p>
            <w:r>
              <w:t xml:space="preserve">20000</w:t>
            </w:r>
          </w:p>
        </w:tc>
      </w:tr>
      <w:tr>
        <w:tc>
          <w:tcPr>
            <w:tcW w:type="dxa" w:w="2000"/>
            <w:shd w:val="clear"/>
          </w:tcPr>
          <w:p>
            <w:r>
              <w:t xml:space="preserve">QUARTERLY TOTALS</w:t>
            </w:r>
          </w:p>
        </w:tc>
        <w:tc>
          <w:tcPr>
            <w:tcW w:type="dxa" w:w="1600"/>
            <w:shd w:val="clear"/>
          </w:tcPr>
          <w:p>
            <w:r>
              <w:t xml:space="preserve">50000</w:t>
            </w:r>
          </w:p>
        </w:tc>
        <w:tc>
          <w:tcPr>
            <w:tcW w:type="dxa" w:w="1600"/>
            <w:shd w:val="clear"/>
          </w:tcPr>
          <w:p>
            <w:r>
              <w:t xml:space="preserve">60000</w:t>
            </w:r>
          </w:p>
        </w:tc>
        <w:tc>
          <w:tcPr>
            <w:tcW w:type="dxa" w:w="1600"/>
            <w:shd w:val="clear"/>
          </w:tcPr>
          <w:p>
            <w:r>
              <w:t xml:space="preserve">65000</w:t>
            </w:r>
          </w:p>
        </w:tc>
        <w:tc>
          <w:tcPr>
            <w:tcW w:type="dxa" w:w="1600"/>
            <w:shd w:val="clear"/>
          </w:tcPr>
          <w:p>
            <w:r>
              <w:t xml:space="preserve">65000</w:t>
            </w:r>
          </w:p>
        </w:tc>
        <w:tc>
          <w:tcPr>
            <w:tcW w:type="dxa" w:w="1600"/>
            <w:shd w:val="clear"/>
          </w:tcPr>
          <w:p>
            <w:r>
              <w:t xml:space="preserve">240000</w:t>
            </w:r>
          </w:p>
        </w:tc>
      </w:tr>
    </w:tbl>
    <w:p>
      <w:pPr>
        <w:spacing w:line="360" w:after="200"/>
      </w:pPr>
      <w:r>
        <w:t xml:space="preserve">Note: Expenditure tracking should be updated quarterly and reconciled with accounting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2026-02-16T18:16:22.838Z</dcterms:created>
  <dcterms:modified xsi:type="dcterms:W3CDTF">2026-02-16T18:16:22.838Z</dcterms:modified>
</cp:coreProperties>
</file>

<file path=docProps/custom.xml><?xml version="1.0" encoding="utf-8"?>
<Properties xmlns="http://schemas.openxmlformats.org/officeDocument/2006/custom-properties" xmlns:vt="http://schemas.openxmlformats.org/officeDocument/2006/docPropsVTypes"/>
</file>