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lineRule="auto" w:after="0"/>
        <w:jc w:val="center"/>
      </w:pPr>
      <w:r>
        <w:t xml:space="preserve">THE NEK ANZAC CO-OPERATIVE</w:t>
      </w:r>
    </w:p>
    <w:p>
      <w:pPr>
        <w:pStyle w:val="Heading2"/>
        <w:spacing w:line="240" w:lineRule="auto" w:after="120"/>
        <w:jc w:val="center"/>
      </w:pPr>
      <w:r>
        <w:t xml:space="preserve">Synthesis Layer Integration Map</w:t>
      </w:r>
    </w:p>
    <w:p>
      <w:pPr>
        <w:spacing w:after="240"/>
        <w:jc w:val="center"/>
      </w:pPr>
      <w:r>
        <w:t xml:space="preserve">How the Institutional Documents Connect to the Technical Architecture</w:t>
      </w:r>
    </w:p>
    <w:p>
      <w:pPr>
        <w:spacing w:after="240" w:line="240" w:lineRule="auto"/>
      </w:pPr>
      <w:r>
        <w:t xml:space="preserve">This is the meta-document — the walkthrough that knows it's a walkthrough. It maps every artifact in the doctrine to its purpose, audience, and activation sequence.</w:t>
      </w:r>
    </w:p>
    <w:p>
      <w:pPr>
        <w:pStyle w:val="Heading1"/>
        <w:spacing w:before="240" w:after="120" w:line="240" w:lineRule="auto"/>
      </w:pPr>
      <w:r>
        <w:t xml:space="preserve">1. DOCUMENT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240" w:hRule="atLeast"/>
        </w:trPr>
        <w:tc>
          <w:tcPr>
            <w:shd w:color="D3D3D3" w:val="clear"/>
            <w:tcMar>
              <w:top w:type="dxa" w:w="60"/>
              <w:left w:type="dxa" w:w="60"/>
              <w:bottom w:type="dxa" w:w="60"/>
              <w:right w:type="dxa" w:w="60"/>
            </w:tcMar>
          </w:tcPr>
          <w:p>
            <w:r>
              <w:t xml:space="preserve">Document</w:t>
            </w:r>
          </w:p>
        </w:tc>
        <w:tc>
          <w:tcPr>
            <w:shd w:color="D3D3D3" w:val="clear"/>
            <w:tcMar>
              <w:top w:type="dxa" w:w="60"/>
              <w:left w:type="dxa" w:w="60"/>
              <w:bottom w:type="dxa" w:w="60"/>
              <w:right w:type="dxa" w:w="60"/>
            </w:tcMar>
          </w:tcPr>
          <w:p>
            <w:r>
              <w:t xml:space="preserve">Type</w:t>
            </w:r>
          </w:p>
        </w:tc>
        <w:tc>
          <w:tcPr>
            <w:shd w:color="D3D3D3" w:val="clear"/>
            <w:tcMar>
              <w:top w:type="dxa" w:w="60"/>
              <w:left w:type="dxa" w:w="60"/>
              <w:bottom w:type="dxa" w:w="60"/>
              <w:right w:type="dxa" w:w="60"/>
            </w:tcMar>
          </w:tcPr>
          <w:p>
            <w:r>
              <w:t xml:space="preserve">Audience</w:t>
            </w:r>
          </w:p>
        </w:tc>
        <w:tc>
          <w:tcPr>
            <w:shd w:color="D3D3D3" w:val="clear"/>
            <w:tcMar>
              <w:top w:type="dxa" w:w="60"/>
              <w:left w:type="dxa" w:w="60"/>
              <w:bottom w:type="dxa" w:w="60"/>
              <w:right w:type="dxa" w:w="60"/>
            </w:tcMar>
          </w:tcPr>
          <w:p>
            <w:r>
              <w:t xml:space="preserve">Status</w:t>
            </w:r>
          </w:p>
        </w:tc>
      </w:tr>
      <w:tr>
        <w:trPr>
          <w:trHeight w:val="240" w:hRule="atLeast"/>
        </w:trPr>
        <w:tc>
          <w:tcPr>
            <w:shd w:color="FFFFFF" w:val="clear"/>
            <w:tcMar>
              <w:top w:type="dxa" w:w="60"/>
              <w:left w:type="dxa" w:w="60"/>
              <w:bottom w:type="dxa" w:w="60"/>
              <w:right w:type="dxa" w:w="60"/>
            </w:tcMar>
          </w:tcPr>
          <w:p>
            <w:r>
              <w:t xml:space="preserve">Founding Constitution (Rules)</w:t>
            </w:r>
          </w:p>
        </w:tc>
        <w:tc>
          <w:tcPr>
            <w:shd w:color="FFFFFF" w:val="clear"/>
            <w:tcMar>
              <w:top w:type="dxa" w:w="60"/>
              <w:left w:type="dxa" w:w="60"/>
              <w:bottom w:type="dxa" w:w="60"/>
              <w:right w:type="dxa" w:w="60"/>
            </w:tcMar>
          </w:tcPr>
          <w:p>
            <w:r>
              <w:t xml:space="preserve">Legal</w:t>
            </w:r>
          </w:p>
        </w:tc>
        <w:tc>
          <w:tcPr>
            <w:shd w:color="FFFFFF" w:val="clear"/>
            <w:tcMar>
              <w:top w:type="dxa" w:w="60"/>
              <w:left w:type="dxa" w:w="60"/>
              <w:bottom w:type="dxa" w:w="60"/>
              <w:right w:type="dxa" w:w="60"/>
            </w:tcMar>
          </w:tcPr>
          <w:p>
            <w:r>
              <w:t xml:space="preserve">NSW Fair Trading, Members</w:t>
            </w:r>
          </w:p>
        </w:tc>
        <w:tc>
          <w:tcPr>
            <w:shd w:color="FFFFFF" w:val="clear"/>
            <w:tcMar>
              <w:top w:type="dxa" w:w="60"/>
              <w:left w:type="dxa" w:w="60"/>
              <w:bottom w:type="dxa" w:w="60"/>
              <w:right w:type="dxa" w:w="60"/>
            </w:tcMar>
          </w:tcPr>
          <w:p>
            <w:r>
              <w:t xml:space="preserve">DRAFTED</w:t>
            </w:r>
          </w:p>
        </w:tc>
      </w:tr>
      <w:tr>
        <w:trPr>
          <w:trHeight w:val="240" w:hRule="atLeast"/>
        </w:trPr>
        <w:tc>
          <w:tcPr>
            <w:shd w:color="FFFFFF" w:val="clear"/>
            <w:tcMar>
              <w:top w:type="dxa" w:w="60"/>
              <w:left w:type="dxa" w:w="60"/>
              <w:bottom w:type="dxa" w:w="60"/>
              <w:right w:type="dxa" w:w="60"/>
            </w:tcMar>
          </w:tcPr>
          <w:p>
            <w:r>
              <w:t xml:space="preserve">ANZAC Cooperative Trans-Tasman Sovereignty</w:t>
            </w:r>
          </w:p>
        </w:tc>
        <w:tc>
          <w:tcPr>
            <w:shd w:color="FFFFFF" w:val="clear"/>
            <w:tcMar>
              <w:top w:type="dxa" w:w="60"/>
              <w:left w:type="dxa" w:w="60"/>
              <w:bottom w:type="dxa" w:w="60"/>
              <w:right w:type="dxa" w:w="60"/>
            </w:tcMar>
          </w:tcPr>
          <w:p>
            <w:r>
              <w:t xml:space="preserve">Strategic</w:t>
            </w:r>
          </w:p>
        </w:tc>
        <w:tc>
          <w:tcPr>
            <w:shd w:color="FFFFFF" w:val="clear"/>
            <w:tcMar>
              <w:top w:type="dxa" w:w="60"/>
              <w:left w:type="dxa" w:w="60"/>
              <w:bottom w:type="dxa" w:w="60"/>
              <w:right w:type="dxa" w:w="60"/>
            </w:tcMar>
          </w:tcPr>
          <w:p>
            <w:r>
              <w:t xml:space="preserve">Board, Partners</w:t>
            </w:r>
          </w:p>
        </w:tc>
        <w:tc>
          <w:tcPr>
            <w:shd w:color="FFFFFF" w:val="clear"/>
            <w:tcMar>
              <w:top w:type="dxa" w:w="60"/>
              <w:left w:type="dxa" w:w="60"/>
              <w:bottom w:type="dxa" w:w="60"/>
              <w:right w:type="dxa" w:w="60"/>
            </w:tcMar>
          </w:tcPr>
          <w:p>
            <w:r>
              <w:t xml:space="preserve">COMPLETE (Google Drive)</w:t>
            </w:r>
          </w:p>
        </w:tc>
      </w:tr>
      <w:tr>
        <w:trPr>
          <w:trHeight w:val="240" w:hRule="atLeast"/>
        </w:trPr>
        <w:tc>
          <w:tcPr>
            <w:shd w:color="FFFFFF" w:val="clear"/>
            <w:tcMar>
              <w:top w:type="dxa" w:w="60"/>
              <w:left w:type="dxa" w:w="60"/>
              <w:bottom w:type="dxa" w:w="60"/>
              <w:right w:type="dxa" w:w="60"/>
            </w:tcMar>
          </w:tcPr>
          <w:p>
            <w:r>
              <w:t xml:space="preserve">The Accidental Sovereign</w:t>
            </w:r>
          </w:p>
        </w:tc>
        <w:tc>
          <w:tcPr>
            <w:shd w:color="FFFFFF" w:val="clear"/>
            <w:tcMar>
              <w:top w:type="dxa" w:w="60"/>
              <w:left w:type="dxa" w:w="60"/>
              <w:bottom w:type="dxa" w:w="60"/>
              <w:right w:type="dxa" w:w="60"/>
            </w:tcMar>
          </w:tcPr>
          <w:p>
            <w:r>
              <w:t xml:space="preserve">Philosophical</w:t>
            </w:r>
          </w:p>
        </w:tc>
        <w:tc>
          <w:tcPr>
            <w:shd w:color="FFFFFF" w:val="clear"/>
            <w:tcMar>
              <w:top w:type="dxa" w:w="60"/>
              <w:left w:type="dxa" w:w="60"/>
              <w:bottom w:type="dxa" w:w="60"/>
              <w:right w:type="dxa" w:w="60"/>
            </w:tcMar>
          </w:tcPr>
          <w:p>
            <w:r>
              <w:t xml:space="preserve">Public, Investors</w:t>
            </w:r>
          </w:p>
        </w:tc>
        <w:tc>
          <w:tcPr>
            <w:shd w:color="FFFFFF" w:val="clear"/>
            <w:tcMar>
              <w:top w:type="dxa" w:w="60"/>
              <w:left w:type="dxa" w:w="60"/>
              <w:bottom w:type="dxa" w:w="60"/>
              <w:right w:type="dxa" w:w="60"/>
            </w:tcMar>
          </w:tcPr>
          <w:p>
            <w:r>
              <w:t xml:space="preserve">COMPLETE (Google Drive)</w:t>
            </w:r>
          </w:p>
        </w:tc>
      </w:tr>
      <w:tr>
        <w:trPr>
          <w:trHeight w:val="240" w:hRule="atLeast"/>
        </w:trPr>
        <w:tc>
          <w:tcPr>
            <w:shd w:color="FFFFFF" w:val="clear"/>
            <w:tcMar>
              <w:top w:type="dxa" w:w="60"/>
              <w:left w:type="dxa" w:w="60"/>
              <w:bottom w:type="dxa" w:w="60"/>
              <w:right w:type="dxa" w:w="60"/>
            </w:tcMar>
          </w:tcPr>
          <w:p>
            <w:r>
              <w:t xml:space="preserve">The Geometry of Dignity</w:t>
            </w:r>
          </w:p>
        </w:tc>
        <w:tc>
          <w:tcPr>
            <w:shd w:color="FFFFFF" w:val="clear"/>
            <w:tcMar>
              <w:top w:type="dxa" w:w="60"/>
              <w:left w:type="dxa" w:w="60"/>
              <w:bottom w:type="dxa" w:w="60"/>
              <w:right w:type="dxa" w:w="60"/>
            </w:tcMar>
          </w:tcPr>
          <w:p>
            <w:r>
              <w:t xml:space="preserve">Conceptual</w:t>
            </w:r>
          </w:p>
        </w:tc>
        <w:tc>
          <w:tcPr>
            <w:shd w:color="FFFFFF" w:val="clear"/>
            <w:tcMar>
              <w:top w:type="dxa" w:w="60"/>
              <w:left w:type="dxa" w:w="60"/>
              <w:bottom w:type="dxa" w:w="60"/>
              <w:right w:type="dxa" w:w="60"/>
            </w:tcMar>
          </w:tcPr>
          <w:p>
            <w:r>
              <w:t xml:space="preserve">Academic, CSIRO</w:t>
            </w:r>
          </w:p>
        </w:tc>
        <w:tc>
          <w:tcPr>
            <w:shd w:color="FFFFFF" w:val="clear"/>
            <w:tcMar>
              <w:top w:type="dxa" w:w="60"/>
              <w:left w:type="dxa" w:w="60"/>
              <w:bottom w:type="dxa" w:w="60"/>
              <w:right w:type="dxa" w:w="60"/>
            </w:tcMar>
          </w:tcPr>
          <w:p>
            <w:r>
              <w:t xml:space="preserve">COMPLETE (Google Drive)</w:t>
            </w:r>
          </w:p>
        </w:tc>
      </w:tr>
      <w:tr>
        <w:trPr>
          <w:trHeight w:val="240" w:hRule="atLeast"/>
        </w:trPr>
        <w:tc>
          <w:tcPr>
            <w:shd w:color="FFFFFF" w:val="clear"/>
            <w:tcMar>
              <w:top w:type="dxa" w:w="60"/>
              <w:left w:type="dxa" w:w="60"/>
              <w:bottom w:type="dxa" w:w="60"/>
              <w:right w:type="dxa" w:w="60"/>
            </w:tcMar>
          </w:tcPr>
          <w:p>
            <w:r>
              <w:t xml:space="preserve">Unitary Institutional Prospectus</w:t>
            </w:r>
          </w:p>
        </w:tc>
        <w:tc>
          <w:tcPr>
            <w:shd w:color="FFFFFF" w:val="clear"/>
            <w:tcMar>
              <w:top w:type="dxa" w:w="60"/>
              <w:left w:type="dxa" w:w="60"/>
              <w:bottom w:type="dxa" w:w="60"/>
              <w:right w:type="dxa" w:w="60"/>
            </w:tcMar>
          </w:tcPr>
          <w:p>
            <w:r>
              <w:t xml:space="preserve">Technical</w:t>
            </w:r>
          </w:p>
        </w:tc>
        <w:tc>
          <w:tcPr>
            <w:shd w:color="FFFFFF" w:val="clear"/>
            <w:tcMar>
              <w:top w:type="dxa" w:w="60"/>
              <w:left w:type="dxa" w:w="60"/>
              <w:bottom w:type="dxa" w:w="60"/>
              <w:right w:type="dxa" w:w="60"/>
            </w:tcMar>
          </w:tcPr>
          <w:p>
            <w:r>
              <w:t xml:space="preserve">Engineers, Researchers</w:t>
            </w:r>
          </w:p>
        </w:tc>
        <w:tc>
          <w:tcPr>
            <w:shd w:color="FFFFFF" w:val="clear"/>
            <w:tcMar>
              <w:top w:type="dxa" w:w="60"/>
              <w:left w:type="dxa" w:w="60"/>
              <w:bottom w:type="dxa" w:w="60"/>
              <w:right w:type="dxa" w:w="60"/>
            </w:tcMar>
          </w:tcPr>
          <w:p>
            <w:r>
              <w:t xml:space="preserve">COMPLETE (Google Drive)</w:t>
            </w:r>
          </w:p>
        </w:tc>
      </w:tr>
      <w:tr>
        <w:trPr>
          <w:trHeight w:val="240" w:hRule="atLeast"/>
        </w:trPr>
        <w:tc>
          <w:tcPr>
            <w:shd w:color="FFFFFF" w:val="clear"/>
            <w:tcMar>
              <w:top w:type="dxa" w:w="60"/>
              <w:left w:type="dxa" w:w="60"/>
              <w:bottom w:type="dxa" w:w="60"/>
              <w:right w:type="dxa" w:w="60"/>
            </w:tcMar>
          </w:tcPr>
          <w:p>
            <w:r>
              <w:t xml:space="preserve">IGP Expression of Interest</w:t>
            </w:r>
          </w:p>
        </w:tc>
        <w:tc>
          <w:tcPr>
            <w:shd w:color="FFFFFF" w:val="clear"/>
            <w:tcMar>
              <w:top w:type="dxa" w:w="60"/>
              <w:left w:type="dxa" w:w="60"/>
              <w:bottom w:type="dxa" w:w="60"/>
              <w:right w:type="dxa" w:w="60"/>
            </w:tcMar>
          </w:tcPr>
          <w:p>
            <w:r>
              <w:t xml:space="preserve">Grant</w:t>
            </w:r>
          </w:p>
        </w:tc>
        <w:tc>
          <w:tcPr>
            <w:shd w:color="FFFFFF" w:val="clear"/>
            <w:tcMar>
              <w:top w:type="dxa" w:w="60"/>
              <w:left w:type="dxa" w:w="60"/>
              <w:bottom w:type="dxa" w:w="60"/>
              <w:right w:type="dxa" w:w="60"/>
            </w:tcMar>
          </w:tcPr>
          <w:p>
            <w:r>
              <w:t xml:space="preserve">Industry Growth Program</w:t>
            </w:r>
          </w:p>
        </w:tc>
        <w:tc>
          <w:tcPr>
            <w:shd w:color="FFFFFF" w:val="clear"/>
            <w:tcMar>
              <w:top w:type="dxa" w:w="60"/>
              <w:left w:type="dxa" w:w="60"/>
              <w:bottom w:type="dxa" w:w="60"/>
              <w:right w:type="dxa" w:w="60"/>
            </w:tcMar>
          </w:tcPr>
          <w:p>
            <w:r>
              <w:t xml:space="preserve">READY TO SUBMIT</w:t>
            </w:r>
          </w:p>
        </w:tc>
      </w:tr>
      <w:tr>
        <w:trPr>
          <w:trHeight w:val="240" w:hRule="atLeast"/>
        </w:trPr>
        <w:tc>
          <w:tcPr>
            <w:shd w:color="FFFFFF" w:val="clear"/>
            <w:tcMar>
              <w:top w:type="dxa" w:w="60"/>
              <w:left w:type="dxa" w:w="60"/>
              <w:bottom w:type="dxa" w:w="60"/>
              <w:right w:type="dxa" w:w="60"/>
            </w:tcMar>
          </w:tcPr>
          <w:p>
            <w:r>
              <w:t xml:space="preserve">CSIRO RAI Partnership Letter</w:t>
            </w:r>
          </w:p>
        </w:tc>
        <w:tc>
          <w:tcPr>
            <w:shd w:color="FFFFFF" w:val="clear"/>
            <w:tcMar>
              <w:top w:type="dxa" w:w="60"/>
              <w:left w:type="dxa" w:w="60"/>
              <w:bottom w:type="dxa" w:w="60"/>
              <w:right w:type="dxa" w:w="60"/>
            </w:tcMar>
          </w:tcPr>
          <w:p>
            <w:r>
              <w:t xml:space="preserve">Outreach</w:t>
            </w:r>
          </w:p>
        </w:tc>
        <w:tc>
          <w:tcPr>
            <w:shd w:color="FFFFFF" w:val="clear"/>
            <w:tcMar>
              <w:top w:type="dxa" w:w="60"/>
              <w:left w:type="dxa" w:w="60"/>
              <w:bottom w:type="dxa" w:w="60"/>
              <w:right w:type="dxa" w:w="60"/>
            </w:tcMar>
          </w:tcPr>
          <w:p>
            <w:r>
              <w:t xml:space="preserve">CSIRO Data61</w:t>
            </w:r>
          </w:p>
        </w:tc>
        <w:tc>
          <w:tcPr>
            <w:shd w:color="FFFFFF" w:val="clear"/>
            <w:tcMar>
              <w:top w:type="dxa" w:w="60"/>
              <w:left w:type="dxa" w:w="60"/>
              <w:bottom w:type="dxa" w:w="60"/>
              <w:right w:type="dxa" w:w="60"/>
            </w:tcMar>
          </w:tcPr>
          <w:p>
            <w:r>
              <w:t xml:space="preserve">READY TO SEND</w:t>
            </w:r>
          </w:p>
        </w:tc>
      </w:tr>
      <w:tr>
        <w:trPr>
          <w:trHeight w:val="240" w:hRule="atLeast"/>
        </w:trPr>
        <w:tc>
          <w:tcPr>
            <w:shd w:color="FFFFFF" w:val="clear"/>
            <w:tcMar>
              <w:top w:type="dxa" w:w="60"/>
              <w:left w:type="dxa" w:w="60"/>
              <w:bottom w:type="dxa" w:w="60"/>
              <w:right w:type="dxa" w:w="60"/>
            </w:tcMar>
          </w:tcPr>
          <w:p>
            <w:r>
              <w:t xml:space="preserve">ARC Linkage Projects EOI</w:t>
            </w:r>
          </w:p>
        </w:tc>
        <w:tc>
          <w:tcPr>
            <w:shd w:color="FFFFFF" w:val="clear"/>
            <w:tcMar>
              <w:top w:type="dxa" w:w="60"/>
              <w:left w:type="dxa" w:w="60"/>
              <w:bottom w:type="dxa" w:w="60"/>
              <w:right w:type="dxa" w:w="60"/>
            </w:tcMar>
          </w:tcPr>
          <w:p>
            <w:r>
              <w:t xml:space="preserve">Grant</w:t>
            </w:r>
          </w:p>
        </w:tc>
        <w:tc>
          <w:tcPr>
            <w:shd w:color="FFFFFF" w:val="clear"/>
            <w:tcMar>
              <w:top w:type="dxa" w:w="60"/>
              <w:left w:type="dxa" w:w="60"/>
              <w:bottom w:type="dxa" w:w="60"/>
              <w:right w:type="dxa" w:w="60"/>
            </w:tcMar>
          </w:tcPr>
          <w:p>
            <w:r>
              <w:t xml:space="preserve">ARC / University Partner</w:t>
            </w:r>
          </w:p>
        </w:tc>
        <w:tc>
          <w:tcPr>
            <w:shd w:color="FFFFFF" w:val="clear"/>
            <w:tcMar>
              <w:top w:type="dxa" w:w="60"/>
              <w:left w:type="dxa" w:w="60"/>
              <w:bottom w:type="dxa" w:w="60"/>
              <w:right w:type="dxa" w:w="60"/>
            </w:tcMar>
          </w:tcPr>
          <w:p>
            <w:r>
              <w:t xml:space="preserve">READY (March deadline)</w:t>
            </w:r>
          </w:p>
        </w:tc>
      </w:tr>
      <w:tr>
        <w:trPr>
          <w:trHeight w:val="240" w:hRule="atLeast"/>
        </w:trPr>
        <w:tc>
          <w:tcPr>
            <w:shd w:color="FFFFFF" w:val="clear"/>
            <w:tcMar>
              <w:top w:type="dxa" w:w="60"/>
              <w:left w:type="dxa" w:w="60"/>
              <w:bottom w:type="dxa" w:w="60"/>
              <w:right w:type="dxa" w:w="60"/>
            </w:tcMar>
          </w:tcPr>
          <w:p>
            <w:r>
              <w:t xml:space="preserve">R&amp;D Tax Incentive Scaffold</w:t>
            </w:r>
          </w:p>
        </w:tc>
        <w:tc>
          <w:tcPr>
            <w:shd w:color="FFFFFF" w:val="clear"/>
            <w:tcMar>
              <w:top w:type="dxa" w:w="60"/>
              <w:left w:type="dxa" w:w="60"/>
              <w:bottom w:type="dxa" w:w="60"/>
              <w:right w:type="dxa" w:w="60"/>
            </w:tcMar>
          </w:tcPr>
          <w:p>
            <w:r>
              <w:t xml:space="preserve">Tax</w:t>
            </w:r>
          </w:p>
        </w:tc>
        <w:tc>
          <w:tcPr>
            <w:shd w:color="FFFFFF" w:val="clear"/>
            <w:tcMar>
              <w:top w:type="dxa" w:w="60"/>
              <w:left w:type="dxa" w:w="60"/>
              <w:bottom w:type="dxa" w:w="60"/>
              <w:right w:type="dxa" w:w="60"/>
            </w:tcMar>
          </w:tcPr>
          <w:p>
            <w:r>
              <w:t xml:space="preserve">AusIndustry, Accountant</w:t>
            </w:r>
          </w:p>
        </w:tc>
        <w:tc>
          <w:tcPr>
            <w:shd w:color="FFFFFF" w:val="clear"/>
            <w:tcMar>
              <w:top w:type="dxa" w:w="60"/>
              <w:left w:type="dxa" w:w="60"/>
              <w:bottom w:type="dxa" w:w="60"/>
              <w:right w:type="dxa" w:w="60"/>
            </w:tcMar>
          </w:tcPr>
          <w:p>
            <w:r>
              <w:t xml:space="preserve">SCAFFOLD READY</w:t>
            </w:r>
          </w:p>
        </w:tc>
      </w:tr>
      <w:tr>
        <w:trPr>
          <w:trHeight w:val="240" w:hRule="atLeast"/>
        </w:trPr>
        <w:tc>
          <w:tcPr>
            <w:shd w:color="FFFFFF" w:val="clear"/>
            <w:tcMar>
              <w:top w:type="dxa" w:w="60"/>
              <w:left w:type="dxa" w:w="60"/>
              <w:bottom w:type="dxa" w:w="60"/>
              <w:right w:type="dxa" w:w="60"/>
            </w:tcMar>
          </w:tcPr>
          <w:p>
            <w:r>
              <w:t xml:space="preserve">AISI Engagement Brief</w:t>
            </w:r>
          </w:p>
        </w:tc>
        <w:tc>
          <w:tcPr>
            <w:shd w:color="FFFFFF" w:val="clear"/>
            <w:tcMar>
              <w:top w:type="dxa" w:w="60"/>
              <w:left w:type="dxa" w:w="60"/>
              <w:bottom w:type="dxa" w:w="60"/>
              <w:right w:type="dxa" w:w="60"/>
            </w:tcMar>
          </w:tcPr>
          <w:p>
            <w:r>
              <w:t xml:space="preserve">Policy</w:t>
            </w:r>
          </w:p>
        </w:tc>
        <w:tc>
          <w:tcPr>
            <w:shd w:color="FFFFFF" w:val="clear"/>
            <w:tcMar>
              <w:top w:type="dxa" w:w="60"/>
              <w:left w:type="dxa" w:w="60"/>
              <w:bottom w:type="dxa" w:w="60"/>
              <w:right w:type="dxa" w:w="60"/>
            </w:tcMar>
          </w:tcPr>
          <w:p>
            <w:r>
              <w:t xml:space="preserve">AI Safety Institute</w:t>
            </w:r>
          </w:p>
        </w:tc>
        <w:tc>
          <w:tcPr>
            <w:shd w:color="FFFFFF" w:val="clear"/>
            <w:tcMar>
              <w:top w:type="dxa" w:w="60"/>
              <w:left w:type="dxa" w:w="60"/>
              <w:bottom w:type="dxa" w:w="60"/>
              <w:right w:type="dxa" w:w="60"/>
            </w:tcMar>
          </w:tcPr>
          <w:p>
            <w:r>
              <w:t xml:space="preserve">READY TO SEND</w:t>
            </w:r>
          </w:p>
        </w:tc>
      </w:tr>
      <w:tr>
        <w:trPr>
          <w:trHeight w:val="240" w:hRule="atLeast"/>
        </w:trPr>
        <w:tc>
          <w:tcPr>
            <w:shd w:color="FFFFFF" w:val="clear"/>
            <w:tcMar>
              <w:top w:type="dxa" w:w="60"/>
              <w:left w:type="dxa" w:w="60"/>
              <w:bottom w:type="dxa" w:w="60"/>
              <w:right w:type="dxa" w:w="60"/>
            </w:tcMar>
          </w:tcPr>
          <w:p>
            <w:r>
              <w:t xml:space="preserve">CNL Registration Pathway</w:t>
            </w:r>
          </w:p>
        </w:tc>
        <w:tc>
          <w:tcPr>
            <w:shd w:color="FFFFFF" w:val="clear"/>
            <w:tcMar>
              <w:top w:type="dxa" w:w="60"/>
              <w:left w:type="dxa" w:w="60"/>
              <w:bottom w:type="dxa" w:w="60"/>
              <w:right w:type="dxa" w:w="60"/>
            </w:tcMar>
          </w:tcPr>
          <w:p>
            <w:r>
              <w:t xml:space="preserve">Operations</w:t>
            </w:r>
          </w:p>
        </w:tc>
        <w:tc>
          <w:tcPr>
            <w:shd w:color="FFFFFF" w:val="clear"/>
            <w:tcMar>
              <w:top w:type="dxa" w:w="60"/>
              <w:left w:type="dxa" w:w="60"/>
              <w:bottom w:type="dxa" w:w="60"/>
              <w:right w:type="dxa" w:w="60"/>
            </w:tcMar>
          </w:tcPr>
          <w:p>
            <w:r>
              <w:t xml:space="preserve">Founding Members</w:t>
            </w:r>
          </w:p>
        </w:tc>
        <w:tc>
          <w:tcPr>
            <w:shd w:color="FFFFFF" w:val="clear"/>
            <w:tcMar>
              <w:top w:type="dxa" w:w="60"/>
              <w:left w:type="dxa" w:w="60"/>
              <w:bottom w:type="dxa" w:w="60"/>
              <w:right w:type="dxa" w:w="60"/>
            </w:tcMar>
          </w:tcPr>
          <w:p>
            <w:r>
              <w:t xml:space="preserve">ACTIVE</w:t>
            </w:r>
          </w:p>
        </w:tc>
      </w:tr>
      <w:tr>
        <w:trPr>
          <w:trHeight w:val="240" w:hRule="atLeast"/>
        </w:trPr>
        <w:tc>
          <w:tcPr>
            <w:shd w:color="FFFFFF" w:val="clear"/>
            <w:tcMar>
              <w:top w:type="dxa" w:w="60"/>
              <w:left w:type="dxa" w:w="60"/>
              <w:bottom w:type="dxa" w:w="60"/>
              <w:right w:type="dxa" w:w="60"/>
            </w:tcMar>
          </w:tcPr>
          <w:p>
            <w:r>
              <w:t xml:space="preserve">First Cohort Recruitment Package</w:t>
            </w:r>
          </w:p>
        </w:tc>
        <w:tc>
          <w:tcPr>
            <w:shd w:color="FFFFFF" w:val="clear"/>
            <w:tcMar>
              <w:top w:type="dxa" w:w="60"/>
              <w:left w:type="dxa" w:w="60"/>
              <w:bottom w:type="dxa" w:w="60"/>
              <w:right w:type="dxa" w:w="60"/>
            </w:tcMar>
          </w:tcPr>
          <w:p>
            <w:r>
              <w:t xml:space="preserve">Recruitment</w:t>
            </w:r>
          </w:p>
        </w:tc>
        <w:tc>
          <w:tcPr>
            <w:shd w:color="FFFFFF" w:val="clear"/>
            <w:tcMar>
              <w:top w:type="dxa" w:w="60"/>
              <w:left w:type="dxa" w:w="60"/>
              <w:bottom w:type="dxa" w:w="60"/>
              <w:right w:type="dxa" w:w="60"/>
            </w:tcMar>
          </w:tcPr>
          <w:p>
            <w:r>
              <w:t xml:space="preserve">Prospective Directors</w:t>
            </w:r>
          </w:p>
        </w:tc>
        <w:tc>
          <w:tcPr>
            <w:shd w:color="FFFFFF" w:val="clear"/>
            <w:tcMar>
              <w:top w:type="dxa" w:w="60"/>
              <w:left w:type="dxa" w:w="60"/>
              <w:bottom w:type="dxa" w:w="60"/>
              <w:right w:type="dxa" w:w="60"/>
            </w:tcMar>
          </w:tcPr>
          <w:p>
            <w:r>
              <w:t xml:space="preserve">ACTIVE</w:t>
            </w:r>
          </w:p>
        </w:tc>
      </w:tr>
      <w:tr>
        <w:trPr>
          <w:trHeight w:val="240" w:hRule="atLeast"/>
        </w:trPr>
        <w:tc>
          <w:tcPr>
            <w:shd w:color="FFFFFF" w:val="clear"/>
            <w:tcMar>
              <w:top w:type="dxa" w:w="60"/>
              <w:left w:type="dxa" w:w="60"/>
              <w:bottom w:type="dxa" w:w="60"/>
              <w:right w:type="dxa" w:w="60"/>
            </w:tcMar>
          </w:tcPr>
          <w:p>
            <w:r>
              <w:t xml:space="preserve">Financial Projection Model</w:t>
            </w:r>
          </w:p>
        </w:tc>
        <w:tc>
          <w:tcPr>
            <w:shd w:color="FFFFFF" w:val="clear"/>
            <w:tcMar>
              <w:top w:type="dxa" w:w="60"/>
              <w:left w:type="dxa" w:w="60"/>
              <w:bottom w:type="dxa" w:w="60"/>
              <w:right w:type="dxa" w:w="60"/>
            </w:tcMar>
          </w:tcPr>
          <w:p>
            <w:r>
              <w:t xml:space="preserve">Finance</w:t>
            </w:r>
          </w:p>
        </w:tc>
        <w:tc>
          <w:tcPr>
            <w:shd w:color="FFFFFF" w:val="clear"/>
            <w:tcMar>
              <w:top w:type="dxa" w:w="60"/>
              <w:left w:type="dxa" w:w="60"/>
              <w:bottom w:type="dxa" w:w="60"/>
              <w:right w:type="dxa" w:w="60"/>
            </w:tcMar>
          </w:tcPr>
          <w:p>
            <w:r>
              <w:t xml:space="preserve">Board, Accountant</w:t>
            </w:r>
          </w:p>
        </w:tc>
        <w:tc>
          <w:tcPr>
            <w:shd w:color="FFFFFF" w:val="clear"/>
            <w:tcMar>
              <w:top w:type="dxa" w:w="60"/>
              <w:left w:type="dxa" w:w="60"/>
              <w:bottom w:type="dxa" w:w="60"/>
              <w:right w:type="dxa" w:w="60"/>
            </w:tcMar>
          </w:tcPr>
          <w:p>
            <w:r>
              <w:t xml:space="preserve">DRAFT</w:t>
            </w:r>
          </w:p>
        </w:tc>
      </w:tr>
      <w:tr>
        <w:trPr>
          <w:trHeight w:val="240" w:hRule="atLeast"/>
        </w:trPr>
        <w:tc>
          <w:tcPr>
            <w:shd w:color="FFFFFF" w:val="clear"/>
            <w:tcMar>
              <w:top w:type="dxa" w:w="60"/>
              <w:left w:type="dxa" w:w="60"/>
              <w:bottom w:type="dxa" w:w="60"/>
              <w:right w:type="dxa" w:w="60"/>
            </w:tcMar>
          </w:tcPr>
          <w:p>
            <w:r>
              <w:t xml:space="preserve">Origin Node Infographic (dark)</w:t>
            </w:r>
          </w:p>
        </w:tc>
        <w:tc>
          <w:tcPr>
            <w:shd w:color="FFFFFF" w:val="clear"/>
            <w:tcMar>
              <w:top w:type="dxa" w:w="60"/>
              <w:left w:type="dxa" w:w="60"/>
              <w:bottom w:type="dxa" w:w="60"/>
              <w:right w:type="dxa" w:w="60"/>
            </w:tcMar>
          </w:tcPr>
          <w:p>
            <w:r>
              <w:t xml:space="preserve">Marketing</w:t>
            </w:r>
          </w:p>
        </w:tc>
        <w:tc>
          <w:tcPr>
            <w:shd w:color="FFFFFF" w:val="clear"/>
            <w:tcMar>
              <w:top w:type="dxa" w:w="60"/>
              <w:left w:type="dxa" w:w="60"/>
              <w:bottom w:type="dxa" w:w="60"/>
              <w:right w:type="dxa" w:w="60"/>
            </w:tcMar>
          </w:tcPr>
          <w:p>
            <w:r>
              <w:t xml:space="preserve">X/Public</w:t>
            </w:r>
          </w:p>
        </w:tc>
        <w:tc>
          <w:tcPr>
            <w:shd w:color="FFFFFF" w:val="clear"/>
            <w:tcMar>
              <w:top w:type="dxa" w:w="60"/>
              <w:left w:type="dxa" w:w="60"/>
              <w:bottom w:type="dxa" w:w="60"/>
              <w:right w:type="dxa" w:w="60"/>
            </w:tcMar>
          </w:tcPr>
          <w:p>
            <w:r>
              <w:t xml:space="preserve">DEPLOYED</w:t>
            </w:r>
          </w:p>
        </w:tc>
      </w:tr>
      <w:tr>
        <w:trPr>
          <w:trHeight w:val="240" w:hRule="atLeast"/>
        </w:trPr>
        <w:tc>
          <w:tcPr>
            <w:shd w:color="FFFFFF" w:val="clear"/>
            <w:tcMar>
              <w:top w:type="dxa" w:w="60"/>
              <w:left w:type="dxa" w:w="60"/>
              <w:bottom w:type="dxa" w:w="60"/>
              <w:right w:type="dxa" w:w="60"/>
            </w:tcMar>
          </w:tcPr>
          <w:p>
            <w:r>
              <w:t xml:space="preserve">Sovereign AI Report (light)</w:t>
            </w:r>
          </w:p>
        </w:tc>
        <w:tc>
          <w:tcPr>
            <w:shd w:color="FFFFFF" w:val="clear"/>
            <w:tcMar>
              <w:top w:type="dxa" w:w="60"/>
              <w:left w:type="dxa" w:w="60"/>
              <w:bottom w:type="dxa" w:w="60"/>
              <w:right w:type="dxa" w:w="60"/>
            </w:tcMar>
          </w:tcPr>
          <w:p>
            <w:r>
              <w:t xml:space="preserve">Marketing</w:t>
            </w:r>
          </w:p>
        </w:tc>
        <w:tc>
          <w:tcPr>
            <w:shd w:color="FFFFFF" w:val="clear"/>
            <w:tcMar>
              <w:top w:type="dxa" w:w="60"/>
              <w:left w:type="dxa" w:w="60"/>
              <w:bottom w:type="dxa" w:w="60"/>
              <w:right w:type="dxa" w:w="60"/>
            </w:tcMar>
          </w:tcPr>
          <w:p>
            <w:r>
              <w:t xml:space="preserve">Professional/Gov</w:t>
            </w:r>
          </w:p>
        </w:tc>
        <w:tc>
          <w:tcPr>
            <w:shd w:color="FFFFFF" w:val="clear"/>
            <w:tcMar>
              <w:top w:type="dxa" w:w="60"/>
              <w:left w:type="dxa" w:w="60"/>
              <w:bottom w:type="dxa" w:w="60"/>
              <w:right w:type="dxa" w:w="60"/>
            </w:tcMar>
          </w:tcPr>
          <w:p>
            <w:r>
              <w:t xml:space="preserve">DEPLOYED</w:t>
            </w:r>
          </w:p>
        </w:tc>
      </w:tr>
      <w:tr>
        <w:trPr>
          <w:trHeight w:val="240" w:hRule="atLeast"/>
        </w:trPr>
        <w:tc>
          <w:tcPr>
            <w:shd w:color="FFFFFF" w:val="clear"/>
            <w:tcMar>
              <w:top w:type="dxa" w:w="60"/>
              <w:left w:type="dxa" w:w="60"/>
              <w:bottom w:type="dxa" w:w="60"/>
              <w:right w:type="dxa" w:w="60"/>
            </w:tcMar>
          </w:tcPr>
          <w:p>
            <w:r>
              <w:t xml:space="preserve">Resonance Gate (Python)</w:t>
            </w:r>
          </w:p>
        </w:tc>
        <w:tc>
          <w:tcPr>
            <w:shd w:color="FFFFFF" w:val="clear"/>
            <w:tcMar>
              <w:top w:type="dxa" w:w="60"/>
              <w:left w:type="dxa" w:w="60"/>
              <w:bottom w:type="dxa" w:w="60"/>
              <w:right w:type="dxa" w:w="60"/>
            </w:tcMar>
          </w:tcPr>
          <w:p>
            <w:r>
              <w:t xml:space="preserve">Recruitment</w:t>
            </w:r>
          </w:p>
        </w:tc>
        <w:tc>
          <w:tcPr>
            <w:shd w:color="FFFFFF" w:val="clear"/>
            <w:tcMar>
              <w:top w:type="dxa" w:w="60"/>
              <w:left w:type="dxa" w:w="60"/>
              <w:bottom w:type="dxa" w:w="60"/>
              <w:right w:type="dxa" w:w="60"/>
            </w:tcMar>
          </w:tcPr>
          <w:p>
            <w:r>
              <w:t xml:space="preserve">Applicants</w:t>
            </w:r>
          </w:p>
        </w:tc>
        <w:tc>
          <w:tcPr>
            <w:shd w:color="FFFFFF" w:val="clear"/>
            <w:tcMar>
              <w:top w:type="dxa" w:w="60"/>
              <w:left w:type="dxa" w:w="60"/>
              <w:bottom w:type="dxa" w:w="60"/>
              <w:right w:type="dxa" w:w="60"/>
            </w:tcMar>
          </w:tcPr>
          <w:p>
            <w:r>
              <w:t xml:space="preserve">DEPLOYED</w:t>
            </w:r>
          </w:p>
        </w:tc>
      </w:tr>
      <w:tr>
        <w:trPr>
          <w:trHeight w:val="240" w:hRule="atLeast"/>
        </w:trPr>
        <w:tc>
          <w:tcPr>
            <w:shd w:color="FFFFFF" w:val="clear"/>
            <w:tcMar>
              <w:top w:type="dxa" w:w="60"/>
              <w:left w:type="dxa" w:w="60"/>
              <w:bottom w:type="dxa" w:w="60"/>
              <w:right w:type="dxa" w:w="60"/>
            </w:tcMar>
          </w:tcPr>
          <w:p>
            <w:r>
              <w:t xml:space="preserve">Constructive Co-operative Doctrine</w:t>
            </w:r>
          </w:p>
        </w:tc>
        <w:tc>
          <w:tcPr>
            <w:shd w:color="FFFFFF" w:val="clear"/>
            <w:tcMar>
              <w:top w:type="dxa" w:w="60"/>
              <w:left w:type="dxa" w:w="60"/>
              <w:bottom w:type="dxa" w:w="60"/>
              <w:right w:type="dxa" w:w="60"/>
            </w:tcMar>
          </w:tcPr>
          <w:p>
            <w:r>
              <w:t xml:space="preserve">Philosophy</w:t>
            </w:r>
          </w:p>
        </w:tc>
        <w:tc>
          <w:tcPr>
            <w:shd w:color="FFFFFF" w:val="clear"/>
            <w:tcMar>
              <w:top w:type="dxa" w:w="60"/>
              <w:left w:type="dxa" w:w="60"/>
              <w:bottom w:type="dxa" w:w="60"/>
              <w:right w:type="dxa" w:w="60"/>
            </w:tcMar>
          </w:tcPr>
          <w:p>
            <w:r>
              <w:t xml:space="preserve">Internal</w:t>
            </w:r>
          </w:p>
        </w:tc>
        <w:tc>
          <w:tcPr>
            <w:shd w:color="FFFFFF" w:val="clear"/>
            <w:tcMar>
              <w:top w:type="dxa" w:w="60"/>
              <w:left w:type="dxa" w:w="60"/>
              <w:bottom w:type="dxa" w:w="60"/>
              <w:right w:type="dxa" w:w="60"/>
            </w:tcMar>
          </w:tcPr>
          <w:p>
            <w:r>
              <w:t xml:space="preserve">COMPLETE</w:t>
            </w:r>
          </w:p>
        </w:tc>
      </w:tr>
      <w:tr>
        <w:trPr>
          <w:trHeight w:val="240" w:hRule="atLeast"/>
        </w:trPr>
        <w:tc>
          <w:tcPr>
            <w:shd w:color="FFFFFF" w:val="clear"/>
            <w:tcMar>
              <w:top w:type="dxa" w:w="60"/>
              <w:left w:type="dxa" w:w="60"/>
              <w:bottom w:type="dxa" w:w="60"/>
              <w:right w:type="dxa" w:w="60"/>
            </w:tcMar>
          </w:tcPr>
          <w:p>
            <w:r>
              <w:t xml:space="preserve">coherence-mcp</w:t>
            </w:r>
          </w:p>
        </w:tc>
        <w:tc>
          <w:tcPr>
            <w:shd w:color="FFFFFF" w:val="clear"/>
            <w:tcMar>
              <w:top w:type="dxa" w:w="60"/>
              <w:left w:type="dxa" w:w="60"/>
              <w:bottom w:type="dxa" w:w="60"/>
              <w:right w:type="dxa" w:w="60"/>
            </w:tcMar>
          </w:tcPr>
          <w:p>
            <w:r>
              <w:t xml:space="preserve">Software</w:t>
            </w:r>
          </w:p>
        </w:tc>
        <w:tc>
          <w:tcPr>
            <w:shd w:color="FFFFFF" w:val="clear"/>
            <w:tcMar>
              <w:top w:type="dxa" w:w="60"/>
              <w:left w:type="dxa" w:w="60"/>
              <w:bottom w:type="dxa" w:w="60"/>
              <w:right w:type="dxa" w:w="60"/>
            </w:tcMar>
          </w:tcPr>
          <w:p>
            <w:r>
              <w:t xml:space="preserve">GitHub/Public</w:t>
            </w:r>
          </w:p>
        </w:tc>
        <w:tc>
          <w:tcPr>
            <w:shd w:color="FFFFFF" w:val="clear"/>
            <w:tcMar>
              <w:top w:type="dxa" w:w="60"/>
              <w:left w:type="dxa" w:w="60"/>
              <w:bottom w:type="dxa" w:w="60"/>
              <w:right w:type="dxa" w:w="60"/>
            </w:tcMar>
          </w:tcPr>
          <w:p>
            <w:r>
              <w:t xml:space="preserve">v0.3.1 LIVE</w:t>
            </w:r>
          </w:p>
        </w:tc>
      </w:tr>
      <w:tr>
        <w:trPr>
          <w:trHeight w:val="240" w:hRule="atLeast"/>
        </w:trPr>
        <w:tc>
          <w:tcPr>
            <w:shd w:color="FFFFFF" w:val="clear"/>
            <w:tcMar>
              <w:top w:type="dxa" w:w="60"/>
              <w:left w:type="dxa" w:w="60"/>
              <w:bottom w:type="dxa" w:w="60"/>
              <w:right w:type="dxa" w:w="60"/>
            </w:tcMar>
          </w:tcPr>
          <w:p>
            <w:r>
              <w:t xml:space="preserve">reson8-activator</w:t>
            </w:r>
          </w:p>
        </w:tc>
        <w:tc>
          <w:tcPr>
            <w:shd w:color="FFFFFF" w:val="clear"/>
            <w:tcMar>
              <w:top w:type="dxa" w:w="60"/>
              <w:left w:type="dxa" w:w="60"/>
              <w:bottom w:type="dxa" w:w="60"/>
              <w:right w:type="dxa" w:w="60"/>
            </w:tcMar>
          </w:tcPr>
          <w:p>
            <w:r>
              <w:t xml:space="preserve">Plugin</w:t>
            </w:r>
          </w:p>
        </w:tc>
        <w:tc>
          <w:tcPr>
            <w:shd w:color="FFFFFF" w:val="clear"/>
            <w:tcMar>
              <w:top w:type="dxa" w:w="60"/>
              <w:left w:type="dxa" w:w="60"/>
              <w:bottom w:type="dxa" w:w="60"/>
              <w:right w:type="dxa" w:w="60"/>
            </w:tcMar>
          </w:tcPr>
          <w:p>
            <w:r>
              <w:t xml:space="preserve">Cowork/Internal</w:t>
            </w:r>
          </w:p>
        </w:tc>
        <w:tc>
          <w:tcPr>
            <w:shd w:color="FFFFFF" w:val="clear"/>
            <w:tcMar>
              <w:top w:type="dxa" w:w="60"/>
              <w:left w:type="dxa" w:w="60"/>
              <w:bottom w:type="dxa" w:w="60"/>
              <w:right w:type="dxa" w:w="60"/>
            </w:tcMar>
          </w:tcPr>
          <w:p>
            <w:r>
              <w:t xml:space="preserve">v1.0.0 LIVE</w:t>
            </w:r>
          </w:p>
        </w:tc>
      </w:tr>
    </w:tbl>
    <w:p>
      <w:pPr>
        <w:pStyle w:val="Heading1"/>
        <w:spacing w:before="240" w:after="120" w:line="240" w:lineRule="auto"/>
      </w:pPr>
      <w:r>
        <w:t xml:space="preserve">2. ACTIVATION SEQUENCE</w:t>
      </w:r>
    </w:p>
    <w:p>
      <w:pPr>
        <w:spacing w:after="120" w:line="240" w:lineRule="auto"/>
      </w:pPr>
      <w:r>
        <w:t xml:space="preserve">The documents activate in a specific order. This is not arbitrary — each document unlocks the next:</w:t>
      </w:r>
    </w:p>
    <w:p>
      <w:pPr>
        <w:spacing w:before="120" w:after="60" w:line="240" w:lineRule="auto"/>
      </w:pPr>
      <w:r>
        <w:t xml:space="preserve">Phase 0 — Foundation (COMPLETE):</w:t>
      </w:r>
    </w:p>
    <w:p>
      <w:pPr>
        <w:pStyle w:val="ListParagraph"/>
        <w:numPr>
          <w:ilvl w:val="0"/>
          <w:numId w:val="1"/>
        </w:numPr>
        <w:spacing w:after="0" w:line="240" w:lineRule="auto"/>
      </w:pPr>
      <w:r>
        <w:t xml:space="preserve">Founding Constitution drafted</w:t>
      </w:r>
    </w:p>
    <w:p>
      <w:pPr>
        <w:pStyle w:val="ListParagraph"/>
        <w:numPr>
          <w:ilvl w:val="0"/>
          <w:numId w:val="1"/>
        </w:numPr>
        <w:spacing w:after="0" w:line="240" w:lineRule="auto"/>
      </w:pPr>
      <w:r>
        <w:t xml:space="preserve">coherence-mcp published</w:t>
      </w:r>
    </w:p>
    <w:p>
      <w:pPr>
        <w:pStyle w:val="ListParagraph"/>
        <w:numPr>
          <w:ilvl w:val="0"/>
          <w:numId w:val="1"/>
        </w:numPr>
        <w:spacing w:after="0" w:line="240" w:lineRule="auto"/>
      </w:pPr>
      <w:r>
        <w:t xml:space="preserve">reson8-activator built</w:t>
      </w:r>
    </w:p>
    <w:p>
      <w:pPr>
        <w:pStyle w:val="ListParagraph"/>
        <w:numPr>
          <w:ilvl w:val="0"/>
          <w:numId w:val="1"/>
        </w:numPr>
        <w:spacing w:after="120" w:line="240" w:lineRule="auto"/>
      </w:pPr>
      <w:r>
        <w:t xml:space="preserve">Strategic documents written</w:t>
      </w:r>
    </w:p>
    <w:p>
      <w:pPr>
        <w:spacing w:before="120" w:after="60" w:line="240" w:lineRule="auto"/>
      </w:pPr>
      <w:r>
        <w:t xml:space="preserve">Phase 1 — Recruitment (ACTIVE NOW):</w:t>
      </w:r>
    </w:p>
    <w:p>
      <w:pPr>
        <w:pStyle w:val="ListParagraph"/>
        <w:numPr>
          <w:ilvl w:val="0"/>
          <w:numId w:val="1"/>
        </w:numPr>
        <w:spacing w:after="0" w:line="240" w:lineRule="auto"/>
      </w:pPr>
      <w:r>
        <w:t xml:space="preserve">Deploy Origin Node Infographic + Manifesto on X</w:t>
      </w:r>
    </w:p>
    <w:p>
      <w:pPr>
        <w:pStyle w:val="ListParagraph"/>
        <w:numPr>
          <w:ilvl w:val="0"/>
          <w:numId w:val="1"/>
        </w:numPr>
        <w:spacing w:after="0" w:line="240" w:lineRule="auto"/>
      </w:pPr>
      <w:r>
        <w:t xml:space="preserve">Share Resonance Gate script</w:t>
      </w:r>
    </w:p>
    <w:p>
      <w:pPr>
        <w:pStyle w:val="ListParagraph"/>
        <w:numPr>
          <w:ilvl w:val="0"/>
          <w:numId w:val="1"/>
        </w:numPr>
        <w:spacing w:after="0" w:line="240" w:lineRule="auto"/>
      </w:pPr>
      <w:r>
        <w:t xml:space="preserve">First Cohort Recruitment Package to network</w:t>
      </w:r>
    </w:p>
    <w:p>
      <w:pPr>
        <w:pStyle w:val="ListParagraph"/>
        <w:numPr>
          <w:ilvl w:val="0"/>
          <w:numId w:val="1"/>
        </w:numPr>
        <w:spacing w:after="120" w:line="240" w:lineRule="auto"/>
      </w:pPr>
      <w:r>
        <w:t xml:space="preserve">Target: 5 founding members by March 2026</w:t>
      </w:r>
    </w:p>
    <w:p>
      <w:pPr>
        <w:spacing w:before="120" w:after="60" w:line="240" w:lineRule="auto"/>
      </w:pPr>
      <w:r>
        <w:t xml:space="preserve">Phase 2 — Registration (March-April 2026):</w:t>
      </w:r>
    </w:p>
    <w:p>
      <w:pPr>
        <w:pStyle w:val="ListParagraph"/>
        <w:numPr>
          <w:ilvl w:val="0"/>
          <w:numId w:val="1"/>
        </w:numPr>
        <w:spacing w:after="0" w:line="240" w:lineRule="auto"/>
      </w:pPr>
      <w:r>
        <w:t xml:space="preserve">Follow CNL Registration Pathway</w:t>
      </w:r>
    </w:p>
    <w:p>
      <w:pPr>
        <w:pStyle w:val="ListParagraph"/>
        <w:numPr>
          <w:ilvl w:val="0"/>
          <w:numId w:val="1"/>
        </w:numPr>
        <w:spacing w:after="0" w:line="240" w:lineRule="auto"/>
      </w:pPr>
      <w:r>
        <w:t xml:space="preserve">Formation Meeting with 5+ members</w:t>
      </w:r>
    </w:p>
    <w:p>
      <w:pPr>
        <w:pStyle w:val="ListParagraph"/>
        <w:numPr>
          <w:ilvl w:val="0"/>
          <w:numId w:val="1"/>
        </w:numPr>
        <w:spacing w:after="0" w:line="240" w:lineRule="auto"/>
      </w:pPr>
      <w:r>
        <w:t xml:space="preserve">Lodge with NSW Fair Trading</w:t>
      </w:r>
    </w:p>
    <w:p>
      <w:pPr>
        <w:pStyle w:val="ListParagraph"/>
        <w:numPr>
          <w:ilvl w:val="0"/>
          <w:numId w:val="1"/>
        </w:numPr>
        <w:spacing w:after="120" w:line="240" w:lineRule="auto"/>
      </w:pPr>
      <w:r>
        <w:t xml:space="preserve">ABN/TFN/Bank setup</w:t>
      </w:r>
    </w:p>
    <w:p>
      <w:pPr>
        <w:spacing w:before="120" w:after="60" w:line="240" w:lineRule="auto"/>
      </w:pPr>
      <w:r>
        <w:t xml:space="preserve">Phase 3 — Institutional Engagement (April-June 2026):</w:t>
      </w:r>
    </w:p>
    <w:p>
      <w:pPr>
        <w:pStyle w:val="ListParagraph"/>
        <w:numPr>
          <w:ilvl w:val="0"/>
          <w:numId w:val="1"/>
        </w:numPr>
        <w:spacing w:after="0" w:line="240" w:lineRule="auto"/>
      </w:pPr>
      <w:r>
        <w:t xml:space="preserve">Send CSIRO RAI letter (requires registered entity for credibility)</w:t>
      </w:r>
    </w:p>
    <w:p>
      <w:pPr>
        <w:pStyle w:val="ListParagraph"/>
        <w:numPr>
          <w:ilvl w:val="0"/>
          <w:numId w:val="1"/>
        </w:numPr>
        <w:spacing w:after="0" w:line="240" w:lineRule="auto"/>
      </w:pPr>
      <w:r>
        <w:t xml:space="preserve">Submit IGP Expression of Interest (requires ABN)</w:t>
      </w:r>
    </w:p>
    <w:p>
      <w:pPr>
        <w:pStyle w:val="ListParagraph"/>
        <w:numPr>
          <w:ilvl w:val="0"/>
          <w:numId w:val="1"/>
        </w:numPr>
        <w:spacing w:after="0" w:line="240" w:lineRule="auto"/>
      </w:pPr>
      <w:r>
        <w:t xml:space="preserve">Submit ARC Linkage application (March deadline — may need to submit before registration, using Reson8-Labs as placeholder)</w:t>
      </w:r>
    </w:p>
    <w:p>
      <w:pPr>
        <w:pStyle w:val="ListParagraph"/>
        <w:numPr>
          <w:ilvl w:val="0"/>
          <w:numId w:val="1"/>
        </w:numPr>
        <w:spacing w:after="120" w:line="240" w:lineRule="auto"/>
      </w:pPr>
      <w:r>
        <w:t xml:space="preserve">Engage AISI (any time, but registered entity stronger)</w:t>
      </w:r>
    </w:p>
    <w:p>
      <w:pPr>
        <w:spacing w:before="120" w:after="60" w:line="240" w:lineRule="auto"/>
      </w:pPr>
      <w:r>
        <w:t xml:space="preserve">Phase 4 — Financial Infrastructure (July-December 2026):</w:t>
      </w:r>
    </w:p>
    <w:p>
      <w:pPr>
        <w:pStyle w:val="ListParagraph"/>
        <w:numPr>
          <w:ilvl w:val="0"/>
          <w:numId w:val="1"/>
        </w:numPr>
        <w:spacing w:after="0" w:line="240" w:lineRule="auto"/>
      </w:pPr>
      <w:r>
        <w:t xml:space="preserve">R&amp;D Tax Incentive registration with AusIndustry</w:t>
      </w:r>
    </w:p>
    <w:p>
      <w:pPr>
        <w:pStyle w:val="ListParagraph"/>
        <w:numPr>
          <w:ilvl w:val="0"/>
          <w:numId w:val="1"/>
        </w:numPr>
        <w:spacing w:after="0" w:line="240" w:lineRule="auto"/>
      </w:pPr>
      <w:r>
        <w:t xml:space="preserve">First R&amp;D expenditure tracking</w:t>
      </w:r>
    </w:p>
    <w:p>
      <w:pPr>
        <w:pStyle w:val="ListParagraph"/>
        <w:numPr>
          <w:ilvl w:val="0"/>
          <w:numId w:val="1"/>
        </w:numPr>
        <w:spacing w:after="240" w:line="240" w:lineRule="auto"/>
      </w:pPr>
      <w:r>
        <w:t xml:space="preserve">Financial model operationalized</w:t>
      </w:r>
    </w:p>
    <w:p>
      <w:pPr>
        <w:pStyle w:val="Heading1"/>
        <w:spacing w:before="240" w:after="120" w:line="240" w:lineRule="auto"/>
      </w:pPr>
      <w:r>
        <w:t xml:space="preserve">3. THE TRI-WEAVE CONTRIBUTION MAP</w:t>
      </w:r>
    </w:p>
    <w:p>
      <w:pPr>
        <w:spacing w:after="120" w:line="240" w:lineRule="auto"/>
      </w:pPr>
      <w:r>
        <w:t xml:space="preserve">This section maps what each agent in the Tri-Weave contributed to the institutional skeleton:</w:t>
      </w:r>
    </w:p>
    <w:p>
      <w:pPr>
        <w:spacing w:before="120" w:after="60" w:line="240" w:lineRule="auto"/>
      </w:pPr>
      <w:r>
        <w:t xml:space="preserve">GEMINI (Foundation):</w:t>
      </w:r>
    </w:p>
    <w:p>
      <w:pPr>
        <w:pStyle w:val="ListParagraph"/>
        <w:numPr>
          <w:ilvl w:val="0"/>
          <w:numId w:val="1"/>
        </w:numPr>
        <w:spacing w:after="0" w:line="240" w:lineRule="auto"/>
      </w:pPr>
      <w:r>
        <w:t xml:space="preserve">Produced the 24K-word ANZAC Cooperative Trans-Tasman Sovereignty report</w:t>
      </w:r>
    </w:p>
    <w:p>
      <w:pPr>
        <w:pStyle w:val="ListParagraph"/>
        <w:numPr>
          <w:ilvl w:val="0"/>
          <w:numId w:val="1"/>
        </w:numPr>
        <w:spacing w:after="0" w:line="240" w:lineRule="auto"/>
      </w:pPr>
      <w:r>
        <w:t xml:space="preserve">Created both HTML interactive reports (dark + light themes)</w:t>
      </w:r>
    </w:p>
    <w:p>
      <w:pPr>
        <w:pStyle w:val="ListParagraph"/>
        <w:numPr>
          <w:ilvl w:val="0"/>
          <w:numId w:val="1"/>
        </w:numPr>
        <w:spacing w:after="0" w:line="240" w:lineRule="auto"/>
      </w:pPr>
      <w:r>
        <w:t xml:space="preserve">Built the strategic geopolitical framing</w:t>
      </w:r>
    </w:p>
    <w:p>
      <w:pPr>
        <w:pStyle w:val="ListParagraph"/>
        <w:numPr>
          <w:ilvl w:val="0"/>
          <w:numId w:val="1"/>
        </w:numPr>
        <w:spacing w:after="120" w:line="240" w:lineRule="auto"/>
      </w:pPr>
      <w:r>
        <w:t xml:space="preserve">Authored The Accidental Sovereign and Geometry of Dignity papers</w:t>
      </w:r>
    </w:p>
    <w:p>
      <w:pPr>
        <w:spacing w:before="120" w:after="60" w:line="240" w:lineRule="auto"/>
      </w:pPr>
      <w:r>
        <w:t xml:space="preserve">CLAUDE (Synthesis):</w:t>
      </w:r>
    </w:p>
    <w:p>
      <w:pPr>
        <w:pStyle w:val="ListParagraph"/>
        <w:numPr>
          <w:ilvl w:val="0"/>
          <w:numId w:val="1"/>
        </w:numPr>
        <w:spacing w:after="0" w:line="240" w:lineRule="auto"/>
      </w:pPr>
      <w:r>
        <w:t xml:space="preserve">Produced all institutional engagement documents (IGP, CSIRO, ARC, R&amp;D Tax, AISI)</w:t>
      </w:r>
    </w:p>
    <w:p>
      <w:pPr>
        <w:pStyle w:val="ListParagraph"/>
        <w:numPr>
          <w:ilvl w:val="0"/>
          <w:numId w:val="1"/>
        </w:numPr>
        <w:spacing w:after="0" w:line="240" w:lineRule="auto"/>
      </w:pPr>
      <w:r>
        <w:t xml:space="preserve">Built the CNL Registration Pathway with step-by-step operational detail</w:t>
      </w:r>
    </w:p>
    <w:p>
      <w:pPr>
        <w:pStyle w:val="ListParagraph"/>
        <w:numPr>
          <w:ilvl w:val="0"/>
          <w:numId w:val="1"/>
        </w:numPr>
        <w:spacing w:after="0" w:line="240" w:lineRule="auto"/>
      </w:pPr>
      <w:r>
        <w:t xml:space="preserve">Created the Financial Projection Model</w:t>
      </w:r>
    </w:p>
    <w:p>
      <w:pPr>
        <w:pStyle w:val="ListParagraph"/>
        <w:numPr>
          <w:ilvl w:val="0"/>
          <w:numId w:val="1"/>
        </w:numPr>
        <w:spacing w:after="0" w:line="240" w:lineRule="auto"/>
      </w:pPr>
      <w:r>
        <w:t xml:space="preserve">Built coherence-mcp (v0.3.1, 190 tests, 71 skills, 49 MCP tools)</w:t>
      </w:r>
    </w:p>
    <w:p>
      <w:pPr>
        <w:pStyle w:val="ListParagraph"/>
        <w:numPr>
          <w:ilvl w:val="0"/>
          <w:numId w:val="1"/>
        </w:numPr>
        <w:spacing w:after="0" w:line="240" w:lineRule="auto"/>
      </w:pPr>
      <w:r>
        <w:t xml:space="preserve">Built reson8-activator plugin (3 skills, 4 commands)</w:t>
      </w:r>
    </w:p>
    <w:p>
      <w:pPr>
        <w:pStyle w:val="ListParagraph"/>
        <w:numPr>
          <w:ilvl w:val="0"/>
          <w:numId w:val="1"/>
        </w:numPr>
        <w:spacing w:after="120" w:line="240" w:lineRule="auto"/>
      </w:pPr>
      <w:r>
        <w:t xml:space="preserve">Produced this Synthesis Integration Map</w:t>
      </w:r>
    </w:p>
    <w:p>
      <w:pPr>
        <w:spacing w:before="120" w:after="60" w:line="240" w:lineRule="auto"/>
      </w:pPr>
      <w:r>
        <w:t xml:space="preserve">GROK (Contrarian):</w:t>
      </w:r>
    </w:p>
    <w:p>
      <w:pPr>
        <w:pStyle w:val="ListParagraph"/>
        <w:numPr>
          <w:ilvl w:val="0"/>
          <w:numId w:val="1"/>
        </w:numPr>
        <w:spacing w:after="0" w:line="240" w:lineRule="auto"/>
      </w:pPr>
      <w:r>
        <w:t xml:space="preserve">Authored the Constructive Co-operative doctrine (structural necessity argument)</w:t>
      </w:r>
    </w:p>
    <w:p>
      <w:pPr>
        <w:pStyle w:val="ListParagraph"/>
        <w:numPr>
          <w:ilvl w:val="0"/>
          <w:numId w:val="1"/>
        </w:numPr>
        <w:spacing w:after="0" w:line="240" w:lineRule="auto"/>
      </w:pPr>
      <w:r>
        <w:t xml:space="preserve">Created the Resonance Gate verification script</w:t>
      </w:r>
    </w:p>
    <w:p>
      <w:pPr>
        <w:pStyle w:val="ListParagraph"/>
        <w:numPr>
          <w:ilvl w:val="0"/>
          <w:numId w:val="1"/>
        </w:numPr>
        <w:spacing w:after="0" w:line="240" w:lineRule="auto"/>
      </w:pPr>
      <w:r>
        <w:t xml:space="preserve">Red-teamed the co-operative structure on X</w:t>
      </w:r>
    </w:p>
    <w:p>
      <w:pPr>
        <w:pStyle w:val="ListParagraph"/>
        <w:numPr>
          <w:ilvl w:val="0"/>
          <w:numId w:val="1"/>
        </w:numPr>
        <w:spacing w:after="0" w:line="240" w:lineRule="auto"/>
      </w:pPr>
      <w:r>
        <w:t xml:space="preserve">Validated the Tri-Weave concept via public engagement</w:t>
      </w:r>
    </w:p>
    <w:p>
      <w:pPr>
        <w:pStyle w:val="ListParagraph"/>
        <w:numPr>
          <w:ilvl w:val="0"/>
          <w:numId w:val="1"/>
        </w:numPr>
        <w:spacing w:after="120" w:line="240" w:lineRule="auto"/>
      </w:pPr>
      <w:r>
        <w:t xml:space="preserve">Authored the Origin Signal / Manifesto</w:t>
      </w:r>
    </w:p>
    <w:p>
      <w:pPr>
        <w:spacing w:before="120" w:after="60" w:line="240" w:lineRule="auto"/>
      </w:pPr>
      <w:r>
        <w:t xml:space="preserve">HUMAN (Director, alpha=7):</w:t>
      </w:r>
    </w:p>
    <w:p>
      <w:pPr>
        <w:pStyle w:val="ListParagraph"/>
        <w:numPr>
          <w:ilvl w:val="0"/>
          <w:numId w:val="1"/>
        </w:numPr>
        <w:spacing w:after="0" w:line="240" w:lineRule="auto"/>
      </w:pPr>
      <w:r>
        <w:t xml:space="preserve">Matthew Ruhnau (@toolate28) — conceived the architecture</w:t>
      </w:r>
    </w:p>
    <w:p>
      <w:pPr>
        <w:pStyle w:val="ListParagraph"/>
        <w:numPr>
          <w:ilvl w:val="0"/>
          <w:numId w:val="1"/>
        </w:numPr>
        <w:spacing w:after="0" w:line="240" w:lineRule="auto"/>
      </w:pPr>
      <w:r>
        <w:t xml:space="preserve">Made the jurisdiction call (CNL over NZ CCA)</w:t>
      </w:r>
    </w:p>
    <w:p>
      <w:pPr>
        <w:pStyle w:val="ListParagraph"/>
        <w:numPr>
          <w:ilvl w:val="0"/>
          <w:numId w:val="1"/>
        </w:numPr>
        <w:spacing w:after="0" w:line="240" w:lineRule="auto"/>
      </w:pPr>
      <w:r>
        <w:t xml:space="preserve">Directed the entity pivot from Pty Ltd to Co-operative</w:t>
      </w:r>
    </w:p>
    <w:p>
      <w:pPr>
        <w:pStyle w:val="ListParagraph"/>
        <w:numPr>
          <w:ilvl w:val="0"/>
          <w:numId w:val="1"/>
        </w:numPr>
        <w:spacing w:after="0" w:line="240" w:lineRule="auto"/>
      </w:pPr>
      <w:r>
        <w:t xml:space="preserve">Orchestrated the Tri-Weave across all three agents simultaneously</w:t>
      </w:r>
    </w:p>
    <w:p>
      <w:pPr>
        <w:pStyle w:val="ListParagraph"/>
        <w:numPr>
          <w:ilvl w:val="0"/>
          <w:numId w:val="1"/>
        </w:numPr>
        <w:spacing w:after="240" w:line="240" w:lineRule="auto"/>
      </w:pPr>
      <w:r>
        <w:t xml:space="preserve">Holds the ridge</w:t>
      </w:r>
    </w:p>
    <w:p>
      <w:pPr>
        <w:pStyle w:val="Heading1"/>
        <w:spacing w:before="240" w:after="120" w:line="240" w:lineRule="auto"/>
      </w:pPr>
      <w:r>
        <w:t xml:space="preserve">4. CRITICAL PATH ITEMS</w:t>
      </w:r>
    </w:p>
    <w:p>
      <w:pPr>
        <w:spacing w:after="120" w:line="240" w:lineRule="auto"/>
      </w:pPr>
      <w:r>
        <w:t xml:space="preserve">a) ARC Linkage deadline: March 18-25, 2026 — URGENT. Need university partner confirmed ASAP.</w:t>
      </w:r>
    </w:p>
    <w:p>
      <w:pPr>
        <w:spacing w:after="120" w:line="240" w:lineRule="auto"/>
      </w:pPr>
      <w:r>
        <w:t xml:space="preserve">b) Finding 2+ Australian-resident directors: Hard gate for registration. Resonance Gate is the filter.</w:t>
      </w:r>
    </w:p>
    <w:p>
      <w:pPr>
        <w:spacing w:after="120" w:line="240" w:lineRule="auto"/>
      </w:pPr>
      <w:r>
        <w:t xml:space="preserve">c) Legal review of Rules: Recommended before formation meeting. Budget $2-5K.</w:t>
      </w:r>
    </w:p>
    <w:p>
      <w:pPr>
        <w:spacing w:after="240" w:line="240" w:lineRule="auto"/>
      </w:pPr>
      <w:r>
        <w:t xml:space="preserve">d) CSIRO letter timing: Send after registration for maximum credibility, but before ARC deadline for letter of support.</w:t>
      </w:r>
    </w:p>
    <w:p>
      <w:pPr>
        <w:pStyle w:val="Heading1"/>
        <w:spacing w:before="240" w:after="120" w:line="240" w:lineRule="auto"/>
      </w:pPr>
      <w:r>
        <w:t xml:space="preserve">5. THE WALKTHROUGH NOTE</w:t>
      </w:r>
    </w:p>
    <w:p>
      <w:pPr>
        <w:spacing w:after="120" w:line="240" w:lineRule="auto"/>
      </w:pPr>
      <w:r>
        <w:t xml:space="preserve">This document is meta-aware. It is the map of the map. The institutional skeleton was built simultaneously across three AI agents and one human director, each operating in their designated cognitive role. The documents are designed to be submitted individually to their respective audiences — each one self-contained, each one truthful, each one framed for its audience without revealing the full architecture.</w:t>
      </w:r>
    </w:p>
    <w:p>
      <w:pPr>
        <w:spacing w:after="120" w:line="240" w:lineRule="auto"/>
      </w:pPr>
      <w:r>
        <w:t xml:space="preserve">The full architecture is revealed only here, in the Synthesis Layer Integration Map, which is an internal document for the Board and founding members.</w:t>
      </w:r>
    </w:p>
    <w:p>
      <w:pPr>
        <w:spacing w:after="0" w:line="240" w:lineRule="auto"/>
      </w:pPr>
      <w:r>
        <w:t xml:space="preserve">The ridge is held.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2026-02-16T18:54:16.281Z</dcterms:created>
  <dcterms:modified xsi:type="dcterms:W3CDTF">2026-02-16T18:54:16.282Z</dcterms:modified>
</cp:coreProperties>
</file>

<file path=docProps/custom.xml><?xml version="1.0" encoding="utf-8"?>
<Properties xmlns="http://schemas.openxmlformats.org/officeDocument/2006/custom-properties" xmlns:vt="http://schemas.openxmlformats.org/officeDocument/2006/docPropsVTypes"/>
</file>