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 Display" w:hAnsi="Aptos Display"/>
          <w:b/>
          <w:color w:val="1A3F73"/>
          <w:sz w:val="38"/>
        </w:rPr>
        <w:t>Why These Six In-Service Vessel Work Buckets Are Defensible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5E4"/>
          <w:left w:val="single" w:sz="6" w:space="0" w:color="C9D5E4"/>
          <w:bottom w:val="single" w:sz="6" w:space="0" w:color="C9D5E4"/>
          <w:right w:val="single" w:sz="6" w:space="0" w:color="C9D5E4"/>
          <w:insideH w:val="single" w:sz="6" w:space="0" w:color="C9D5E4"/>
          <w:insideV w:val="single" w:sz="6" w:space="0" w:color="C9D5E4"/>
        </w:tblBorders>
      </w:tblPr>
      <w:tblGrid>
        <w:gridCol w:w="14256"/>
      </w:tblGrid>
      <w:tr>
        <w:tc>
          <w:tcPr>
            <w:tcW w:type="dxa" w:w="14544"/>
            <w:shd w:fill="EEF4FA" w:val="clear" w:color="auto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These six are the best primary TAM buckets because they are the categories that recur most consistently across official Navy/Coast Guard maintenance language, budget-book structure, and contract-award wording. In plain terms: they match how the customer talks, funds, and buys the work.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DEB"/>
          <w:left w:val="single" w:sz="6" w:space="0" w:color="D2DDEB"/>
          <w:bottom w:val="single" w:sz="6" w:space="0" w:color="D2DDEB"/>
          <w:right w:val="single" w:sz="6" w:space="0" w:color="D2DDEB"/>
          <w:insideH w:val="single" w:sz="6" w:space="0" w:color="D2DDEB"/>
          <w:insideV w:val="single" w:sz="6" w:space="0" w:color="D2DDEB"/>
        </w:tblBorders>
      </w:tblPr>
      <w:tblGrid>
        <w:gridCol w:w="7128"/>
        <w:gridCol w:w="7128"/>
      </w:tblGrid>
      <w:tr>
        <w:tc>
          <w:tcPr>
            <w:tcW w:type="dxa" w:w="7128"/>
            <w:tcMar>
              <w:top w:w="50" w:type="dxa"/>
              <w:start w:w="80" w:type="dxa"/>
              <w:bottom w:w="50" w:type="dxa"/>
              <w:end w:w="80" w:type="dxa"/>
            </w:tcMar>
            <w:vAlign w:val="top"/>
            <w:shd w:fill="FFFFFF" w:val="clear" w:color="auto"/>
          </w:tcPr>
          <w:p>
            <w:pPr>
              <w:spacing w:after="40" w:before="0"/>
            </w:pPr>
            <w:r>
              <w:rPr>
                <w:b/>
                <w:color w:val="264472"/>
                <w:sz w:val="21"/>
              </w:rPr>
              <w:t>1. Scheduled depot maintenance &amp; repair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Why it exists: the core planned yard-work market.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Internal docs: JFMM organizes CNO-scheduled availabilities such as SRA, DSRA, and overhaul.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Budget / awards: Navy O-1 has 'Ship Depot Maintenance'; awards describe named availabilities as repair, maintenance, and modernization.</w:t>
            </w:r>
          </w:p>
        </w:tc>
        <w:tc>
          <w:tcPr>
            <w:tcW w:type="dxa" w:w="7128"/>
            <w:tcMar>
              <w:top w:w="50" w:type="dxa"/>
              <w:start w:w="80" w:type="dxa"/>
              <w:bottom w:w="50" w:type="dxa"/>
              <w:end w:w="80" w:type="dxa"/>
            </w:tcMar>
            <w:vAlign w:val="top"/>
            <w:shd w:fill="FFFFFF" w:val="clear" w:color="auto"/>
          </w:tcPr>
          <w:p>
            <w:pPr>
              <w:spacing w:after="40" w:before="0"/>
            </w:pPr>
            <w:r>
              <w:rPr>
                <w:b/>
                <w:color w:val="264472"/>
                <w:sz w:val="21"/>
              </w:rPr>
              <w:t>2. Continuous / intermediate / emergent maintenance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Why it exists: same sustainment mission, different rhythm and urgency from depot work.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Internal docs: JFMM separates CMAV and emergent work from CNO availabilities.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Budget / awards: Navy budget splits continuous-maintenance lines; contracts use CMAV and emergent wording.</w:t>
            </w:r>
          </w:p>
        </w:tc>
      </w:tr>
      <w:tr>
        <w:tc>
          <w:tcPr>
            <w:tcW w:type="dxa" w:w="7128"/>
            <w:tcMar>
              <w:top w:w="50" w:type="dxa"/>
              <w:start w:w="80" w:type="dxa"/>
              <w:bottom w:w="50" w:type="dxa"/>
              <w:end w:w="80" w:type="dxa"/>
            </w:tcMar>
            <w:vAlign w:val="top"/>
            <w:shd w:fill="FFFFFF" w:val="clear" w:color="auto"/>
          </w:tcPr>
          <w:p>
            <w:pPr>
              <w:spacing w:after="40" w:before="0"/>
            </w:pPr>
            <w:r>
              <w:rPr>
                <w:b/>
                <w:color w:val="264472"/>
                <w:sz w:val="21"/>
              </w:rPr>
              <w:t>3. Modernization &amp; alteration installation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Why it exists: this work changes configuration or adds capability, not just restores condition.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Internal docs: modification exhibits ask what added capability is delivered and how it will be installed.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Budget / awards: procurement and award language uses modernization, alteration, installation, and DMP.</w:t>
            </w:r>
          </w:p>
        </w:tc>
        <w:tc>
          <w:tcPr>
            <w:tcW w:type="dxa" w:w="7128"/>
            <w:tcMar>
              <w:top w:w="50" w:type="dxa"/>
              <w:start w:w="80" w:type="dxa"/>
              <w:bottom w:w="50" w:type="dxa"/>
              <w:end w:w="80" w:type="dxa"/>
            </w:tcMar>
            <w:vAlign w:val="top"/>
            <w:shd w:fill="FFFFFF" w:val="clear" w:color="auto"/>
          </w:tcPr>
          <w:p>
            <w:pPr>
              <w:spacing w:after="40" w:before="0"/>
            </w:pPr>
            <w:r>
              <w:rPr>
                <w:b/>
                <w:color w:val="264472"/>
                <w:sz w:val="21"/>
              </w:rPr>
              <w:t>4. Major life-cycle events / service-life extension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Why it exists: some events are too large and too special to treat as routine repair.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Internal docs: JFMM treats overhauls as major availabilities; Coast Guard ISVS names MMA and SLEP.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Budget / awards: separate funding and titles appear for RCOH, EOH, MMA, and SLEP.</w:t>
            </w:r>
          </w:p>
        </w:tc>
      </w:tr>
      <w:tr>
        <w:tc>
          <w:tcPr>
            <w:tcW w:type="dxa" w:w="7128"/>
            <w:tcMar>
              <w:top w:w="50" w:type="dxa"/>
              <w:start w:w="80" w:type="dxa"/>
              <w:bottom w:w="50" w:type="dxa"/>
              <w:end w:w="80" w:type="dxa"/>
            </w:tcMar>
            <w:vAlign w:val="top"/>
            <w:shd w:fill="FFFFFF" w:val="clear" w:color="auto"/>
          </w:tcPr>
          <w:p>
            <w:pPr>
              <w:spacing w:after="40" w:before="0"/>
            </w:pPr>
            <w:r>
              <w:rPr>
                <w:b/>
                <w:color w:val="264472"/>
                <w:sz w:val="21"/>
              </w:rPr>
              <w:t>5. Sustainment engineering / planning / obsolescence support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Why it exists: the customer pays separately for the planning and technical work that keeps ships supportable.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Internal docs: Navy and Coast Guard sources use lifecycle, planning, logistics, and technical-support language.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Budget / awards: Navy O-1 has 'Ship Depot Operations Support'; awards use planning, technical, and lifecycle-support wording.</w:t>
            </w:r>
          </w:p>
        </w:tc>
        <w:tc>
          <w:tcPr>
            <w:tcW w:type="dxa" w:w="7128"/>
            <w:tcMar>
              <w:top w:w="50" w:type="dxa"/>
              <w:start w:w="80" w:type="dxa"/>
              <w:bottom w:w="50" w:type="dxa"/>
              <w:end w:w="80" w:type="dxa"/>
            </w:tcMar>
            <w:vAlign w:val="top"/>
            <w:shd w:fill="FFFFFF" w:val="clear" w:color="auto"/>
          </w:tcPr>
          <w:p>
            <w:pPr>
              <w:spacing w:after="40" w:before="0"/>
            </w:pPr>
            <w:r>
              <w:rPr>
                <w:b/>
                <w:color w:val="264472"/>
                <w:sz w:val="21"/>
              </w:rPr>
              <w:t>6. Availability support / husbanding / port services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Why it exists: these services enable the availability but are not the wrench-turning itself.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Internal docs: Coast Guard WISS separates service actions from maintenance actions.</w:t>
            </w:r>
          </w:p>
          <w:p>
            <w:pPr>
              <w:spacing w:before="0" w:after="20" w:line="240" w:lineRule="auto"/>
              <w:ind w:left="230" w:hanging="173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7"/>
              </w:rPr>
              <w:t>Budget / awards: contract and PSC language treat crane, tug, pilot, husbanding, and port support as separate buys.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</w:tblPr>
      <w:tblGrid>
        <w:gridCol w:w="14256"/>
      </w:tblGrid>
      <w:tr>
        <w:tc>
          <w:tcPr>
            <w:tcW w:type="dxa" w:w="14544"/>
            <w:shd w:fill="F4F6F9" w:val="clear" w:color="auto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 these six as the primary TAM buckets. Treat availability type, customer, funding, PSC, nuclear vs. non-nuclear, and CLS as secondary tags rather than top-level categories.</w:t>
            </w:r>
          </w:p>
        </w:tc>
      </w:tr>
    </w:tbl>
    <w:p>
      <w:pPr>
        <w:spacing w:before="20" w:after="0"/>
      </w:pPr>
      <w:r>
        <w:rPr>
          <w:i/>
          <w:color w:val="606060"/>
          <w:sz w:val="15"/>
        </w:rPr>
        <w:t>Source basis: Navy JFMM Vol. II and Vol. VII; Coast Guard WISS and ISVS / Congressional Justification; DoD FY2026 O-1 and P-1 budget exhibits; DoD FMR Vol. 11B, Ch. 13; public Navy ship-maintenance contract awards.</w:t>
      </w:r>
    </w:p>
    <w:sectPr w:rsidR="00FC693F" w:rsidRPr="0006063C" w:rsidSect="00034616">
      <w:pgSz w:w="15840" w:h="12240" w:orient="landscape"/>
      <w:pgMar w:top="504" w:right="648" w:bottom="403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