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p="http://schemas.openxmlformats.org/drawingml/2006/wordprocessingDrawing" xmlns:a="http://schemas.openxmlformats.org/drawingml/2006/main" xmlns:wps="http://schemas.microsoft.com/office/word/2010/wordprocessingShape" xmlns:wpg="http://schemas.microsoft.com/office/word/2010/wordprocessingGroup" mc:Ignorable="w14">
  <w:body>
    <w:p>
      <w:pPr>
        <w:pStyle w:val="Heading1"/>
        <w:pBdr>
          <w:bottom w:val="single" w:sz="12" w:space="2" w:color="7F7F7F"/>
        </w:pBdr>
      </w:pPr>
      <w:r>
        <w:rPr>
          <w:color w:val="000000"/>
        </w:rPr>
        <w:t xml:space="preserve">How We Size the Outsourcing Ceiling</w:t>
      </w:r>
    </w:p>
    <w:p>
      <w:pPr>
        <w:pStyle w:val="Body"/>
      </w:pPr>
      <w:r>
        <w:rPr>
          <w:rStyle w:val="Strong"/>
        </w:rPr>
        <w:t xml:space="preserve">In plain terms: </w:t>
      </w:r>
      <w:r>
        <w:t xml:space="preserve">the ceiling is the most of a ship's new-construction work that could, in theory, be bought from outside suppliers instead of done inside the prime shipyard — if the only work that truly has to stay in the yard is final assembly, integration, and test. This page explains, from the top, how we put a number on that ceiling, why we had to build it up from two sourced figures rather than read it off a budget line, and what it comes out to.</w:t>
      </w:r>
    </w:p>
    <w:p>
      <w:pPr>
        <w:pStyle w:val="Heading2"/>
        <w:pBdr>
          <w:bottom w:val="single" w:sz="6" w:space="2" w:color="BFBFBF"/>
        </w:pBdr>
      </w:pPr>
      <w:r>
        <w:rPr>
          <w:color w:val="000000"/>
        </w:rPr>
        <w:t xml:space="preserve">Where this fits in the distributed shipbuilding project</w:t>
      </w:r>
    </w:p>
    <w:p>
      <w:pPr>
        <w:pStyle w:val="Body"/>
      </w:pPr>
      <w:r>
        <w:t xml:space="preserve">The wider project asks one question: how much of the work of building the Navy's warships is moving away from the prime shipyards and out to a distributed base of suppliers — and how big an opening that creates for a new entrant. The work splits in two:</w:t>
      </w:r>
    </w:p>
    <w:p>
      <w:pPr>
        <w:pStyle w:val="ListBody"/>
        <w:tabs>
          <w:tab w:val="left" w:pos="720"/>
        </w:tabs>
        <w:spacing w:after="40" w:line="240" w:lineRule="auto"/>
        <w:ind w:left="720" w:hanging="360"/>
      </w:pPr>
      <w:r>
        <w:t xml:space="preserve">•</w:t>
        <w:tab/>
      </w:r>
      <w:r>
        <w:rPr>
          <w:rStyle w:val="Strong"/>
        </w:rPr>
        <w:t xml:space="preserve">Looking back — what is already outsourced.</w:t>
      </w:r>
      <w:r>
        <w:t xml:space="preserve"> A separate Award Analysis workbook reads the supplier records to map the work the shipbuilders already buy from outside: who wins it, how concentrated it is, and when it comes up to be bought again.</w:t>
      </w:r>
    </w:p>
    <w:p>
      <w:pPr>
        <w:pStyle w:val="ListBody"/>
        <w:tabs>
          <w:tab w:val="left" w:pos="720"/>
        </w:tabs>
        <w:spacing w:after="120" w:line="240" w:lineRule="auto"/>
        <w:ind w:left="720" w:hanging="360"/>
      </w:pPr>
      <w:r>
        <w:t xml:space="preserve">•</w:t>
        <w:tab/>
      </w:r>
      <w:r>
        <w:rPr>
          <w:rStyle w:val="Strong"/>
        </w:rPr>
        <w:t xml:space="preserve">Looking forward — how much more could move.</w:t>
      </w:r>
      <w:r>
        <w:t xml:space="preserve"> That is this workbook. It puts an upper bound on outsourcing — the largest share of a ship's build that could, in principle, leave the prime yard.</w:t>
      </w:r>
    </w:p>
    <w:p>
      <w:pPr>
        <w:pStyle w:val="Body"/>
      </w:pPr>
      <w:r>
        <w:t xml:space="preserve">The two meet at this page's headline read: the opening is the gap between what is distributed today — the share already built away from the prime yard — and the structural ceiling above it. This workbook sizes that ceiling, and so the headroom still on the table.</w:t>
      </w:r>
    </w:p>
    <w:p>
      <w:pPr>
        <w:pStyle w:val="Heading2"/>
        <w:pBdr>
          <w:bottom w:val="single" w:sz="6" w:space="2" w:color="BFBFBF"/>
        </w:pBdr>
      </w:pPr>
      <w:r>
        <w:rPr>
          <w:color w:val="000000"/>
        </w:rPr>
        <w:t xml:space="preserve">The question in one sentence</w:t>
      </w:r>
    </w:p>
    <w:p>
      <w:pPr>
        <w:pStyle w:val="Body"/>
      </w:pPr>
      <w:r>
        <w:rPr>
          <w:rStyle w:val="Strong"/>
        </w:rPr>
        <w:t xml:space="preserve">How much higher could outsourcing go? </w:t>
      </w:r>
      <w:r>
        <w:t xml:space="preserve">Today a known share of each ship's build already happens away from the prime yard. The question is not what that share is now — it is how high it could climb before it runs into the work that physically cannot leave the yard.</w:t>
      </w:r>
    </w:p>
    <w:p>
      <w:pPr>
        <w:pStyle w:val="Heading2"/>
        <w:pBdr>
          <w:bottom w:val="single" w:sz="6" w:space="2" w:color="BFBFBF"/>
        </w:pBdr>
      </w:pPr>
      <w:r>
        <w:rPr>
          <w:color w:val="000000"/>
        </w:rPr>
        <w:t xml:space="preserve">The breakthrough: build the ceiling, don't look it up</w:t>
      </w:r>
    </w:p>
    <w:p>
      <w:pPr>
        <w:pStyle w:val="Body"/>
      </w:pPr>
      <w:r>
        <w:t xml:space="preserve">The obvious move would be to find an official figure for “assembly work that must stay” versus “work that could be outsourced.” Two facts forced a different approach:</w:t>
      </w:r>
    </w:p>
    <w:p>
      <w:pPr>
        <w:pStyle w:val="ListBody"/>
        <w:tabs>
          <w:tab w:val="left" w:pos="720"/>
        </w:tabs>
        <w:spacing w:after="40" w:line="240" w:lineRule="auto"/>
        <w:ind w:left="720" w:hanging="360"/>
      </w:pPr>
      <w:r>
        <w:t xml:space="preserve">•</w:t>
        <w:tab/>
      </w:r>
      <w:r>
        <w:rPr>
          <w:rStyle w:val="Strong"/>
        </w:rPr>
        <w:t xml:space="preserve">The clean line does not exist.</w:t>
      </w:r>
      <w:r>
        <w:t xml:space="preserve"> The budget lumps the whole hull-and-structure build into one line; it never splits labor from materials, or “assembly” from “parts you could buy elsewhere.” The Pentagon's own budget rules and the shipbuilders' annual reports confirm the split simply is not published.</w:t>
      </w:r>
    </w:p>
    <w:p>
      <w:pPr>
        <w:pStyle w:val="ListBody"/>
        <w:tabs>
          <w:tab w:val="left" w:pos="720"/>
        </w:tabs>
        <w:spacing w:after="120" w:line="240" w:lineRule="auto"/>
        <w:ind w:left="720" w:hanging="360"/>
      </w:pPr>
      <w:r>
        <w:t xml:space="preserve">•</w:t>
        <w:tab/>
      </w:r>
      <w:r>
        <w:rPr>
          <w:rStyle w:val="Strong"/>
        </w:rPr>
        <w:t xml:space="preserve">Today's number is the floor, not the ceiling.</w:t>
      </w:r>
      <w:r>
        <w:t xml:space="preserve"> The share already performed away from the prime yard (Virginia 34%, Columbia 22%, DDG-51 about 13%) is the announced place of performance — where the work happens today, which is not the same as work contracted out to suppliers. Using it as the ceiling would assume away the very growth we are trying to size — so it becomes the starting floor, and the ceiling has to come from somewhere else.</w:t>
      </w:r>
    </w:p>
    <w:p>
      <w:pPr>
        <w:pStyle w:val="Body"/>
      </w:pPr>
      <w:r>
        <w:t xml:space="preserve">So instead of looking the ceiling up, we </w:t>
      </w:r>
      <w:r>
        <w:rPr>
          <w:rStyle w:val="Strong"/>
        </w:rPr>
        <w:t xml:space="preserve">build it</w:t>
      </w:r>
      <w:r>
        <w:t xml:space="preserve"> from two numbers that </w:t>
      </w:r>
      <w:r>
        <w:rPr>
          <w:rStyle w:val="Strong"/>
        </w:rPr>
        <w:t xml:space="preserve">are</w:t>
      </w:r>
      <w:r>
        <w:t xml:space="preserve"> published and citable. The rest of this page is those two numbers and the simple arithmetic that turns them into a ceiling.</w:t>
      </w:r>
    </w:p>
    <w:p>
      <w:pPr>
        <w:pStyle w:val="Heading2"/>
        <w:pBdr>
          <w:bottom w:val="single" w:sz="6" w:space="2" w:color="BFBFBF"/>
        </w:pBdr>
      </w:pPr>
      <w:r>
        <w:rPr>
          <w:color w:val="000000"/>
        </w:rPr>
        <w:t xml:space="preserve">Start with the basics: what is “Basic Construction”?</w:t>
      </w:r>
    </w:p>
    <w:p>
      <w:pPr>
        <w:pStyle w:val="Body"/>
      </w:pPr>
      <w:r>
        <w:t xml:space="preserve">When the Navy buys a ship, the largest single piece of the price is a budget line usually called Basic Construction — the shipbuilder-side labor and the material the yard itself buys to build and assemble the ship. It does not include government-furnished gear like the combat system or, on the submarines, the reactor; those are bought separately. Everything in this analysis is measured as a share of that Basic Construction line — not of the ship's total cost — because that is the work a shipbuilder can choose to do in-house or send out.</w:t>
      </w:r>
    </w:p>
    <w:p>
      <w:pPr>
        <w:pStyle w:val="Heading2"/>
        <w:pBdr>
          <w:bottom w:val="single" w:sz="6" w:space="2" w:color="BFBFBF"/>
        </w:pBdr>
      </w:pPr>
      <w:r>
        <w:rPr>
          <w:color w:val="000000"/>
        </w:rPr>
        <w:t xml:space="preserve">The two numbers that do the work</w:t>
      </w:r>
    </w:p>
    <w:p>
      <w:pPr>
        <w:pStyle w:val="Body"/>
      </w:pPr>
      <w:r>
        <w:t xml:space="preserve">The whole estimate rests on two sourced figures. Both describe the build as shares, so they travel across programs and dollar years:</w:t>
      </w:r>
    </w:p>
    <w:p>
      <w:pPr>
        <w:pStyle w:val="ListBody"/>
        <w:tabs>
          <w:tab w:val="left" w:pos="720"/>
        </w:tabs>
        <w:spacing w:after="40" w:line="240" w:lineRule="auto"/>
        <w:ind w:left="720" w:hanging="360"/>
      </w:pPr>
      <w:r>
        <w:t xml:space="preserve">•</w:t>
        <w:tab/>
      </w:r>
      <w:r>
        <w:rPr>
          <w:rStyle w:val="Strong"/>
        </w:rPr>
        <w:t xml:space="preserve">How much labor can leave the yard (we call it h).</w:t>
      </w:r>
      <w:r>
        <w:t xml:space="preserve"> The Navy's submarine program executive has said roughly half the labor hours to build a Virginia-class boat can be done outside the prime yard — the planned ramp from about two million to five million supplier hours a year. So about 50% of the labor hours are movable.</w:t>
      </w:r>
    </w:p>
    <w:p>
      <w:pPr>
        <w:pStyle w:val="ListBody"/>
        <w:tabs>
          <w:tab w:val="left" w:pos="720"/>
        </w:tabs>
        <w:spacing w:after="120" w:line="240" w:lineRule="auto"/>
        <w:ind w:left="720" w:hanging="360"/>
      </w:pPr>
      <w:r>
        <w:t xml:space="preserve">•</w:t>
        <w:tab/>
      </w:r>
      <w:r>
        <w:rPr>
          <w:rStyle w:val="Strong"/>
        </w:rPr>
        <w:t xml:space="preserve">How much of the build is labor in the first place (we call it L).</w:t>
      </w:r>
      <w:r>
        <w:t xml:space="preserve"> Congressional Research Service testimony puts shipyard labor at roughly 40% of a ship's total cost, and an independent cost index puts it in the same 40-to-48% range. Because that 40% is measured against the ship's whole price — including the government-furnished gear — labor's share of just the Basic Construction line is higher. Basic Construction is about 65% of total ship cost across the portfolio, so if all of that 40% sat inside it labor would be about 61% of Basic Construction — which we haircut to about 50% for the submarines and 45% for the destroyer.</w:t>
      </w:r>
    </w:p>
    <w:p>
      <w:pPr>
        <w:pStyle w:val="Body"/>
      </w:pPr>
      <w:r>
        <w:rPr>
          <w:rStyle w:val="Strong"/>
        </w:rPr>
        <w:t xml:space="preserve">Why this matters: </w:t>
      </w:r>
      <w:r>
        <w:t xml:space="preserve">the planned five-million supplier hours are about half the Virginia labor base, which puts today's roughly two-million supplier hours at about a fifth of it. That is the capacity-relief story in one line — supplier labor moving from about 20% toward about 50% of the hours, a jump of roughly two-and-a-half times.</w:t>
      </w:r>
    </w:p>
    <w:p>
      <w:pPr>
        <w:pStyle w:val="Heading2"/>
        <w:pBdr>
          <w:bottom w:val="single" w:sz="6" w:space="2" w:color="BFBFBF"/>
        </w:pBdr>
      </w:pPr>
      <w:r>
        <w:rPr>
          <w:color w:val="000000"/>
        </w:rPr>
        <w:t xml:space="preserve">The idea in one line: core vs. ceiling</w:t>
      </w:r>
    </w:p>
    <w:p>
      <w:pPr>
        <w:pStyle w:val="Body"/>
      </w:pPr>
      <w:r>
        <w:t xml:space="preserve">Picture the Basic Construction build as a whole. Part of it is work that has to stay in the prime yard no matter what — final assembly, integration, and test. Call that the core. The ceiling is simply everything that is not core:</w:t>
      </w:r>
    </w:p>
    <w:p>
      <w:pPr>
        <w:pStyle w:val="ListBody"/>
        <w:tabs>
          <w:tab w:val="left" w:pos="720"/>
        </w:tabs>
        <w:spacing w:after="40" w:line="240" w:lineRule="auto"/>
        <w:ind w:left="720" w:hanging="360"/>
      </w:pPr>
      <w:r>
        <w:t xml:space="preserve">•</w:t>
        <w:tab/>
      </w:r>
      <w:r>
        <w:rPr>
          <w:rStyle w:val="Strong"/>
        </w:rPr>
        <w:t xml:space="preserve">Core</w:t>
      </w:r>
      <w:r>
        <w:t xml:space="preserve"> = the labor share that stays put = </w:t>
      </w:r>
      <w:r>
        <w:rPr>
          <w:rStyle w:val="Strong"/>
        </w:rPr>
        <w:t xml:space="preserve">labor share × the part of labor that cannot leave</w:t>
      </w:r>
      <w:r>
        <w:t xml:space="preserve">.</w:t>
      </w:r>
    </w:p>
    <w:p>
      <w:pPr>
        <w:pStyle w:val="ListBody"/>
        <w:tabs>
          <w:tab w:val="left" w:pos="720"/>
        </w:tabs>
        <w:spacing w:after="120" w:line="240" w:lineRule="auto"/>
        <w:ind w:left="720" w:hanging="360"/>
      </w:pPr>
      <w:r>
        <w:t xml:space="preserve">•</w:t>
        <w:tab/>
      </w:r>
      <w:r>
        <w:rPr>
          <w:rStyle w:val="Strong"/>
        </w:rPr>
        <w:t xml:space="preserve">Ceiling</w:t>
      </w:r>
      <w:r>
        <w:t xml:space="preserve"> = everything else = </w:t>
      </w:r>
      <w:r>
        <w:rPr>
          <w:rStyle w:val="Strong"/>
        </w:rPr>
        <w:t xml:space="preserve">100% minus the core</w:t>
      </w:r>
      <w:r>
        <w:t xml:space="preserve">.</w:t>
      </w:r>
    </w:p>
    <w:p>
      <w:pPr>
        <w:pStyle w:val="Body"/>
      </w:pPr>
      <w:r>
        <w:t xml:space="preserve">That is the entire model. Two sourced numbers go in; a core and a ceiling come out, for each ship class and for the portfolio as a whole.</w:t>
      </w:r>
    </w:p>
    <w:p>
      <w:pPr>
        <w:pStyle w:val="Heading2"/>
        <w:pBdr>
          <w:bottom w:val="single" w:sz="6" w:space="2" w:color="BFBFBF"/>
        </w:pBdr>
      </w:pPr>
      <w:r>
        <w:rPr>
          <w:color w:val="000000"/>
        </w:rPr>
        <w:t xml:space="preserve">From hours to dollars</w:t>
      </w:r>
    </w:p>
    <w:p>
      <w:pPr>
        <w:pStyle w:val="Body"/>
      </w:pPr>
      <w:r>
        <w:t xml:space="preserve">The two numbers above are about hours, but the answer people want is in dollars. The bridge adds the materials side back in. Outsourced dollars are the sum of two flows:</w:t>
      </w:r>
    </w:p>
    <w:p>
      <w:pPr>
        <w:pStyle w:val="ListBody"/>
        <w:tabs>
          <w:tab w:val="left" w:pos="720"/>
        </w:tabs>
        <w:spacing w:after="40" w:line="240" w:lineRule="auto"/>
        <w:ind w:left="720" w:hanging="360"/>
      </w:pPr>
      <w:r>
        <w:t xml:space="preserve">1.</w:t>
        <w:tab/>
      </w:r>
      <w:r>
        <w:t xml:space="preserve">The prime-yard labor that relocates to suppliers — the movable hours turned into dollars.</w:t>
      </w:r>
    </w:p>
    <w:p>
      <w:pPr>
        <w:pStyle w:val="ListBody"/>
        <w:tabs>
          <w:tab w:val="left" w:pos="720"/>
        </w:tabs>
        <w:spacing w:after="120" w:line="240" w:lineRule="auto"/>
        <w:ind w:left="720" w:hanging="360"/>
      </w:pPr>
      <w:r>
        <w:t xml:space="preserve">2.</w:t>
        <w:tab/>
      </w:r>
      <w:r>
        <w:t xml:space="preserve">The parts and materials bought from outside — a share of the non-labor half of the build, set by how much of that material is genuinely up for grabs rather than locked to a single source.</w:t>
      </w:r>
    </w:p>
    <w:p>
      <w:pPr>
        <w:pStyle w:val="Body"/>
      </w:pPr>
      <w:r>
        <w:t xml:space="preserve">That second flow is a dial. Turned all the way up — every outsourced package carrying its own material — it gives the headline ceiling, about three-quarters of the build. Turned off, it gives the labor-only reading, about a quarter. The working case sets it about halfway, which lands the outsourced share near half of Basic Construction. The ceiling on this page is the dial-all-the-way-up number, because for sizing a supplier opportunity the bought-in material is part of the prize.</w:t>
      </w:r>
    </w:p>
    <w:p>
      <w:pPr>
        <w:pStyle w:val="Body"/>
      </w:pPr>
      <w:r>
        <w:t xml:space="preserve">Put precisely, that dial — call it </w:t>
      </w:r>
      <w:r>
        <w:rPr>
          <w:rStyle w:val="Strong"/>
        </w:rPr>
        <w:t xml:space="preserve">p</w:t>
      </w:r>
      <w:r>
        <w:t xml:space="preserve">, the share of an outsourced package's material that travels out with the work — gives three reads of the same build, not one:</w:t>
      </w:r>
    </w:p>
    <w:p>
      <w:pPr>
        <w:pStyle w:val="ListBody"/>
        <w:tabs>
          <w:tab w:val="left" w:pos="720"/>
        </w:tabs>
        <w:spacing w:after="40" w:line="240" w:lineRule="auto"/>
        <w:ind w:left="720" w:hanging="360"/>
      </w:pPr>
      <w:r>
        <w:t xml:space="preserve">•</w:t>
        <w:tab/>
      </w:r>
      <w:r>
        <w:rPr>
          <w:rStyle w:val="Strong"/>
        </w:rPr>
        <w:t xml:space="preserve">Labor-only (p = 0). </w:t>
      </w:r>
      <w:r>
        <w:t xml:space="preserve">Only the movable labor counts, so the outsourced share is h × L — about a quarter of Basic Construction.</w:t>
      </w:r>
    </w:p>
    <w:p>
      <w:pPr>
        <w:pStyle w:val="ListBody"/>
        <w:tabs>
          <w:tab w:val="left" w:pos="720"/>
        </w:tabs>
        <w:spacing w:after="40" w:line="240" w:lineRule="auto"/>
        <w:ind w:left="720" w:hanging="360"/>
      </w:pPr>
      <w:r>
        <w:t xml:space="preserve">•</w:t>
        <w:tab/>
      </w:r>
      <w:r>
        <w:rPr>
          <w:rStyle w:val="Strong"/>
        </w:rPr>
        <w:t xml:space="preserve">Selected case (p ≈ 50%). </w:t>
      </w:r>
      <w:r>
        <w:t xml:space="preserve">The packages also carry about half of their own material, so the share is h × L + p × (1 - L) — about half the build.</w:t>
      </w:r>
    </w:p>
    <w:p>
      <w:pPr>
        <w:pStyle w:val="ListBody"/>
        <w:tabs>
          <w:tab w:val="left" w:pos="720"/>
        </w:tabs>
        <w:spacing w:after="120" w:line="240" w:lineRule="auto"/>
        <w:ind w:left="720" w:hanging="360"/>
      </w:pPr>
      <w:r>
        <w:t xml:space="preserve">•</w:t>
        <w:tab/>
      </w:r>
      <w:r>
        <w:rPr>
          <w:rStyle w:val="Strong"/>
        </w:rPr>
        <w:t xml:space="preserve">Structural ceiling (p = 100%). </w:t>
      </w:r>
      <w:r>
        <w:t xml:space="preserve">The packages carry all of their non-labor content, so the share is 1 - L × (1 - h) — the headline ceiling, about three-quarters.</w:t>
      </w:r>
    </w:p>
    <w:p>
      <w:pPr>
        <w:pStyle w:val="Body"/>
      </w:pPr>
      <w:r>
        <w:t xml:space="preserve">The reason 50% of movable hours does not mean 50% of dollars is in that second term: hours and materials enter the total separately, so the dollar share tracks p, not the hours figure alone. Either way, the ceiling on this page is the p = 100% upper bound, while the p ≈ 50% selected case is the more conservative working number.</w:t>
      </w:r>
    </w:p>
    <w:p>
      <w:pPr>
        <w:pStyle w:val="Heading2"/>
        <w:pBdr>
          <w:bottom w:val="single" w:sz="6" w:space="2" w:color="BFBFBF"/>
        </w:pBdr>
      </w:pPr>
      <w:r>
        <w:rPr>
          <w:color w:val="000000"/>
        </w:rPr>
        <w:t xml:space="preserve">What we found</w:t>
      </w:r>
    </w:p>
    <w:p>
      <w:pPr>
        <w:pStyle w:val="Body"/>
      </w:pPr>
      <w:r>
        <w:t xml:space="preserve">Run the two sourced numbers through the model and the ceiling lands near three-quarters of Basic Construction on every program — roughly three times today's outsourced share, with the selected working case near half:</w:t>
      </w:r>
    </w:p>
    <w:p>
      <w:pPr>
        <w:pStyle w:val="Caption"/>
        <w:keepNext/>
      </w:pPr>
      <w:r>
        <w:rPr>
          <w:color w:val="000000"/>
        </w:rPr>
        <w:t xml:space="preserve">Table 1. The core, the selected case, and the ceiling, by program</w:t>
      </w:r>
    </w:p>
    <w:tbl>
      <w:tblPr>
        <w:tblStyle w:val="RuleTable"/>
        <w:tblW w:w="5000" w:type="pct"/>
        <w:tblLook w:val="04A0" w:firstRow="1" w:lastRow="0" w:firstColumn="0" w:lastColumn="0" w:noHBand="0" w:noVBand="1"/>
      </w:tblPr>
      <w:tblGrid>
        <w:gridCol w:w="1872"/>
        <w:gridCol w:w="1872"/>
        <w:gridCol w:w="1872"/>
        <w:gridCol w:w="1872"/>
        <w:gridCol w:w="1872"/>
      </w:tblGrid>
      <w:tr>
        <w:trPr>
          <w:cantSplit/>
          <w:tblHeader/>
        </w:trPr>
        <w:tc>
          <w:tcPr>
            <w:tcW w:w="0" w:type="auto"/>
          </w:tcPr>
          <w:p>
            <w:pPr>
              <w:pStyle w:val="Body"/>
            </w:pPr>
            <w:r>
              <w:t xml:space="preserve">Program</w:t>
            </w:r>
          </w:p>
        </w:tc>
        <w:tc>
          <w:tcPr>
            <w:tcW w:w="0" w:type="auto"/>
          </w:tcPr>
          <w:p>
            <w:pPr>
              <w:pStyle w:val="Body"/>
            </w:pPr>
            <w:r>
              <w:t xml:space="preserve">Must stay (core)</w:t>
            </w:r>
          </w:p>
        </w:tc>
        <w:tc>
          <w:tcPr>
            <w:tcW w:w="0" w:type="auto"/>
          </w:tcPr>
          <w:p>
            <w:pPr>
              <w:pStyle w:val="Body"/>
            </w:pPr>
            <w:r>
              <w:t xml:space="preserve">Selected case (p=50%)</w:t>
            </w:r>
          </w:p>
        </w:tc>
        <w:tc>
          <w:tcPr>
            <w:tcW w:w="0" w:type="auto"/>
          </w:tcPr>
          <w:p>
            <w:pPr>
              <w:pStyle w:val="Body"/>
            </w:pPr>
            <w:r>
              <w:t xml:space="preserve">Ceiling (p=100%)</w:t>
            </w:r>
          </w:p>
        </w:tc>
        <w:tc>
          <w:tcPr>
            <w:tcW w:w="0" w:type="auto"/>
          </w:tcPr>
          <w:p>
            <w:pPr>
              <w:pStyle w:val="Body"/>
            </w:pPr>
            <w:r>
              <w:t xml:space="preserve">vs. today</w:t>
            </w:r>
          </w:p>
        </w:tc>
      </w:tr>
      <w:tr>
        <w:trPr>
          <w:cantSplit/>
        </w:trPr>
        <w:tc>
          <w:tcPr>
            <w:tcW w:w="0" w:type="auto"/>
          </w:tcPr>
          <w:p>
            <w:pPr>
              <w:pStyle w:val="Body"/>
            </w:pPr>
            <w:r>
              <w:t xml:space="preserve">Virginia</w:t>
            </w:r>
          </w:p>
        </w:tc>
        <w:tc>
          <w:tcPr>
            <w:tcW w:w="0" w:type="auto"/>
          </w:tcPr>
          <w:p>
            <w:pPr>
              <w:pStyle w:val="Body"/>
            </w:pPr>
            <w:r>
              <w:t xml:space="preserve">25%</w:t>
            </w:r>
          </w:p>
        </w:tc>
        <w:tc>
          <w:tcPr>
            <w:tcW w:w="0" w:type="auto"/>
          </w:tcPr>
          <w:p>
            <w:pPr>
              <w:pStyle w:val="Body"/>
            </w:pPr>
            <w:r>
              <w:t xml:space="preserve">50%</w:t>
            </w:r>
          </w:p>
        </w:tc>
        <w:tc>
          <w:tcPr>
            <w:tcW w:w="0" w:type="auto"/>
          </w:tcPr>
          <w:p>
            <w:pPr>
              <w:pStyle w:val="Body"/>
            </w:pPr>
            <w:r>
              <w:t xml:space="preserve">75%</w:t>
            </w:r>
          </w:p>
        </w:tc>
        <w:tc>
          <w:tcPr>
            <w:tcW w:w="0" w:type="auto"/>
          </w:tcPr>
          <w:p>
            <w:pPr>
              <w:pStyle w:val="Body"/>
            </w:pPr>
            <w:r>
              <w:t xml:space="preserve">about 2.2x</w:t>
            </w:r>
          </w:p>
        </w:tc>
      </w:tr>
      <w:tr>
        <w:trPr>
          <w:cantSplit/>
        </w:trPr>
        <w:tc>
          <w:tcPr>
            <w:tcW w:w="0" w:type="auto"/>
          </w:tcPr>
          <w:p>
            <w:pPr>
              <w:pStyle w:val="Body"/>
            </w:pPr>
            <w:r>
              <w:t xml:space="preserve">Columbia</w:t>
            </w:r>
          </w:p>
        </w:tc>
        <w:tc>
          <w:tcPr>
            <w:tcW w:w="0" w:type="auto"/>
          </w:tcPr>
          <w:p>
            <w:pPr>
              <w:pStyle w:val="Body"/>
            </w:pPr>
            <w:r>
              <w:t xml:space="preserve">25%</w:t>
            </w:r>
          </w:p>
        </w:tc>
        <w:tc>
          <w:tcPr>
            <w:tcW w:w="0" w:type="auto"/>
          </w:tcPr>
          <w:p>
            <w:pPr>
              <w:pStyle w:val="Body"/>
            </w:pPr>
            <w:r>
              <w:t xml:space="preserve">50%</w:t>
            </w:r>
          </w:p>
        </w:tc>
        <w:tc>
          <w:tcPr>
            <w:tcW w:w="0" w:type="auto"/>
          </w:tcPr>
          <w:p>
            <w:pPr>
              <w:pStyle w:val="Body"/>
            </w:pPr>
            <w:r>
              <w:t xml:space="preserve">75%</w:t>
            </w:r>
          </w:p>
        </w:tc>
        <w:tc>
          <w:tcPr>
            <w:tcW w:w="0" w:type="auto"/>
          </w:tcPr>
          <w:p>
            <w:pPr>
              <w:pStyle w:val="Body"/>
            </w:pPr>
            <w:r>
              <w:t xml:space="preserve">about 3.4x</w:t>
            </w:r>
          </w:p>
        </w:tc>
      </w:tr>
      <w:tr>
        <w:trPr>
          <w:cantSplit/>
        </w:trPr>
        <w:tc>
          <w:tcPr>
            <w:tcW w:w="0" w:type="auto"/>
          </w:tcPr>
          <w:p>
            <w:pPr>
              <w:pStyle w:val="Body"/>
            </w:pPr>
            <w:r>
              <w:t xml:space="preserve">DDG-51</w:t>
            </w:r>
          </w:p>
        </w:tc>
        <w:tc>
          <w:tcPr>
            <w:tcW w:w="0" w:type="auto"/>
          </w:tcPr>
          <w:p>
            <w:pPr>
              <w:pStyle w:val="Body"/>
            </w:pPr>
            <w:r>
              <w:t xml:space="preserve">20%</w:t>
            </w:r>
          </w:p>
        </w:tc>
        <w:tc>
          <w:tcPr>
            <w:tcW w:w="0" w:type="auto"/>
          </w:tcPr>
          <w:p>
            <w:pPr>
              <w:pStyle w:val="Body"/>
            </w:pPr>
            <w:r>
              <w:t xml:space="preserve">52%</w:t>
            </w:r>
          </w:p>
        </w:tc>
        <w:tc>
          <w:tcPr>
            <w:tcW w:w="0" w:type="auto"/>
          </w:tcPr>
          <w:p>
            <w:pPr>
              <w:pStyle w:val="Body"/>
            </w:pPr>
            <w:r>
              <w:t xml:space="preserve">80%</w:t>
            </w:r>
          </w:p>
        </w:tc>
        <w:tc>
          <w:tcPr>
            <w:tcW w:w="0" w:type="auto"/>
          </w:tcPr>
          <w:p>
            <w:pPr>
              <w:pStyle w:val="Body"/>
            </w:pPr>
            <w:r>
              <w:t xml:space="preserve">about 6.1x</w:t>
            </w:r>
          </w:p>
        </w:tc>
      </w:tr>
      <w:tr>
        <w:trPr>
          <w:cantSplit/>
        </w:trPr>
        <w:tc>
          <w:tcPr>
            <w:tcW w:w="0" w:type="auto"/>
          </w:tcPr>
          <w:p>
            <w:pPr>
              <w:pStyle w:val="Body"/>
            </w:pPr>
            <w:r>
              <w:t xml:space="preserve">Portfolio</w:t>
            </w:r>
          </w:p>
        </w:tc>
        <w:tc>
          <w:tcPr>
            <w:tcW w:w="0" w:type="auto"/>
          </w:tcPr>
          <w:p>
            <w:pPr>
              <w:pStyle w:val="Body"/>
            </w:pPr>
            <w:r>
              <w:t xml:space="preserve">24%</w:t>
            </w:r>
          </w:p>
        </w:tc>
        <w:tc>
          <w:tcPr>
            <w:tcW w:w="0" w:type="auto"/>
          </w:tcPr>
          <w:p>
            <w:pPr>
              <w:pStyle w:val="Body"/>
            </w:pPr>
            <w:r>
              <w:t xml:space="preserve">51%</w:t>
            </w:r>
          </w:p>
        </w:tc>
        <w:tc>
          <w:tcPr>
            <w:tcW w:w="0" w:type="auto"/>
          </w:tcPr>
          <w:p>
            <w:pPr>
              <w:pStyle w:val="Body"/>
            </w:pPr>
            <w:r>
              <w:t xml:space="preserve">76%</w:t>
            </w:r>
          </w:p>
        </w:tc>
        <w:tc>
          <w:tcPr>
            <w:tcW w:w="0" w:type="auto"/>
          </w:tcPr>
          <w:p>
            <w:pPr>
              <w:pStyle w:val="Body"/>
            </w:pPr>
            <w:r>
              <w:t xml:space="preserve">about 3.0x</w:t>
            </w:r>
          </w:p>
        </w:tc>
      </w:tr>
    </w:tbl>
    <w:p>
      <w:pPr>
        <w:pStyle w:val="Body"/>
      </w:pPr>
      <w:r>
        <w:rPr>
          <w:rStyle w:val="Strong"/>
        </w:rPr>
        <w:t xml:space="preserve">The punchline: </w:t>
      </w:r>
      <w:r>
        <w:t xml:space="preserve">the nuclear submarines carry the bigger must-stay core (25% vs. the destroyer's 20%) — the nuclear integration and test work keeps more locked inside the yard — yet even they could roughly double or triple what they outsource today.</w:t>
      </w:r>
    </w:p>
    <w:p>
      <w:pPr>
        <w:pStyle w:val="Heading2"/>
        <w:pBdr>
          <w:bottom w:val="single" w:sz="6" w:space="2" w:color="BFBFBF"/>
        </w:pBdr>
      </w:pPr>
      <w:r>
        <w:rPr>
          <w:color w:val="000000"/>
        </w:rPr>
        <w:t xml:space="preserve">Where the numbers come from</w:t>
      </w:r>
    </w:p>
    <w:p>
      <w:pPr>
        <w:pStyle w:val="Body"/>
      </w:pPr>
      <w:r>
        <w:t xml:space="preserve">Only a handful of figures drive the whole estimate, and each traces to a named, public source. The rest of the workbook is arithmetic on top of these:</w:t>
      </w:r>
    </w:p>
    <w:p>
      <w:pPr>
        <w:pStyle w:val="Caption"/>
        <w:keepNext/>
      </w:pPr>
      <w:r>
        <w:rPr>
          <w:color w:val="000000"/>
        </w:rPr>
        <w:t xml:space="preserve">Table 2. The sourced inputs, and where each comes from</w:t>
      </w:r>
    </w:p>
    <w:tbl>
      <w:tblPr>
        <w:tblStyle w:val="RuleTable"/>
        <w:tblW w:w="5000" w:type="pct"/>
        <w:tblLook w:val="04A0" w:firstRow="1" w:lastRow="0" w:firstColumn="0" w:lastColumn="0" w:noHBand="0" w:noVBand="1"/>
      </w:tblPr>
      <w:tblGrid>
        <w:gridCol w:w="3120"/>
        <w:gridCol w:w="3120"/>
        <w:gridCol w:w="3120"/>
      </w:tblGrid>
      <w:tr>
        <w:trPr>
          <w:cantSplit/>
          <w:tblHeader/>
        </w:trPr>
        <w:tc>
          <w:tcPr>
            <w:tcW w:w="0" w:type="auto"/>
          </w:tcPr>
          <w:p>
            <w:pPr>
              <w:pStyle w:val="Body"/>
            </w:pPr>
            <w:r>
              <w:t xml:space="preserve">Number</w:t>
            </w:r>
          </w:p>
        </w:tc>
        <w:tc>
          <w:tcPr>
            <w:tcW w:w="0" w:type="auto"/>
          </w:tcPr>
          <w:p>
            <w:pPr>
              <w:pStyle w:val="Body"/>
            </w:pPr>
            <w:r>
              <w:t xml:space="preserve">What it means</w:t>
            </w:r>
          </w:p>
        </w:tc>
        <w:tc>
          <w:tcPr>
            <w:tcW w:w="0" w:type="auto"/>
          </w:tcPr>
          <w:p>
            <w:pPr>
              <w:pStyle w:val="Body"/>
            </w:pPr>
            <w:r>
              <w:t xml:space="preserve">Where it comes from</w:t>
            </w:r>
          </w:p>
        </w:tc>
      </w:tr>
      <w:tr>
        <w:trPr>
          <w:cantSplit/>
        </w:trPr>
        <w:tc>
          <w:tcPr>
            <w:tcW w:w="0" w:type="auto"/>
          </w:tcPr>
          <w:p>
            <w:pPr>
              <w:pStyle w:val="Body"/>
            </w:pPr>
            <w:r>
              <w:t xml:space="preserve">Movable hours (about 50%)</w:t>
            </w:r>
          </w:p>
        </w:tc>
        <w:tc>
          <w:tcPr>
            <w:tcW w:w="0" w:type="auto"/>
          </w:tcPr>
          <w:p>
            <w:pPr>
              <w:pStyle w:val="Body"/>
            </w:pPr>
            <w:r>
              <w:t xml:space="preserve">The share of submarine labor hours that can be done outside the prime yard</w:t>
            </w:r>
          </w:p>
        </w:tc>
        <w:tc>
          <w:tcPr>
            <w:tcW w:w="0" w:type="auto"/>
          </w:tcPr>
          <w:p>
            <w:pPr>
              <w:pStyle w:val="Body"/>
            </w:pPr>
            <w:r>
              <w:t xml:space="preserve">Navy submarine program executive, press interview (2022) — the two-to-five-million supplier-hours ramp</w:t>
            </w:r>
          </w:p>
        </w:tc>
      </w:tr>
      <w:tr>
        <w:trPr>
          <w:cantSplit/>
        </w:trPr>
        <w:tc>
          <w:tcPr>
            <w:tcW w:w="0" w:type="auto"/>
          </w:tcPr>
          <w:p>
            <w:pPr>
              <w:pStyle w:val="Body"/>
            </w:pPr>
            <w:r>
              <w:t xml:space="preserve">Labor share (about 40%)</w:t>
            </w:r>
          </w:p>
        </w:tc>
        <w:tc>
          <w:tcPr>
            <w:tcW w:w="0" w:type="auto"/>
          </w:tcPr>
          <w:p>
            <w:pPr>
              <w:pStyle w:val="Body"/>
            </w:pPr>
            <w:r>
              <w:t xml:space="preserve">Labor as a share of a ship's total cost; re-based higher onto Basic Construction</w:t>
            </w:r>
          </w:p>
        </w:tc>
        <w:tc>
          <w:tcPr>
            <w:tcW w:w="0" w:type="auto"/>
          </w:tcPr>
          <w:p>
            <w:pPr>
              <w:pStyle w:val="Body"/>
            </w:pPr>
            <w:r>
              <w:t xml:space="preserve">Congressional Research Service testimony (2025), cross-checked against an independent cost index (2024)</w:t>
            </w:r>
          </w:p>
        </w:tc>
      </w:tr>
      <w:tr>
        <w:trPr>
          <w:cantSplit/>
        </w:trPr>
        <w:tc>
          <w:tcPr>
            <w:tcW w:w="0" w:type="auto"/>
          </w:tcPr>
          <w:p>
            <w:pPr>
              <w:pStyle w:val="Body"/>
            </w:pPr>
            <w:r>
              <w:t xml:space="preserve">One build line</w:t>
            </w:r>
          </w:p>
        </w:tc>
        <w:tc>
          <w:tcPr>
            <w:tcW w:w="0" w:type="auto"/>
          </w:tcPr>
          <w:p>
            <w:pPr>
              <w:pStyle w:val="Body"/>
            </w:pPr>
            <w:r>
              <w:t xml:space="preserve">Confirms there is no published split of assembly vs. outsourceable work to read off</w:t>
            </w:r>
          </w:p>
        </w:tc>
        <w:tc>
          <w:tcPr>
            <w:tcW w:w="0" w:type="auto"/>
          </w:tcPr>
          <w:p>
            <w:pPr>
              <w:pStyle w:val="Body"/>
            </w:pPr>
            <w:r>
              <w:t xml:space="preserve">Pentagon budget-rules exhibit, plus the shipbuilders' annual reports</w:t>
            </w:r>
          </w:p>
        </w:tc>
      </w:tr>
      <w:tr>
        <w:trPr>
          <w:cantSplit/>
        </w:trPr>
        <w:tc>
          <w:tcPr>
            <w:tcW w:w="0" w:type="auto"/>
          </w:tcPr>
          <w:p>
            <w:pPr>
              <w:pStyle w:val="Body"/>
            </w:pPr>
            <w:r>
              <w:t xml:space="preserve">Today's off-yard share (the floor)</w:t>
            </w:r>
          </w:p>
        </w:tc>
        <w:tc>
          <w:tcPr>
            <w:tcW w:w="0" w:type="auto"/>
          </w:tcPr>
          <w:p>
            <w:pPr>
              <w:pStyle w:val="Body"/>
            </w:pPr>
            <w:r>
              <w:t xml:space="preserve">Virginia 34%, Columbia 22%, DDG-51 about 13% — the starting point the ceiling is measured against</w:t>
            </w:r>
          </w:p>
        </w:tc>
        <w:tc>
          <w:tcPr>
            <w:tcW w:w="0" w:type="auto"/>
          </w:tcPr>
          <w:p>
            <w:pPr>
              <w:pStyle w:val="Body"/>
            </w:pPr>
            <w:r>
              <w:t xml:space="preserve">Announced place-of-performance shares for each program</w:t>
            </w:r>
          </w:p>
        </w:tc>
      </w:tr>
    </w:tbl>
    <w:p>
      <w:pPr>
        <w:pStyle w:val="Heading2"/>
        <w:pBdr>
          <w:bottom w:val="single" w:sz="6" w:space="2" w:color="BFBFBF"/>
        </w:pBdr>
      </w:pPr>
      <w:r>
        <w:rPr>
          <w:color w:val="000000"/>
        </w:rPr>
        <w:t xml:space="preserve">What to be careful about</w:t>
      </w:r>
    </w:p>
    <w:p>
      <w:pPr>
        <w:pStyle w:val="ListBody"/>
        <w:tabs>
          <w:tab w:val="left" w:pos="720"/>
        </w:tabs>
        <w:spacing w:after="40" w:line="240" w:lineRule="auto"/>
        <w:ind w:left="720" w:hanging="360"/>
      </w:pPr>
      <w:r>
        <w:t xml:space="preserve">•</w:t>
        <w:tab/>
      </w:r>
      <w:r>
        <w:rPr>
          <w:rStyle w:val="Strong"/>
        </w:rPr>
        <w:t xml:space="preserve">The ceiling is an upper bound, not the working case.</w:t>
      </w:r>
    </w:p>
    <w:p>
      <w:pPr>
        <w:pStyle w:val="ListBody"/>
        <w:tabs>
          <w:tab w:val="left" w:pos="1080"/>
        </w:tabs>
        <w:spacing w:after="40" w:line="240" w:lineRule="auto"/>
        <w:ind w:left="1080" w:hanging="360"/>
      </w:pPr>
      <w:r>
        <w:t xml:space="preserve">◦</w:t>
        <w:tab/>
      </w:r>
      <w:r>
        <w:t xml:space="preserve">The p = 100% ceiling assumes every outsourced package carries its full non-labor content. The selected p = 50% case in Table 1 is the more conservative working read — closer to half of Basic Construction.</w:t>
      </w:r>
    </w:p>
    <w:p>
      <w:pPr>
        <w:pStyle w:val="ListBody"/>
        <w:tabs>
          <w:tab w:val="left" w:pos="720"/>
        </w:tabs>
        <w:spacing w:after="40" w:line="240" w:lineRule="auto"/>
        <w:ind w:left="720" w:hanging="360"/>
      </w:pPr>
      <w:r>
        <w:t xml:space="preserve">•</w:t>
        <w:tab/>
      </w:r>
      <w:r>
        <w:rPr>
          <w:rStyle w:val="Strong"/>
        </w:rPr>
        <w:t xml:space="preserve">The destroyer's two numbers are analyst judgment.</w:t>
      </w:r>
    </w:p>
    <w:p>
      <w:pPr>
        <w:pStyle w:val="ListBody"/>
        <w:tabs>
          <w:tab w:val="left" w:pos="1080"/>
        </w:tabs>
        <w:spacing w:after="40" w:line="240" w:lineRule="auto"/>
        <w:ind w:left="1080" w:hanging="360"/>
      </w:pPr>
      <w:r>
        <w:t xml:space="preserve">◦</w:t>
        <w:tab/>
      </w:r>
      <w:r>
        <w:t xml:space="preserve">There is no surface-ship equivalent of the submarine half-the-hours figure, so we set the destroyer's movable-hours and labor shares by reasoning (no reactor, so a smaller locked core) rather than a direct quote. They are meant to be adjusted.</w:t>
      </w:r>
    </w:p>
    <w:p>
      <w:pPr>
        <w:pStyle w:val="ListBody"/>
        <w:tabs>
          <w:tab w:val="left" w:pos="720"/>
        </w:tabs>
        <w:spacing w:after="40" w:line="240" w:lineRule="auto"/>
        <w:ind w:left="720" w:hanging="360"/>
      </w:pPr>
      <w:r>
        <w:t xml:space="preserve">•</w:t>
        <w:tab/>
      </w:r>
      <w:r>
        <w:rPr>
          <w:rStyle w:val="Strong"/>
        </w:rPr>
        <w:t xml:space="preserve">The 40% labor figure is of the whole ship, not just the build.</w:t>
      </w:r>
    </w:p>
    <w:p>
      <w:pPr>
        <w:pStyle w:val="ListBody"/>
        <w:tabs>
          <w:tab w:val="left" w:pos="1080"/>
        </w:tabs>
        <w:spacing w:after="40" w:line="240" w:lineRule="auto"/>
        <w:ind w:left="1080" w:hanging="360"/>
      </w:pPr>
      <w:r>
        <w:t xml:space="preserve">◦</w:t>
        <w:tab/>
      </w:r>
      <w:r>
        <w:t xml:space="preserve">Re-basing it onto just the Basic Construction line is a judgment call (we used about 50% for subs, 45% for the destroyer), so the workbook lets you sweep it.</w:t>
      </w:r>
    </w:p>
    <w:p>
      <w:pPr>
        <w:pStyle w:val="ListBody"/>
        <w:tabs>
          <w:tab w:val="left" w:pos="720"/>
        </w:tabs>
        <w:spacing w:after="40" w:line="240" w:lineRule="auto"/>
        <w:ind w:left="720" w:hanging="360"/>
      </w:pPr>
      <w:r>
        <w:t xml:space="preserve">•</w:t>
        <w:tab/>
      </w:r>
      <w:r>
        <w:rPr>
          <w:rStyle w:val="Strong"/>
        </w:rPr>
        <w:t xml:space="preserve">The dollars are illustrative; the shares are the answer.</w:t>
      </w:r>
    </w:p>
    <w:p>
      <w:pPr>
        <w:pStyle w:val="ListBody"/>
        <w:tabs>
          <w:tab w:val="left" w:pos="1080"/>
        </w:tabs>
        <w:spacing w:after="120" w:line="240" w:lineRule="auto"/>
        <w:ind w:left="1080" w:hanging="360"/>
      </w:pPr>
      <w:r>
        <w:t xml:space="preserve">◦</w:t>
        <w:tab/>
      </w:r>
      <w:r>
        <w:t xml:space="preserve">Figures are in as-reported (then-year) dollars to show magnitude. The ratios — core, ceiling, and the multiple over today — are what the analysis stands on, and they do not depend on the dollar year.</w:t>
      </w:r>
    </w:p>
    <w:p>
      <w:pPr>
        <w:pStyle w:val="Source"/>
      </w:pPr>
      <w:r>
        <w:rPr>
          <w:color w:val="000000"/>
        </w:rPr>
        <w:t xml:space="preserve">Plain-language companion to the Outsourcing Ceiling workbook. Basis: FY22-27 Basic Construction for Virginia / Columbia / DDG-51, with the movable-hours and labor-share inputs sourced as above; exact figures, thresholds, and the live controls live in the workbook.</w:t>
      </w:r>
    </w:p>
    <w:sectPr>
      <w:type w:val="nextPage"/>
      <w:pgSz w:w="12240" w:h="15840"/>
      <w:pgMar w:top="1440" w:right="1080" w:bottom="1440" w:left="1080" w:header="720" w:footer="720" w:gutter="0"/>
      <w:cols w:space="720" w:num="1"/>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 w:name="Symbol">
    <w:charset w:val="00"/>
    <w:family w:val="roman"/>
    <w:pitch w:val="variable"/>
  </w:font>
  <w:font w:name="Courier New">
    <w:charset w:val="00"/>
    <w:family w:val="modern"/>
    <w:pitch w:val="variable"/>
  </w:font>
  <w:font w:name="Wingdings">
    <w:charset w:val="00"/>
    <w:family w:val="auto"/>
    <w:pitch w:val="variable"/>
  </w:font>
</w:fonts>
</file>

<file path=word/numbering.xml><?xml version="1.0" encoding="utf-8"?>
<w:numbering xmlns:w="http://schemas.openxmlformats.org/wordprocessingml/2006/main" xmlns:r="http://schemas.openxmlformats.org/officeDocument/2006/relationships">
  <w:abstractNum w:abstractNumId="0">
    <w:nsid w:val="0A1B2C3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1">
    <w:nsid w:val="0A1B2C3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abstractNum w:abstractNumId="2">
    <w:nsid w:val="0A1B2C32"/>
    <w:multiLevelType w:val="multilevel"/>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44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2"/>
        <w:szCs w:val="22"/>
        <w:lang w:val="en-US"/>
      </w:rPr>
    </w:rPrDefault>
    <w:pPrDefault>
      <w:pPr>
        <w:spacing w:before="0" w:after="120" w:line="276" w:lineRule="auto"/>
      </w:pPr>
    </w:pPrDefault>
  </w:docDefaults>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default="1" w:styleId="Normal">
    <w:name w:val="Normal"/>
    <w:qFormat/>
  </w:style>
  <w:style w:type="paragraph" w:styleId="Body" w:customStyle="1">
    <w:name w:val="Body"/>
    <w:basedOn w:val="Normal"/>
    <w:next w:val="Body"/>
    <w:qFormat/>
    <w:pPr>
      <w:spacing w:before="0" w:after="120" w:line="276" w:lineRule="auto"/>
    </w:pPr>
    <w:rPr>
      <w:rFonts w:ascii="Arial" w:hAnsi="Arial" w:cs="Arial"/>
      <w:color w:val="000000"/>
      <w:sz w:val="22"/>
      <w:szCs w:val="22"/>
    </w:rPr>
  </w:style>
  <w:style w:type="paragraph" w:styleId="Heading1">
    <w:name w:val="heading 1"/>
    <w:basedOn w:val="Normal"/>
    <w:next w:val="Body"/>
    <w:uiPriority w:val="9"/>
    <w:qFormat/>
    <w:pPr>
      <w:keepNext/>
      <w:spacing w:before="360" w:after="120" w:line="240" w:lineRule="auto"/>
      <w:outlineLvl w:val="0"/>
    </w:pPr>
    <w:rPr>
      <w:rFonts w:ascii="Arial" w:hAnsi="Arial" w:cs="Arial"/>
      <w:b/>
      <w:color w:val="263746"/>
      <w:sz w:val="32"/>
      <w:szCs w:val="32"/>
    </w:rPr>
  </w:style>
  <w:style w:type="paragraph" w:styleId="Heading2">
    <w:name w:val="heading 2"/>
    <w:basedOn w:val="Normal"/>
    <w:next w:val="Body"/>
    <w:uiPriority w:val="9"/>
    <w:qFormat/>
    <w:pPr>
      <w:keepNext/>
      <w:spacing w:before="240" w:after="80" w:line="240" w:lineRule="auto"/>
      <w:outlineLvl w:val="1"/>
    </w:pPr>
    <w:rPr>
      <w:rFonts w:ascii="Arial" w:hAnsi="Arial" w:cs="Arial"/>
      <w:b/>
      <w:color w:val="263746"/>
      <w:sz w:val="26"/>
      <w:szCs w:val="26"/>
    </w:rPr>
  </w:style>
  <w:style w:type="paragraph" w:styleId="Heading3">
    <w:name w:val="heading 3"/>
    <w:basedOn w:val="Normal"/>
    <w:next w:val="Body"/>
    <w:uiPriority w:val="9"/>
    <w:qFormat/>
    <w:pPr>
      <w:keepNext/>
      <w:spacing w:before="200" w:after="80" w:line="240" w:lineRule="auto"/>
      <w:outlineLvl w:val="2"/>
    </w:pPr>
    <w:rPr>
      <w:rFonts w:ascii="Arial" w:hAnsi="Arial" w:cs="Arial"/>
      <w:b/>
      <w:color w:val="263746"/>
      <w:sz w:val="23"/>
      <w:szCs w:val="23"/>
    </w:rPr>
  </w:style>
  <w:style w:type="paragraph" w:styleId="Title">
    <w:name w:val="Title"/>
    <w:basedOn w:val="Normal"/>
    <w:next w:val="Body"/>
    <w:uiPriority w:val="10"/>
    <w:qFormat/>
    <w:pPr>
      <w:spacing w:before="0" w:after="240" w:line="240" w:lineRule="auto"/>
    </w:pPr>
    <w:rPr>
      <w:rFonts w:ascii="Arial" w:hAnsi="Arial" w:cs="Arial"/>
      <w:b/>
      <w:color w:val="000000"/>
      <w:sz w:val="52"/>
      <w:szCs w:val="52"/>
    </w:rPr>
  </w:style>
  <w:style w:type="paragraph" w:styleId="Caption">
    <w:name w:val="caption"/>
    <w:basedOn w:val="Body"/>
    <w:uiPriority w:val="35"/>
    <w:qFormat/>
    <w:pPr>
      <w:spacing w:before="40" w:after="200" w:line="240" w:lineRule="auto"/>
    </w:pPr>
    <w:rPr>
      <w:rFonts w:ascii="Arial" w:hAnsi="Arial" w:cs="Arial"/>
      <w:i/>
      <w:color w:val="7F7F7F"/>
      <w:sz w:val="18"/>
      <w:szCs w:val="18"/>
    </w:rPr>
  </w:style>
  <w:style w:type="paragraph" w:styleId="Source" w:customStyle="1">
    <w:name w:val="Source"/>
    <w:basedOn w:val="Body"/>
    <w:pPr>
      <w:spacing w:before="40" w:after="120" w:line="240" w:lineRule="auto"/>
    </w:pPr>
    <w:rPr>
      <w:rFonts w:ascii="Arial" w:hAnsi="Arial" w:cs="Arial"/>
      <w:i/>
      <w:color w:val="7F7F7F"/>
      <w:sz w:val="18"/>
      <w:szCs w:val="18"/>
    </w:rPr>
  </w:style>
  <w:style w:type="paragraph" w:styleId="ListBody" w:customStyle="1">
    <w:name w:val="List Body"/>
    <w:basedOn w:val="Body"/>
    <w:next w:val="ListBody"/>
    <w:uiPriority w:val="34"/>
    <w:pPr>
      <w:spacing w:before="0" w:after="40" w:line="240" w:lineRule="auto"/>
    </w:pPr>
  </w:style>
  <w:style w:type="paragraph" w:styleId="BlockHeading" w:customStyle="1">
    <w:name w:val="Block Heading"/>
    <w:basedOn w:val="Body"/>
    <w:pPr>
      <w:keepNext/>
      <w:spacing w:before="240" w:after="80" w:line="240" w:lineRule="auto"/>
    </w:pPr>
    <w:rPr>
      <w:rFonts w:ascii="Arial" w:hAnsi="Arial" w:cs="Arial"/>
      <w:b/>
      <w:color w:val="263746"/>
      <w:sz w:val="26"/>
      <w:szCs w:val="26"/>
    </w:rPr>
  </w:style>
  <w:style w:type="paragraph" w:styleId="FieldLabel" w:customStyle="1">
    <w:name w:val="Field Label"/>
    <w:basedOn w:val="Body"/>
    <w:pPr>
      <w:keepNext/>
      <w:spacing w:before="0" w:after="0" w:line="240" w:lineRule="auto"/>
    </w:pPr>
    <w:rPr>
      <w:rFonts w:ascii="Arial" w:hAnsi="Arial" w:cs="Arial"/>
      <w:b/>
      <w:sz w:val="21"/>
      <w:szCs w:val="21"/>
    </w:rPr>
  </w:style>
  <w:style w:type="paragraph" w:styleId="CompactBody" w:customStyle="1">
    <w:name w:val="Compact Body"/>
    <w:basedOn w:val="Body"/>
    <w:pPr>
      <w:spacing w:before="0" w:after="0" w:line="240" w:lineRule="auto"/>
    </w:pPr>
    <w:rPr>
      <w:rFonts w:ascii="Arial" w:hAnsi="Arial" w:cs="Arial"/>
      <w:sz w:val="21"/>
      <w:szCs w:val="21"/>
    </w:rPr>
  </w:style>
  <w:style w:type="paragraph" w:styleId="Code" w:customStyle="1">
    <w:name w:val="Code"/>
    <w:basedOn w:val="Body"/>
    <w:pPr>
      <w:spacing w:before="0" w:after="0" w:line="240" w:lineRule="auto"/>
    </w:pPr>
    <w:rPr>
      <w:rFonts w:ascii="Courier New" w:hAnsi="Courier New" w:cs="Courier New"/>
      <w:color w:val="000000"/>
      <w:sz w:val="18"/>
      <w:szCs w:val="18"/>
    </w:rPr>
  </w:style>
  <w:style w:type="paragraph" w:styleId="CodeSmall" w:customStyle="1">
    <w:name w:val="Code Small"/>
    <w:basedOn w:val="Code"/>
    <w:pPr>
      <w:spacing w:before="0" w:after="0" w:line="240" w:lineRule="auto"/>
    </w:pPr>
    <w:rPr>
      <w:rFonts w:ascii="Courier New" w:hAnsi="Courier New" w:cs="Courier New"/>
      <w:color w:val="000000"/>
      <w:sz w:val="16"/>
      <w:szCs w:val="16"/>
    </w:rPr>
  </w:style>
  <w:style w:type="character" w:styleId="Strong">
    <w:name w:val="Strong"/>
    <w:basedOn w:val="DefaultParagraphFont"/>
    <w:uiPriority w:val="22"/>
    <w:qFormat/>
    <w:rPr>
      <w:b/>
    </w:rPr>
  </w:style>
  <w:style w:type="character" w:styleId="Emphasis">
    <w:name w:val="Emphasis"/>
    <w:basedOn w:val="DefaultParagraphFont"/>
    <w:uiPriority w:val="20"/>
    <w:qFormat/>
    <w:rPr>
      <w:i/>
    </w:rPr>
  </w:style>
  <w:style w:type="character" w:styleId="Hyperlink">
    <w:name w:val="Hyperlink"/>
    <w:basedOn w:val="DefaultParagraphFont"/>
    <w:uiPriority w:val="99"/>
    <w:rPr>
      <w:color w:val="0563C1"/>
      <w:u w:val="single"/>
    </w:rPr>
  </w:style>
  <w:style w:type="table" w:styleId="RuleTable" w:customStyle="1">
    <w:name w:val="Rule Table"/>
    <w:basedOn w:val="TableNormal"/>
    <w:uiPriority w:val="59"/>
    <w:tblPr>
      <w:tblBorders>
        <w:top w:val="single" w:sz="4" w:space="0" w:color="auto"/>
        <w:bottom w:val="single" w:sz="4" w:space="0" w:color="auto"/>
        <w:insideH w:val="single" w:sz="4" w:space="0" w:color="auto"/>
      </w:tblBorders>
      <w:tblCellMar>
        <w:top w:w="60" w:type="dxa"/>
        <w:left w:w="108" w:type="dxa"/>
        <w:bottom w:w="60" w:type="dxa"/>
        <w:right w:w="108" w:type="dxa"/>
      </w:tblCellMar>
    </w:tblPr>
    <w:tblStylePr w:type="firstRow">
      <w:rPr>
        <w:b/>
      </w:rPr>
      <w:tcPr>
        <w:tcBorders>
          <w:bottom w:val="single" w:sz="12" w:space="0" w:color="auto"/>
        </w:tcBorders>
      </w:tcPr>
    </w:tblStylePr>
  </w:style>
  <w:style w:type="table" w:styleId="DarkHeaderTable" w:customStyle="1">
    <w:name w:val="Dark Header Table"/>
    <w:basedOn w:val="TableNormal"/>
    <w:uiPriority w:val="59"/>
    <w:tblPr>
      <w:tblBorders>
        <w:top w:val="single" w:sz="4" w:space="0" w:color="auto"/>
        <w:bottom w:val="single" w:sz="4" w:space="0" w:color="auto"/>
        <w:insideH w:val="single" w:sz="4" w:space="0" w:color="auto"/>
      </w:tblBorders>
      <w:tblCellMar>
        <w:top w:w="60" w:type="dxa"/>
        <w:left w:w="108" w:type="dxa"/>
        <w:bottom w:w="60" w:type="dxa"/>
        <w:right w:w="108" w:type="dxa"/>
      </w:tblCellMar>
    </w:tblPr>
    <w:tblStylePr w:type="firstRow">
      <w:rPr>
        <w:b/>
        <w:color w:val="FFFFFF"/>
      </w:rPr>
      <w:tcPr>
        <w:shd w:val="clear" w:color="auto" w:fill="263746"/>
      </w:tcPr>
    </w:tblStylePr>
  </w:style>
  <w:style w:type="table" w:styleId="NoFormatTable" w:customStyle="1">
    <w:name w:val="No Format Table"/>
    <w:basedOn w:val="TableNormal"/>
    <w:uiPriority w:val="59"/>
    <w:tblPr>
      <w:tblCellMar>
        <w:top w:w="60" w:type="dxa"/>
        <w:left w:w="108" w:type="dxa"/>
        <w:bottom w:w="60" w:type="dxa"/>
        <w:right w:w="108" w:type="dxa"/>
      </w:tblCellMar>
    </w:tblPr>
  </w:style>
  <w:style w:type="table" w:styleId="WireframeTable" w:customStyle="1">
    <w:name w:val="Wireframe Table"/>
    <w:basedOn w:val="TableNormal"/>
    <w:uiPriority w:val="59"/>
    <w:tblPr>
      <w:tblCellMar>
        <w:top w:w="60" w:type="dxa"/>
        <w:left w:w="108" w:type="dxa"/>
        <w:bottom w:w="6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Application>doc_outsourced_ceiling</Application>
  <DocSecurity>0</DocSecurity>
  <ScaleCrop>false</ScaleCrop>
  <HeadingPairs>
    <vt:vector size="2" baseType="variant">
      <vt:variant>
        <vt:lpstr>Page modules</vt:lpstr>
      </vt:variant>
      <vt:variant>
        <vt:i4>1</vt:i4>
      </vt:variant>
    </vt:vector>
  </HeadingPairs>
  <TitlesOfParts>
    <vt:vector size="1" baseType="lpstr">
      <vt:lpstr>Outsourcing Ceiling - plain-language explainer</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Outsourcing Ceiling - Plain-Language Methodology</dc:title>
  <dc:creator>doc_outsourced_ceiling build_outsourced_ceiling.py</dc:creator>
  <dcterms:created xsi:type="dcterms:W3CDTF">2026-06-20T23:29:49Z</dcterms:created>
  <dcterms:modified xsi:type="dcterms:W3CDTF">2026-06-20T23:29:49Z</dcterms:modified>
</cp:coreProperties>
</file>