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p="http://schemas.openxmlformats.org/drawingml/2006/wordprocessingDrawing" xmlns:a="http://schemas.openxmlformats.org/drawingml/2006/main" xmlns:wps="http://schemas.microsoft.com/office/word/2010/wordprocessingShape" xmlns:wpg="http://schemas.microsoft.com/office/word/2010/wordprocessingGroup" mc:Ignorable="w14">
  <w:body>
    <w:p>
      <w:pPr>
        <w:pStyle w:val="Heading1"/>
        <w:pBdr>
          <w:bottom w:val="single" w:sz="12" w:space="2" w:color="7F7F7F"/>
        </w:pBdr>
      </w:pPr>
      <w:r>
        <w:rPr>
          <w:color w:val="000000"/>
        </w:rPr>
        <w:t xml:space="preserve">How We Spot Re-Buy Openings</w:t>
      </w:r>
    </w:p>
    <w:p>
      <w:pPr>
        <w:pStyle w:val="Body"/>
      </w:pPr>
      <w:r>
        <w:rPr>
          <w:rStyle w:val="Strong"/>
        </w:rPr>
        <w:t xml:space="preserve">In plain terms: </w:t>
      </w:r>
      <w:r>
        <w:t xml:space="preserve">a re-buy opening is outsourced work a shipbuilder already buys from suppliers that may be open to a new entrant. It is one of a few kinds of contestable sourcing opening — what we loosely call a “jump ball” — that the analysis screens for. The re-buy idea splits into two cases: some lanes buy in clear cycles, so we can estimate a dated periodic sourcing window; others buy almost continuously, so the opportunity is not a date but an active, already-shared supplier stream. This page names the three kinds of opening, then focuses on this one and builds up to both cases.</w:t>
      </w:r>
    </w:p>
    <w:p>
      <w:pPr>
        <w:pStyle w:val="Heading2"/>
        <w:pBdr>
          <w:bottom w:val="single" w:sz="6" w:space="2" w:color="BFBFBF"/>
        </w:pBdr>
      </w:pPr>
      <w:r>
        <w:rPr>
          <w:color w:val="000000"/>
        </w:rPr>
        <w:t xml:space="preserve">Three kinds of sourcing opening</w:t>
      </w:r>
    </w:p>
    <w:p>
      <w:pPr>
        <w:pStyle w:val="Body"/>
      </w:pPr>
      <w:r>
        <w:t xml:space="preserve">A jump ball is simply a piece of outsourced work a new supplier could realistically compete for. The analysis looks for three kinds, each a different shape of opening:</w:t>
      </w:r>
    </w:p>
    <w:p>
      <w:pPr>
        <w:pStyle w:val="ListBody"/>
        <w:tabs>
          <w:tab w:val="left" w:pos="720"/>
        </w:tabs>
        <w:spacing w:after="40" w:line="240" w:lineRule="auto"/>
        <w:ind w:left="720" w:hanging="360"/>
      </w:pPr>
      <w:r>
        <w:t xml:space="preserve">•</w:t>
        <w:tab/>
      </w:r>
      <w:r>
        <w:rPr>
          <w:rStyle w:val="Strong"/>
        </w:rPr>
        <w:t xml:space="preserve">Periodic / continuous sourcing</w:t>
      </w:r>
      <w:r>
        <w:t xml:space="preserve"> — this page's focus.</w:t>
      </w:r>
    </w:p>
    <w:p>
      <w:pPr>
        <w:pStyle w:val="ListBody"/>
        <w:tabs>
          <w:tab w:val="left" w:pos="1080"/>
        </w:tabs>
        <w:spacing w:after="40" w:line="240" w:lineRule="auto"/>
        <w:ind w:left="1080" w:hanging="360"/>
      </w:pPr>
      <w:r>
        <w:t xml:space="preserve">◦</w:t>
        <w:tab/>
      </w:r>
      <w:r>
        <w:t xml:space="preserve">Work the shipbuilder already buys from outside suppliers. Some of it comes in repeatable cycles, where we can estimate a next sourcing window. Some of it is bought continuously, where the opening is active supplier access rather than a specific date.</w:t>
      </w:r>
    </w:p>
    <w:p>
      <w:pPr>
        <w:pStyle w:val="ListBody"/>
        <w:tabs>
          <w:tab w:val="left" w:pos="720"/>
        </w:tabs>
        <w:spacing w:after="40" w:line="240" w:lineRule="auto"/>
        <w:ind w:left="720" w:hanging="360"/>
      </w:pPr>
      <w:r>
        <w:t xml:space="preserve">•</w:t>
        <w:tab/>
      </w:r>
      <w:r>
        <w:rPr>
          <w:rStyle w:val="Strong"/>
        </w:rPr>
        <w:t xml:space="preserve">Concentration</w:t>
      </w:r>
    </w:p>
    <w:p>
      <w:pPr>
        <w:pStyle w:val="ListBody"/>
        <w:tabs>
          <w:tab w:val="left" w:pos="1080"/>
        </w:tabs>
        <w:spacing w:after="40" w:line="240" w:lineRule="auto"/>
        <w:ind w:left="1080" w:hanging="360"/>
      </w:pPr>
      <w:r>
        <w:t xml:space="preserve">◦</w:t>
        <w:tab/>
      </w:r>
      <w:r>
        <w:t xml:space="preserve">A lane where one supplier holds most of the recent money; the opening is unseating an entrenched incumbent.</w:t>
      </w:r>
    </w:p>
    <w:p>
      <w:pPr>
        <w:pStyle w:val="ListBody"/>
        <w:tabs>
          <w:tab w:val="left" w:pos="720"/>
        </w:tabs>
        <w:spacing w:after="40" w:line="240" w:lineRule="auto"/>
        <w:ind w:left="720" w:hanging="360"/>
      </w:pPr>
      <w:r>
        <w:t xml:space="preserve">•</w:t>
        <w:tab/>
      </w:r>
      <w:r>
        <w:rPr>
          <w:rStyle w:val="Strong"/>
        </w:rPr>
        <w:t xml:space="preserve">Source diversification</w:t>
      </w:r>
    </w:p>
    <w:p>
      <w:pPr>
        <w:pStyle w:val="ListBody"/>
        <w:tabs>
          <w:tab w:val="left" w:pos="1080"/>
        </w:tabs>
        <w:spacing w:after="120" w:line="240" w:lineRule="auto"/>
        <w:ind w:left="1080" w:hanging="360"/>
      </w:pPr>
      <w:r>
        <w:t xml:space="preserve">◦</w:t>
        <w:tab/>
      </w:r>
      <w:r>
        <w:t xml:space="preserve">A lane that used to have a single supplier where a credible second source has recently arrived while the first is still active — a split already in motion.</w:t>
      </w:r>
    </w:p>
    <w:p>
      <w:pPr>
        <w:pStyle w:val="Body"/>
      </w:pPr>
      <w:r>
        <w:t xml:space="preserve">The rest of this page is about the first kind. Everything below builds up to it, starting with the basics.</w:t>
      </w:r>
    </w:p>
    <w:p>
      <w:pPr>
        <w:pStyle w:val="Heading2"/>
        <w:pBdr>
          <w:bottom w:val="single" w:sz="6" w:space="2" w:color="BFBFBF"/>
        </w:pBdr>
      </w:pPr>
      <w:r>
        <w:rPr>
          <w:color w:val="000000"/>
        </w:rPr>
        <w:t xml:space="preserve">Start with the basics: what is a supplier lane?</w:t>
      </w:r>
    </w:p>
    <w:p>
      <w:pPr>
        <w:pStyle w:val="Body"/>
      </w:pPr>
      <w:r>
        <w:t xml:space="preserve">A prime contractor — here, the shipbuilder — does not make everything itself. It buys parts and work from outside suppliers. A supplier lane (we just call it a lane) is one slice of that buying, pinned down by three things:</w:t>
      </w:r>
    </w:p>
    <w:p>
      <w:pPr>
        <w:pStyle w:val="ListBody"/>
        <w:tabs>
          <w:tab w:val="left" w:pos="720"/>
        </w:tabs>
        <w:spacing w:after="40" w:line="240" w:lineRule="auto"/>
        <w:ind w:left="720" w:hanging="360"/>
      </w:pPr>
      <w:r>
        <w:t xml:space="preserve">•</w:t>
        <w:tab/>
      </w:r>
      <w:r>
        <w:rPr>
          <w:rStyle w:val="Strong"/>
        </w:rPr>
        <w:t xml:space="preserve">Program</w:t>
      </w:r>
      <w:r>
        <w:t xml:space="preserve"> — which ship the work is for (Virginia, Columbia, or DDG-51).</w:t>
      </w:r>
    </w:p>
    <w:p>
      <w:pPr>
        <w:pStyle w:val="ListBody"/>
        <w:tabs>
          <w:tab w:val="left" w:pos="720"/>
        </w:tabs>
        <w:spacing w:after="40" w:line="240" w:lineRule="auto"/>
        <w:ind w:left="720" w:hanging="360"/>
      </w:pPr>
      <w:r>
        <w:t xml:space="preserve">•</w:t>
        <w:tab/>
      </w:r>
      <w:r>
        <w:rPr>
          <w:rStyle w:val="Strong"/>
        </w:rPr>
        <w:t xml:space="preserve">Contract</w:t>
      </w:r>
      <w:r>
        <w:t xml:space="preserve"> — the specific prime contract it sits on (its PIID, the contract's ID number).</w:t>
      </w:r>
    </w:p>
    <w:p>
      <w:pPr>
        <w:pStyle w:val="ListBody"/>
        <w:tabs>
          <w:tab w:val="left" w:pos="720"/>
        </w:tabs>
        <w:spacing w:after="120" w:line="240" w:lineRule="auto"/>
        <w:ind w:left="720" w:hanging="360"/>
      </w:pPr>
      <w:r>
        <w:t xml:space="preserve">•</w:t>
        <w:tab/>
      </w:r>
      <w:r>
        <w:rPr>
          <w:rStyle w:val="Strong"/>
        </w:rPr>
        <w:t xml:space="preserve">Work type</w:t>
      </w:r>
      <w:r>
        <w:t xml:space="preserve"> — the kind of work it is (piping, machining, electrical, castings, and so on).</w:t>
      </w:r>
    </w:p>
    <w:p>
      <w:pPr>
        <w:pStyle w:val="Body"/>
      </w:pPr>
      <w:r>
        <w:t xml:space="preserve">So a lane is simply </w:t>
      </w:r>
      <w:r>
        <w:rPr>
          <w:rStyle w:val="Strong"/>
        </w:rPr>
        <w:t xml:space="preserve">this program, on this contract, for this type of work</w:t>
      </w:r>
      <w:r>
        <w:t xml:space="preserve"> — for example, Virginia / contract N00024…2100 / piping. Suppliers compete inside a lane, and the lane is the unit everything else is measured on.</w:t>
      </w:r>
    </w:p>
    <w:p>
      <w:pPr>
        <w:pStyle w:val="Heading2"/>
        <w:pBdr>
          <w:bottom w:val="single" w:sz="6" w:space="2" w:color="BFBFBF"/>
        </w:pBdr>
      </w:pPr>
      <w:r>
        <w:rPr>
          <w:color w:val="000000"/>
        </w:rPr>
        <w:t xml:space="preserve">What we look at inside a lane</w:t>
      </w:r>
    </w:p>
    <w:p>
      <w:pPr>
        <w:pStyle w:val="Body"/>
      </w:pPr>
      <w:r>
        <w:t xml:space="preserve">For each lane we line up every supplier award it has received over the years — who won work, how much, and when. From that history we read a few simple things:</w:t>
      </w:r>
    </w:p>
    <w:p>
      <w:pPr>
        <w:pStyle w:val="ListBody"/>
        <w:tabs>
          <w:tab w:val="left" w:pos="720"/>
        </w:tabs>
        <w:spacing w:after="40" w:line="240" w:lineRule="auto"/>
        <w:ind w:left="720" w:hanging="360"/>
      </w:pPr>
      <w:r>
        <w:t xml:space="preserve">•</w:t>
        <w:tab/>
      </w:r>
      <w:r>
        <w:t xml:space="preserve">How many suppliers are winning recent work.</w:t>
      </w:r>
    </w:p>
    <w:p>
      <w:pPr>
        <w:pStyle w:val="ListBody"/>
        <w:tabs>
          <w:tab w:val="left" w:pos="720"/>
        </w:tabs>
        <w:spacing w:after="40" w:line="240" w:lineRule="auto"/>
        <w:ind w:left="720" w:hanging="360"/>
      </w:pPr>
      <w:r>
        <w:t xml:space="preserve">•</w:t>
        <w:tab/>
      </w:r>
      <w:r>
        <w:t xml:space="preserve">How much of the recent money the single biggest supplier holds — its share.</w:t>
      </w:r>
    </w:p>
    <w:p>
      <w:pPr>
        <w:pStyle w:val="ListBody"/>
        <w:tabs>
          <w:tab w:val="left" w:pos="720"/>
        </w:tabs>
        <w:spacing w:after="120" w:line="240" w:lineRule="auto"/>
        <w:ind w:left="720" w:hanging="360"/>
      </w:pPr>
      <w:r>
        <w:t xml:space="preserve">•</w:t>
        <w:tab/>
      </w:r>
      <w:r>
        <w:t xml:space="preserve">The dates of the past awards.</w:t>
      </w:r>
    </w:p>
    <w:p>
      <w:pPr>
        <w:pStyle w:val="Heading2"/>
        <w:pBdr>
          <w:bottom w:val="single" w:sz="6" w:space="2" w:color="BFBFBF"/>
        </w:pBdr>
      </w:pPr>
      <w:r>
        <w:rPr>
          <w:color w:val="000000"/>
        </w:rPr>
        <w:t xml:space="preserve">The re-buy idea, in one sentence</w:t>
      </w:r>
    </w:p>
    <w:p>
      <w:pPr>
        <w:pStyle w:val="Body"/>
      </w:pPr>
      <w:r>
        <w:rPr>
          <w:rStyle w:val="Strong"/>
        </w:rPr>
        <w:t xml:space="preserve">A re-buy opening = </w:t>
      </w:r>
      <w:r>
        <w:rPr>
          <w:rStyle w:val="Strong"/>
        </w:rPr>
        <w:t xml:space="preserve">shared supplier work where either the next periodic buy window is coming up, or the lane is already buying continuously enough to be open now.</w:t>
      </w:r>
    </w:p>
    <w:p>
      <w:pPr>
        <w:pStyle w:val="Body"/>
      </w:pPr>
      <w:r>
        <w:t xml:space="preserve">That gives us two questions: is the lane genuinely shared, and what kind of buying pattern does it have — periodic or continuous? We check the sharing first.</w:t>
      </w:r>
    </w:p>
    <w:p>
      <w:pPr>
        <w:pStyle w:val="Heading2"/>
        <w:pBdr>
          <w:bottom w:val="single" w:sz="6" w:space="2" w:color="BFBFBF"/>
        </w:pBdr>
      </w:pPr>
      <w:r>
        <w:rPr>
          <w:color w:val="000000"/>
        </w:rPr>
        <w:t xml:space="preserve">First test: is the work actually shared?</w:t>
      </w:r>
    </w:p>
    <w:p>
      <w:pPr>
        <w:pStyle w:val="Body"/>
      </w:pPr>
      <w:r>
        <w:t xml:space="preserve">Before timing matters at all, the lane has to be genuinely competitive. Two things have to be true:</w:t>
      </w:r>
    </w:p>
    <w:p>
      <w:pPr>
        <w:pStyle w:val="ListBody"/>
        <w:tabs>
          <w:tab w:val="left" w:pos="720"/>
        </w:tabs>
        <w:spacing w:after="40" w:line="240" w:lineRule="auto"/>
        <w:ind w:left="720" w:hanging="360"/>
      </w:pPr>
      <w:r>
        <w:t xml:space="preserve">•</w:t>
        <w:tab/>
      </w:r>
      <w:r>
        <w:t xml:space="preserve">There are at least two suppliers winning recent work in the lane.</w:t>
      </w:r>
    </w:p>
    <w:p>
      <w:pPr>
        <w:pStyle w:val="ListBody"/>
        <w:tabs>
          <w:tab w:val="left" w:pos="720"/>
        </w:tabs>
        <w:spacing w:after="120" w:line="240" w:lineRule="auto"/>
        <w:ind w:left="720" w:hanging="360"/>
      </w:pPr>
      <w:r>
        <w:t xml:space="preserve">•</w:t>
        <w:tab/>
      </w:r>
      <w:r>
        <w:t xml:space="preserve">The top supplier does not hold essentially all of the recent dollars — a meaningful share is spread across the others. We call that spread the shared % (it is just 100% minus the top supplier's share).</w:t>
      </w:r>
    </w:p>
    <w:p>
      <w:pPr>
        <w:pStyle w:val="Body"/>
      </w:pPr>
      <w:r>
        <w:t xml:space="preserve">If one supplier holds almost everything, the lane is not a re-buy opening — it is a different kind of opportunity (a concentrated lane, where the prize is unseating an entrenched incumbent). The shared % is the dial that tells the two apart.</w:t>
      </w:r>
    </w:p>
    <w:p>
      <w:pPr>
        <w:pStyle w:val="Heading2"/>
        <w:pBdr>
          <w:bottom w:val="single" w:sz="6" w:space="2" w:color="BFBFBF"/>
        </w:pBdr>
      </w:pPr>
      <w:r>
        <w:rPr>
          <w:color w:val="000000"/>
        </w:rPr>
        <w:t xml:space="preserve">Is the lane even on a rhythm? Periodic vs. continuous</w:t>
      </w:r>
    </w:p>
    <w:p>
      <w:pPr>
        <w:pStyle w:val="Body"/>
      </w:pPr>
      <w:r>
        <w:t xml:space="preserve">Grouping awards into waves only helps if the lane actually buys in discrete bursts separated by quiet stretches. Many lanes do — but a large share buy almost continuously, a few awards every month for years. With no real quiet gap, the 90-day grouping strings all that activity into one long “wave,” and any cadence read off it is an artifact, not a real cycle. So before estimating any timing, the analysis asks whether the lane is genuinely periodic. A lane is treated as periodic only when:</w:t>
      </w:r>
    </w:p>
    <w:p>
      <w:pPr>
        <w:pStyle w:val="ListBody"/>
        <w:tabs>
          <w:tab w:val="left" w:pos="720"/>
        </w:tabs>
        <w:spacing w:after="40" w:line="240" w:lineRule="auto"/>
        <w:ind w:left="720" w:hanging="360"/>
      </w:pPr>
      <w:r>
        <w:t xml:space="preserve">•</w:t>
        <w:tab/>
      </w:r>
      <w:r>
        <w:t xml:space="preserve">It has at least two distinct waves.</w:t>
      </w:r>
    </w:p>
    <w:p>
      <w:pPr>
        <w:pStyle w:val="ListBody"/>
        <w:tabs>
          <w:tab w:val="left" w:pos="720"/>
        </w:tabs>
        <w:spacing w:after="40" w:line="240" w:lineRule="auto"/>
        <w:ind w:left="720" w:hanging="360"/>
      </w:pPr>
      <w:r>
        <w:t xml:space="preserve">•</w:t>
        <w:tab/>
      </w:r>
      <w:r>
        <w:t xml:space="preserve">Its longest wave is short relative to a real cycle — by default no longer than a year.</w:t>
      </w:r>
    </w:p>
    <w:p>
      <w:pPr>
        <w:pStyle w:val="ListBody"/>
        <w:tabs>
          <w:tab w:val="left" w:pos="720"/>
        </w:tabs>
        <w:spacing w:after="120" w:line="240" w:lineRule="auto"/>
        <w:ind w:left="720" w:hanging="360"/>
      </w:pPr>
      <w:r>
        <w:t xml:space="preserve">•</w:t>
        <w:tab/>
      </w:r>
      <w:r>
        <w:t xml:space="preserve">That longest wave is no longer than the spacing between waves; a “wave” that lasts longer than the cadence is really continuous activity wearing a wave's clothes.</w:t>
      </w:r>
    </w:p>
    <w:p>
      <w:pPr>
        <w:pStyle w:val="Body"/>
      </w:pPr>
      <w:r>
        <w:t xml:space="preserve">Lanes that fail this test are not discarded — they are usually the most active, highest-dollar lanes on the program. They are simply a different kind of opening: an active continuous sourcing lane. The question is not “when is the next buy?” (the answer is “constantly”) but “is the shipbuilder still buying this work, is the work already split, and could another supplier get in?” Those move to a companion screen — Continuous Sourcing — which reads them on whether the lane is still actively buying, the supplier split, and vendor turnover instead of a date.</w:t>
      </w:r>
    </w:p>
    <w:p>
      <w:pPr>
        <w:pStyle w:val="Heading2"/>
        <w:pBdr>
          <w:bottom w:val="single" w:sz="6" w:space="2" w:color="BFBFBF"/>
        </w:pBdr>
      </w:pPr>
      <w:r>
        <w:rPr>
          <w:color w:val="000000"/>
        </w:rPr>
        <w:t xml:space="preserve">When does a periodic lane come up again? The next sourcing window</w:t>
      </w:r>
    </w:p>
    <w:p>
      <w:pPr>
        <w:pStyle w:val="Body"/>
      </w:pPr>
      <w:r>
        <w:t xml:space="preserve">For the lanes that are genuinely periodic, we estimate the next buy from the lane's own rhythm of past awards — not the Navy's contract schedule. Step by step:</w:t>
      </w:r>
    </w:p>
    <w:p>
      <w:pPr>
        <w:pStyle w:val="ListBody"/>
        <w:tabs>
          <w:tab w:val="left" w:pos="720"/>
        </w:tabs>
        <w:spacing w:after="40" w:line="240" w:lineRule="auto"/>
        <w:ind w:left="720" w:hanging="360"/>
      </w:pPr>
      <w:r>
        <w:t xml:space="preserve">1.</w:t>
        <w:tab/>
      </w:r>
      <w:r>
        <w:t xml:space="preserve">List the dates the lane received supplier awards.</w:t>
      </w:r>
    </w:p>
    <w:p>
      <w:pPr>
        <w:pStyle w:val="ListBody"/>
        <w:tabs>
          <w:tab w:val="left" w:pos="720"/>
        </w:tabs>
        <w:spacing w:after="40" w:line="240" w:lineRule="auto"/>
        <w:ind w:left="720" w:hanging="360"/>
      </w:pPr>
      <w:r>
        <w:t xml:space="preserve">2.</w:t>
        <w:tab/>
      </w:r>
      <w:r>
        <w:t xml:space="preserve">Group nearby dates into a single buy wave — awards within about 90 days of each other count as one event, so a flurry of related paperwork is not mistaken for many separate buys.</w:t>
      </w:r>
    </w:p>
    <w:p>
      <w:pPr>
        <w:pStyle w:val="ListBody"/>
        <w:tabs>
          <w:tab w:val="left" w:pos="720"/>
        </w:tabs>
        <w:spacing w:after="40" w:line="240" w:lineRule="auto"/>
        <w:ind w:left="720" w:hanging="360"/>
      </w:pPr>
      <w:r>
        <w:t xml:space="preserve">3.</w:t>
        <w:tab/>
      </w:r>
      <w:r>
        <w:t xml:space="preserve">Measure the quiet gap between the end of one wave and the start of the next, and the typical length of a wave.</w:t>
      </w:r>
    </w:p>
    <w:p>
      <w:pPr>
        <w:pStyle w:val="ListBody"/>
        <w:tabs>
          <w:tab w:val="left" w:pos="720"/>
        </w:tabs>
        <w:spacing w:after="120" w:line="240" w:lineRule="auto"/>
        <w:ind w:left="720" w:hanging="360"/>
      </w:pPr>
      <w:r>
        <w:t xml:space="preserve">4.</w:t>
        <w:tab/>
      </w:r>
      <w:r>
        <w:t xml:space="preserve">Project the next buy as a window: after the last observed award activity, the model adds a typical quiet gap, then gives the next wave a typical wave length.</w:t>
      </w:r>
    </w:p>
    <w:p>
      <w:pPr>
        <w:pStyle w:val="Body"/>
      </w:pPr>
      <w:r>
        <w:rPr>
          <w:rStyle w:val="Strong"/>
        </w:rPr>
        <w:t xml:space="preserve">Why a window, not a single date: </w:t>
      </w:r>
      <w:r>
        <w:t xml:space="preserve">a re-buy is itself a burst of awards spread over weeks or months, not a one-day event. Forecasting the interval the next burst is likely to fall in is both more honest and far less sensitive to exactly which past award we anchor on.</w:t>
      </w:r>
    </w:p>
    <w:p>
      <w:pPr>
        <w:pStyle w:val="Body"/>
      </w:pPr>
      <w:r>
        <w:t xml:space="preserve">A lane needs at least two buy waves for this to work — one wave gives a date but no spacing. Note too that the cadence reads the lane's whole award history, while the shared test earlier looks only at recent money — a periodic lane has to pass both.</w:t>
      </w:r>
    </w:p>
    <w:p>
      <w:pPr>
        <w:pStyle w:val="Body"/>
      </w:pPr>
      <w:r>
        <w:t xml:space="preserve">The final “periodic opening due” flag simply asks whether that projected window overlaps a chosen horizon. By default the horizon is the twelve months following the as-of date (here, 2026-05-22), not a moving “today,” so the flag reads the same every time the workbook is opened — but the workbook can change that horizon. The horizon length, the periodic-vs-continuous thresholds, and the shared-test cutoffs are all adjustable controls.</w:t>
      </w:r>
    </w:p>
    <w:p>
      <w:pPr>
        <w:pStyle w:val="Heading2"/>
        <w:pBdr>
          <w:bottom w:val="single" w:sz="6" w:space="2" w:color="BFBFBF"/>
        </w:pBdr>
      </w:pPr>
      <w:r>
        <w:rPr>
          <w:color w:val="000000"/>
        </w:rPr>
        <w:t xml:space="preserve">Is it the same kind of buy each time?</w:t>
      </w:r>
    </w:p>
    <w:p>
      <w:pPr>
        <w:pStyle w:val="Body"/>
      </w:pPr>
      <w:r>
        <w:t xml:space="preserve">Timing alone is not enough. A lane can have a repeated rhythm but still be buying different things each time. So the analysis also checks whether the past waves look similar. It asks:</w:t>
      </w:r>
    </w:p>
    <w:p>
      <w:pPr>
        <w:pStyle w:val="ListBody"/>
        <w:tabs>
          <w:tab w:val="left" w:pos="720"/>
        </w:tabs>
        <w:spacing w:after="40" w:line="240" w:lineRule="auto"/>
        <w:ind w:left="720" w:hanging="360"/>
      </w:pPr>
      <w:r>
        <w:t xml:space="preserve">•</w:t>
        <w:tab/>
      </w:r>
      <w:r>
        <w:t xml:space="preserve">Do the same suppliers show up from one wave to the next?</w:t>
      </w:r>
    </w:p>
    <w:p>
      <w:pPr>
        <w:pStyle w:val="ListBody"/>
        <w:tabs>
          <w:tab w:val="left" w:pos="720"/>
        </w:tabs>
        <w:spacing w:after="40" w:line="240" w:lineRule="auto"/>
        <w:ind w:left="720" w:hanging="360"/>
      </w:pPr>
      <w:r>
        <w:t xml:space="preserve">•</w:t>
        <w:tab/>
      </w:r>
      <w:r>
        <w:t xml:space="preserve">Is the dollar split among suppliers similar each time?</w:t>
      </w:r>
    </w:p>
    <w:p>
      <w:pPr>
        <w:pStyle w:val="ListBody"/>
        <w:tabs>
          <w:tab w:val="left" w:pos="720"/>
        </w:tabs>
        <w:spacing w:after="40" w:line="240" w:lineRule="auto"/>
        <w:ind w:left="720" w:hanging="360"/>
      </w:pPr>
      <w:r>
        <w:t xml:space="preserve">•</w:t>
        <w:tab/>
      </w:r>
      <w:r>
        <w:t xml:space="preserve">Does the same kind of capability show up in the waves?</w:t>
      </w:r>
    </w:p>
    <w:p>
      <w:pPr>
        <w:pStyle w:val="ListBody"/>
        <w:tabs>
          <w:tab w:val="left" w:pos="720"/>
        </w:tabs>
        <w:spacing w:after="120" w:line="240" w:lineRule="auto"/>
        <w:ind w:left="720" w:hanging="360"/>
      </w:pPr>
      <w:r>
        <w:t xml:space="preserve">•</w:t>
        <w:tab/>
      </w:r>
      <w:r>
        <w:t xml:space="preserve">Does the wave count stay roughly the same if the grouping window is loosened or tightened?</w:t>
      </w:r>
    </w:p>
    <w:p>
      <w:pPr>
        <w:pStyle w:val="Body"/>
      </w:pPr>
      <w:r>
        <w:t xml:space="preserve">A lane with similar suppliers, similar dollar splits, and similar capabilities is a cleaner recurring sourcing pattern. A lane where every wave has a different supplier mix or different capability mix is still worth watching, but the timing read is less specific.</w:t>
      </w:r>
    </w:p>
    <w:p>
      <w:pPr>
        <w:pStyle w:val="Heading2"/>
        <w:pBdr>
          <w:bottom w:val="single" w:sz="6" w:space="2" w:color="BFBFBF"/>
        </w:pBdr>
      </w:pPr>
      <w:r>
        <w:rPr>
          <w:color w:val="000000"/>
        </w:rPr>
        <w:t xml:space="preserve">Can we tell what the wave is tied to?</w:t>
      </w:r>
    </w:p>
    <w:p>
      <w:pPr>
        <w:pStyle w:val="Body"/>
      </w:pPr>
      <w:r>
        <w:t xml:space="preserve">Sometimes, but only carefully. The analysis looks for clues: the lane's work type, the finer capability tags on its suppliers, whether the same capability repeats across waves, and whether a wave tends to sit near a prime-contract action. Those clues can suggest a wave is tied to a recurring package of work. But this is a confidence read, not a hard label. If the text is vague or the supplier mix changes a lot, the model should not pretend it knows the exact part of the ship.</w:t>
      </w:r>
    </w:p>
    <w:p>
      <w:pPr>
        <w:pStyle w:val="Heading2"/>
        <w:pBdr>
          <w:bottom w:val="single" w:sz="6" w:space="2" w:color="BFBFBF"/>
        </w:pBdr>
      </w:pPr>
      <w:r>
        <w:rPr>
          <w:color w:val="000000"/>
        </w:rPr>
        <w:t xml:space="preserve">Two honest limits</w:t>
      </w:r>
    </w:p>
    <w:p>
      <w:pPr>
        <w:pStyle w:val="ListBody"/>
        <w:tabs>
          <w:tab w:val="left" w:pos="720"/>
        </w:tabs>
        <w:spacing w:after="40" w:line="240" w:lineRule="auto"/>
        <w:ind w:left="720" w:hanging="360"/>
      </w:pPr>
      <w:r>
        <w:t xml:space="preserve">•</w:t>
        <w:tab/>
      </w:r>
      <w:r>
        <w:rPr>
          <w:rStyle w:val="Strong"/>
        </w:rPr>
        <w:t xml:space="preserve">Timing follows the supplier rhythm, not the Navy's prime-contract schedule.</w:t>
      </w:r>
    </w:p>
    <w:p>
      <w:pPr>
        <w:pStyle w:val="ListBody"/>
        <w:tabs>
          <w:tab w:val="left" w:pos="1080"/>
        </w:tabs>
        <w:spacing w:after="40" w:line="240" w:lineRule="auto"/>
        <w:ind w:left="1080" w:hanging="360"/>
      </w:pPr>
      <w:r>
        <w:t xml:space="preserve">◦</w:t>
        <w:tab/>
      </w:r>
      <w:r>
        <w:t xml:space="preserve">We tested whether supplier re-buys line up with the big prime / block awards and found they do not line up cleanly, so the prime schedule is shown only as context.</w:t>
      </w:r>
    </w:p>
    <w:p>
      <w:pPr>
        <w:pStyle w:val="ListBody"/>
        <w:tabs>
          <w:tab w:val="left" w:pos="720"/>
        </w:tabs>
        <w:spacing w:after="40" w:line="240" w:lineRule="auto"/>
        <w:ind w:left="720" w:hanging="360"/>
      </w:pPr>
      <w:r>
        <w:t xml:space="preserve">•</w:t>
        <w:tab/>
      </w:r>
      <w:r>
        <w:rPr>
          <w:rStyle w:val="Strong"/>
        </w:rPr>
        <w:t xml:space="preserve">The shared test reads on dollar share, not a head-count of suppliers.</w:t>
      </w:r>
    </w:p>
    <w:p>
      <w:pPr>
        <w:pStyle w:val="ListBody"/>
        <w:tabs>
          <w:tab w:val="left" w:pos="1080"/>
        </w:tabs>
        <w:spacing w:after="120" w:line="240" w:lineRule="auto"/>
        <w:ind w:left="1080" w:hanging="360"/>
      </w:pPr>
      <w:r>
        <w:t xml:space="preserve">◦</w:t>
        <w:tab/>
      </w:r>
      <w:r>
        <w:t xml:space="preserve">A lane with five suppliers where one holds 95% still counts as concentrated, not shared.</w:t>
      </w:r>
    </w:p>
    <w:p>
      <w:pPr>
        <w:pStyle w:val="Caption"/>
        <w:keepNext/>
      </w:pPr>
      <w:r>
        <w:rPr>
          <w:color w:val="000000"/>
        </w:rPr>
        <w:t xml:space="preserve">Table 1. The sourcing read at a glance</w:t>
      </w:r>
    </w:p>
    <w:tbl>
      <w:tblPr>
        <w:tblStyle w:val="RuleTable"/>
        <w:tblW w:w="5000" w:type="pct"/>
        <w:tblLook w:val="04A0" w:firstRow="1" w:lastRow="0" w:firstColumn="0" w:lastColumn="0" w:noHBand="0" w:noVBand="1"/>
      </w:tblPr>
      <w:tblGrid>
        <w:gridCol w:w="3120"/>
        <w:gridCol w:w="3120"/>
        <w:gridCol w:w="3120"/>
      </w:tblGrid>
      <w:tr>
        <w:trPr>
          <w:cantSplit/>
          <w:tblHeader/>
        </w:trPr>
        <w:tc>
          <w:tcPr>
            <w:tcW w:w="0" w:type="auto"/>
          </w:tcPr>
          <w:p>
            <w:pPr>
              <w:pStyle w:val="Body"/>
            </w:pPr>
            <w:r>
              <w:t xml:space="preserve">Piece</w:t>
            </w:r>
          </w:p>
        </w:tc>
        <w:tc>
          <w:tcPr>
            <w:tcW w:w="0" w:type="auto"/>
          </w:tcPr>
          <w:p>
            <w:pPr>
              <w:pStyle w:val="Body"/>
            </w:pPr>
            <w:r>
              <w:t xml:space="preserve">Plain meaning</w:t>
            </w:r>
          </w:p>
        </w:tc>
        <w:tc>
          <w:tcPr>
            <w:tcW w:w="0" w:type="auto"/>
          </w:tcPr>
          <w:p>
            <w:pPr>
              <w:pStyle w:val="Body"/>
            </w:pPr>
            <w:r>
              <w:t xml:space="preserve">Where it comes from</w:t>
            </w:r>
          </w:p>
        </w:tc>
      </w:tr>
      <w:tr>
        <w:trPr>
          <w:cantSplit/>
        </w:trPr>
        <w:tc>
          <w:tcPr>
            <w:tcW w:w="0" w:type="auto"/>
          </w:tcPr>
          <w:p>
            <w:pPr>
              <w:pStyle w:val="Body"/>
            </w:pPr>
            <w:r>
              <w:t xml:space="preserve">Recent active suppliers</w:t>
            </w:r>
          </w:p>
        </w:tc>
        <w:tc>
          <w:tcPr>
            <w:tcW w:w="0" w:type="auto"/>
          </w:tcPr>
          <w:p>
            <w:pPr>
              <w:pStyle w:val="Body"/>
            </w:pPr>
            <w:r>
              <w:t xml:space="preserve">How many real suppliers compete in the lane</w:t>
            </w:r>
          </w:p>
        </w:tc>
        <w:tc>
          <w:tcPr>
            <w:tcW w:w="0" w:type="auto"/>
          </w:tcPr>
          <w:p>
            <w:pPr>
              <w:pStyle w:val="Body"/>
            </w:pPr>
            <w:r>
              <w:t xml:space="preserve">Count of suppliers with recent awards</w:t>
            </w:r>
          </w:p>
        </w:tc>
      </w:tr>
      <w:tr>
        <w:trPr>
          <w:cantSplit/>
        </w:trPr>
        <w:tc>
          <w:tcPr>
            <w:tcW w:w="0" w:type="auto"/>
          </w:tcPr>
          <w:p>
            <w:pPr>
              <w:pStyle w:val="Body"/>
            </w:pPr>
            <w:r>
              <w:t xml:space="preserve">Shared dollar %</w:t>
            </w:r>
          </w:p>
        </w:tc>
        <w:tc>
          <w:tcPr>
            <w:tcW w:w="0" w:type="auto"/>
          </w:tcPr>
          <w:p>
            <w:pPr>
              <w:pStyle w:val="Body"/>
            </w:pPr>
            <w:r>
              <w:t xml:space="preserve">How much of the recent money is spread beyond the top supplier</w:t>
            </w:r>
          </w:p>
        </w:tc>
        <w:tc>
          <w:tcPr>
            <w:tcW w:w="0" w:type="auto"/>
          </w:tcPr>
          <w:p>
            <w:pPr>
              <w:pStyle w:val="Body"/>
            </w:pPr>
            <w:r>
              <w:t xml:space="preserve">100% minus the top supplier's share</w:t>
            </w:r>
          </w:p>
        </w:tc>
      </w:tr>
      <w:tr>
        <w:trPr>
          <w:cantSplit/>
        </w:trPr>
        <w:tc>
          <w:tcPr>
            <w:tcW w:w="0" w:type="auto"/>
          </w:tcPr>
          <w:p>
            <w:pPr>
              <w:pStyle w:val="Body"/>
            </w:pPr>
            <w:r>
              <w:t xml:space="preserve">Sourcing mode</w:t>
            </w:r>
          </w:p>
        </w:tc>
        <w:tc>
          <w:tcPr>
            <w:tcW w:w="0" w:type="auto"/>
          </w:tcPr>
          <w:p>
            <w:pPr>
              <w:pStyle w:val="Body"/>
            </w:pPr>
            <w:r>
              <w:t xml:space="preserve">Whether the lane buys in discrete cycles or continuously</w:t>
            </w:r>
          </w:p>
        </w:tc>
        <w:tc>
          <w:tcPr>
            <w:tcW w:w="0" w:type="auto"/>
          </w:tcPr>
          <w:p>
            <w:pPr>
              <w:pStyle w:val="Body"/>
            </w:pPr>
            <w:r>
              <w:t xml:space="preserve">Read from the wave shape — wave count and longest wave length</w:t>
            </w:r>
          </w:p>
        </w:tc>
      </w:tr>
      <w:tr>
        <w:trPr>
          <w:cantSplit/>
        </w:trPr>
        <w:tc>
          <w:tcPr>
            <w:tcW w:w="0" w:type="auto"/>
          </w:tcPr>
          <w:p>
            <w:pPr>
              <w:pStyle w:val="Body"/>
            </w:pPr>
            <w:r>
              <w:t xml:space="preserve">Award-wave cadence</w:t>
            </w:r>
          </w:p>
        </w:tc>
        <w:tc>
          <w:tcPr>
            <w:tcW w:w="0" w:type="auto"/>
          </w:tcPr>
          <w:p>
            <w:pPr>
              <w:pStyle w:val="Body"/>
            </w:pPr>
            <w:r>
              <w:t xml:space="preserve">A periodic lane's typical spacing between buy waves</w:t>
            </w:r>
          </w:p>
        </w:tc>
        <w:tc>
          <w:tcPr>
            <w:tcW w:w="0" w:type="auto"/>
          </w:tcPr>
          <w:p>
            <w:pPr>
              <w:pStyle w:val="Body"/>
            </w:pPr>
            <w:r>
              <w:t xml:space="preserve">Median gap between past award waves</w:t>
            </w:r>
          </w:p>
        </w:tc>
      </w:tr>
      <w:tr>
        <w:trPr>
          <w:cantSplit/>
        </w:trPr>
        <w:tc>
          <w:tcPr>
            <w:tcW w:w="0" w:type="auto"/>
          </w:tcPr>
          <w:p>
            <w:pPr>
              <w:pStyle w:val="Body"/>
            </w:pPr>
            <w:r>
              <w:t xml:space="preserve">Next periodic sourcing window</w:t>
            </w:r>
          </w:p>
        </w:tc>
        <w:tc>
          <w:tcPr>
            <w:tcW w:w="0" w:type="auto"/>
          </w:tcPr>
          <w:p>
            <w:pPr>
              <w:pStyle w:val="Body"/>
            </w:pPr>
            <w:r>
              <w:t xml:space="preserve">The interval the next buy is likely to fall in</w:t>
            </w:r>
          </w:p>
        </w:tc>
        <w:tc>
          <w:tcPr>
            <w:tcW w:w="0" w:type="auto"/>
          </w:tcPr>
          <w:p>
            <w:pPr>
              <w:pStyle w:val="Body"/>
            </w:pPr>
            <w:r>
              <w:t xml:space="preserve">Last award plus a typical quiet gap, running one typical wave long</w:t>
            </w:r>
          </w:p>
        </w:tc>
      </w:tr>
      <w:tr>
        <w:trPr>
          <w:cantSplit/>
        </w:trPr>
        <w:tc>
          <w:tcPr>
            <w:tcW w:w="0" w:type="auto"/>
          </w:tcPr>
          <w:p>
            <w:pPr>
              <w:pStyle w:val="Body"/>
            </w:pPr>
            <w:r>
              <w:t xml:space="preserve">Periodic opening due</w:t>
            </w:r>
          </w:p>
        </w:tc>
        <w:tc>
          <w:tcPr>
            <w:tcW w:w="0" w:type="auto"/>
          </w:tcPr>
          <w:p>
            <w:pPr>
              <w:pStyle w:val="Body"/>
            </w:pPr>
            <w:r>
              <w:t xml:space="preserve">Whether that window lands soon (periodic lanes only)</w:t>
            </w:r>
          </w:p>
        </w:tc>
        <w:tc>
          <w:tcPr>
            <w:tcW w:w="0" w:type="auto"/>
          </w:tcPr>
          <w:p>
            <w:pPr>
              <w:pStyle w:val="Body"/>
            </w:pPr>
            <w:r>
              <w:t xml:space="preserve">The next-buy window overlaps the horizon after the as-of date</w:t>
            </w:r>
          </w:p>
        </w:tc>
      </w:tr>
      <w:tr>
        <w:trPr>
          <w:cantSplit/>
        </w:trPr>
        <w:tc>
          <w:tcPr>
            <w:tcW w:w="0" w:type="auto"/>
          </w:tcPr>
          <w:p>
            <w:pPr>
              <w:pStyle w:val="Body"/>
            </w:pPr>
            <w:r>
              <w:t xml:space="preserve">Active continuous sourcing opening</w:t>
            </w:r>
          </w:p>
        </w:tc>
        <w:tc>
          <w:tcPr>
            <w:tcW w:w="0" w:type="auto"/>
          </w:tcPr>
          <w:p>
            <w:pPr>
              <w:pStyle w:val="Body"/>
            </w:pPr>
            <w:r>
              <w:t xml:space="preserve">A continuously-bought, already-shared lane to pursue now</w:t>
            </w:r>
          </w:p>
        </w:tc>
        <w:tc>
          <w:tcPr>
            <w:tcW w:w="0" w:type="auto"/>
          </w:tcPr>
          <w:p>
            <w:pPr>
              <w:pStyle w:val="Body"/>
            </w:pPr>
            <w:r>
              <w:t xml:space="preserve">Continuous lane that is still buying recently, has material spend, and is not dominated by one supplier (Continuous Sourcing)</w:t>
            </w:r>
          </w:p>
        </w:tc>
      </w:tr>
    </w:tbl>
    <w:p>
      <w:pPr>
        <w:pStyle w:val="Heading2"/>
        <w:pBdr>
          <w:bottom w:val="single" w:sz="6" w:space="2" w:color="BFBFBF"/>
        </w:pBdr>
      </w:pPr>
      <w:r>
        <w:rPr>
          <w:color w:val="000000"/>
        </w:rPr>
        <w:t xml:space="preserve">What the analysis reads from the data</w:t>
      </w:r>
    </w:p>
    <w:p>
      <w:pPr>
        <w:pStyle w:val="Body"/>
      </w:pPr>
      <w:r>
        <w:t xml:space="preserve">Each subaward filing is rich — dozens of fields covering the supplier, the dollars, the dates, and the parent contract. The re-buy read leans on only a few of them, and the ones it uses are well populated:</w:t>
      </w:r>
    </w:p>
    <w:p>
      <w:pPr>
        <w:pStyle w:val="Caption"/>
        <w:keepNext/>
      </w:pPr>
      <w:r>
        <w:rPr>
          <w:color w:val="000000"/>
        </w:rPr>
        <w:t xml:space="preserve">Table 2. What the read uses, and how complete it is</w:t>
      </w:r>
    </w:p>
    <w:tbl>
      <w:tblPr>
        <w:tblStyle w:val="RuleTable"/>
        <w:tblW w:w="5000" w:type="pct"/>
        <w:tblLook w:val="04A0" w:firstRow="1" w:lastRow="0" w:firstColumn="0" w:lastColumn="0" w:noHBand="0" w:noVBand="1"/>
      </w:tblPr>
      <w:tblGrid>
        <w:gridCol w:w="3120"/>
        <w:gridCol w:w="3120"/>
        <w:gridCol w:w="3120"/>
      </w:tblGrid>
      <w:tr>
        <w:trPr>
          <w:cantSplit/>
          <w:tblHeader/>
        </w:trPr>
        <w:tc>
          <w:tcPr>
            <w:tcW w:w="0" w:type="auto"/>
          </w:tcPr>
          <w:p>
            <w:pPr>
              <w:pStyle w:val="Body"/>
            </w:pPr>
            <w:r>
              <w:t xml:space="preserve">What we read</w:t>
            </w:r>
          </w:p>
        </w:tc>
        <w:tc>
          <w:tcPr>
            <w:tcW w:w="0" w:type="auto"/>
          </w:tcPr>
          <w:p>
            <w:pPr>
              <w:pStyle w:val="Body"/>
            </w:pPr>
            <w:r>
              <w:t xml:space="preserve">What it feeds</w:t>
            </w:r>
          </w:p>
        </w:tc>
        <w:tc>
          <w:tcPr>
            <w:tcW w:w="0" w:type="auto"/>
          </w:tcPr>
          <w:p>
            <w:pPr>
              <w:pStyle w:val="Body"/>
            </w:pPr>
            <w:r>
              <w:t xml:space="preserve">How complete</w:t>
            </w:r>
          </w:p>
        </w:tc>
      </w:tr>
      <w:tr>
        <w:trPr>
          <w:cantSplit/>
        </w:trPr>
        <w:tc>
          <w:tcPr>
            <w:tcW w:w="0" w:type="auto"/>
          </w:tcPr>
          <w:p>
            <w:pPr>
              <w:pStyle w:val="Body"/>
            </w:pPr>
            <w:r>
              <w:t xml:space="preserve">Award date</w:t>
            </w:r>
          </w:p>
        </w:tc>
        <w:tc>
          <w:tcPr>
            <w:tcW w:w="0" w:type="auto"/>
          </w:tcPr>
          <w:p>
            <w:pPr>
              <w:pStyle w:val="Body"/>
            </w:pPr>
            <w:r>
              <w:t xml:space="preserve">Whether an award is recent, and the cadence between buy waves</w:t>
            </w:r>
          </w:p>
        </w:tc>
        <w:tc>
          <w:tcPr>
            <w:tcW w:w="0" w:type="auto"/>
          </w:tcPr>
          <w:p>
            <w:pPr>
              <w:pStyle w:val="Body"/>
            </w:pPr>
            <w:r>
              <w:t xml:space="preserve">On every record</w:t>
            </w:r>
          </w:p>
        </w:tc>
      </w:tr>
      <w:tr>
        <w:trPr>
          <w:cantSplit/>
        </w:trPr>
        <w:tc>
          <w:tcPr>
            <w:tcW w:w="0" w:type="auto"/>
          </w:tcPr>
          <w:p>
            <w:pPr>
              <w:pStyle w:val="Body"/>
            </w:pPr>
            <w:r>
              <w:t xml:space="preserve">Award amount</w:t>
            </w:r>
          </w:p>
        </w:tc>
        <w:tc>
          <w:tcPr>
            <w:tcW w:w="0" w:type="auto"/>
          </w:tcPr>
          <w:p>
            <w:pPr>
              <w:pStyle w:val="Body"/>
            </w:pPr>
            <w:r>
              <w:t xml:space="preserve">Recent dollars and the shared % (top supplier vs. the rest)</w:t>
            </w:r>
          </w:p>
        </w:tc>
        <w:tc>
          <w:tcPr>
            <w:tcW w:w="0" w:type="auto"/>
          </w:tcPr>
          <w:p>
            <w:pPr>
              <w:pStyle w:val="Body"/>
            </w:pPr>
            <w:r>
              <w:t xml:space="preserve">On essentially every record; a few downward corrections are netted out</w:t>
            </w:r>
          </w:p>
        </w:tc>
      </w:tr>
      <w:tr>
        <w:trPr>
          <w:cantSplit/>
        </w:trPr>
        <w:tc>
          <w:tcPr>
            <w:tcW w:w="0" w:type="auto"/>
          </w:tcPr>
          <w:p>
            <w:pPr>
              <w:pStyle w:val="Body"/>
            </w:pPr>
            <w:r>
              <w:t xml:space="preserve">Supplier identity</w:t>
            </w:r>
          </w:p>
        </w:tc>
        <w:tc>
          <w:tcPr>
            <w:tcW w:w="0" w:type="auto"/>
          </w:tcPr>
          <w:p>
            <w:pPr>
              <w:pStyle w:val="Body"/>
            </w:pPr>
            <w:r>
              <w:t xml:space="preserve">Who is winning work, the supplier count, and each one's share</w:t>
            </w:r>
          </w:p>
        </w:tc>
        <w:tc>
          <w:tcPr>
            <w:tcW w:w="0" w:type="auto"/>
          </w:tcPr>
          <w:p>
            <w:pPr>
              <w:pStyle w:val="Body"/>
            </w:pPr>
            <w:r>
              <w:t xml:space="preserve">On every record; rolled up to the corporate parent about two-thirds of the time</w:t>
            </w:r>
          </w:p>
        </w:tc>
      </w:tr>
      <w:tr>
        <w:trPr>
          <w:cantSplit/>
        </w:trPr>
        <w:tc>
          <w:tcPr>
            <w:tcW w:w="0" w:type="auto"/>
          </w:tcPr>
          <w:p>
            <w:pPr>
              <w:pStyle w:val="Body"/>
            </w:pPr>
            <w:r>
              <w:t xml:space="preserve">Work type</w:t>
            </w:r>
          </w:p>
        </w:tc>
        <w:tc>
          <w:tcPr>
            <w:tcW w:w="0" w:type="auto"/>
          </w:tcPr>
          <w:p>
            <w:pPr>
              <w:pStyle w:val="Body"/>
            </w:pPr>
            <w:r>
              <w:t xml:space="preserve">Which lane the award belongs to</w:t>
            </w:r>
          </w:p>
        </w:tc>
        <w:tc>
          <w:tcPr>
            <w:tcW w:w="0" w:type="auto"/>
          </w:tcPr>
          <w:p>
            <w:pPr>
              <w:pStyle w:val="Body"/>
            </w:pPr>
            <w:r>
              <w:t xml:space="preserve">Set from the supplier's business classification, not the award's text</w:t>
            </w:r>
          </w:p>
        </w:tc>
      </w:tr>
      <w:tr>
        <w:trPr>
          <w:cantSplit/>
        </w:trPr>
        <w:tc>
          <w:tcPr>
            <w:tcW w:w="0" w:type="auto"/>
          </w:tcPr>
          <w:p>
            <w:pPr>
              <w:pStyle w:val="Body"/>
            </w:pPr>
            <w:r>
              <w:t xml:space="preserve">Capability tag</w:t>
            </w:r>
          </w:p>
        </w:tc>
        <w:tc>
          <w:tcPr>
            <w:tcW w:w="0" w:type="auto"/>
          </w:tcPr>
          <w:p>
            <w:pPr>
              <w:pStyle w:val="Body"/>
            </w:pPr>
            <w:r>
              <w:t xml:space="preserve">A finer read of what a supplier does, inside a lane</w:t>
            </w:r>
          </w:p>
        </w:tc>
        <w:tc>
          <w:tcPr>
            <w:tcW w:w="0" w:type="auto"/>
          </w:tcPr>
          <w:p>
            <w:pPr>
              <w:pStyle w:val="Body"/>
            </w:pPr>
            <w:r>
              <w:t xml:space="preserve">On about two-thirds of records — a secondary detail, not the core signal</w:t>
            </w:r>
          </w:p>
        </w:tc>
      </w:tr>
      <w:tr>
        <w:trPr>
          <w:cantSplit/>
        </w:trPr>
        <w:tc>
          <w:tcPr>
            <w:tcW w:w="0" w:type="auto"/>
          </w:tcPr>
          <w:p>
            <w:pPr>
              <w:pStyle w:val="Body"/>
            </w:pPr>
            <w:r>
              <w:t xml:space="preserve">Award-wave shape</w:t>
            </w:r>
          </w:p>
        </w:tc>
        <w:tc>
          <w:tcPr>
            <w:tcW w:w="0" w:type="auto"/>
          </w:tcPr>
          <w:p>
            <w:pPr>
              <w:pStyle w:val="Body"/>
            </w:pPr>
            <w:r>
              <w:t xml:space="preserve">Periodic vs. continuous classification</w:t>
            </w:r>
          </w:p>
        </w:tc>
        <w:tc>
          <w:tcPr>
            <w:tcW w:w="0" w:type="auto"/>
          </w:tcPr>
          <w:p>
            <w:pPr>
              <w:pStyle w:val="Body"/>
            </w:pPr>
            <w:r>
              <w:t xml:space="preserve">Derived from award dates; stronger when there are several waves</w:t>
            </w:r>
          </w:p>
        </w:tc>
      </w:tr>
      <w:tr>
        <w:trPr>
          <w:cantSplit/>
        </w:trPr>
        <w:tc>
          <w:tcPr>
            <w:tcW w:w="0" w:type="auto"/>
          </w:tcPr>
          <w:p>
            <w:pPr>
              <w:pStyle w:val="Body"/>
            </w:pPr>
            <w:r>
              <w:t xml:space="preserve">Supplier mix by wave</w:t>
            </w:r>
          </w:p>
        </w:tc>
        <w:tc>
          <w:tcPr>
            <w:tcW w:w="0" w:type="auto"/>
          </w:tcPr>
          <w:p>
            <w:pPr>
              <w:pStyle w:val="Body"/>
            </w:pPr>
            <w:r>
              <w:t xml:space="preserve">Whether the same suppliers and dollar split recur</w:t>
            </w:r>
          </w:p>
        </w:tc>
        <w:tc>
          <w:tcPr>
            <w:tcW w:w="0" w:type="auto"/>
          </w:tcPr>
          <w:p>
            <w:pPr>
              <w:pStyle w:val="Body"/>
            </w:pPr>
            <w:r>
              <w:t xml:space="preserve">Derived from supplier identity and award dollars</w:t>
            </w:r>
          </w:p>
        </w:tc>
      </w:tr>
      <w:tr>
        <w:trPr>
          <w:cantSplit/>
        </w:trPr>
        <w:tc>
          <w:tcPr>
            <w:tcW w:w="0" w:type="auto"/>
          </w:tcPr>
          <w:p>
            <w:pPr>
              <w:pStyle w:val="Body"/>
            </w:pPr>
            <w:r>
              <w:t xml:space="preserve">Prime-contract dates</w:t>
            </w:r>
          </w:p>
        </w:tc>
        <w:tc>
          <w:tcPr>
            <w:tcW w:w="0" w:type="auto"/>
          </w:tcPr>
          <w:p>
            <w:pPr>
              <w:pStyle w:val="Body"/>
            </w:pPr>
            <w:r>
              <w:t xml:space="preserve">Context only — not the timing clock</w:t>
            </w:r>
          </w:p>
        </w:tc>
        <w:tc>
          <w:tcPr>
            <w:tcW w:w="0" w:type="auto"/>
          </w:tcPr>
          <w:p>
            <w:pPr>
              <w:pStyle w:val="Body"/>
            </w:pPr>
            <w:r>
              <w:t xml:space="preserve">Available for in-scope PIIDs, but not used as the primary timing driver</w:t>
            </w:r>
          </w:p>
        </w:tc>
      </w:tr>
    </w:tbl>
    <w:p>
      <w:pPr>
        <w:pStyle w:val="Body"/>
      </w:pPr>
      <w:r>
        <w:t xml:space="preserve">The data also carries a free-text description on each line, which might look like the obvious way to label the kind of work. We do not use it for that, because it is unreliable.</w:t>
      </w:r>
    </w:p>
    <w:p>
      <w:pPr>
        <w:pStyle w:val="Body"/>
      </w:pPr>
      <w:r>
        <w:t xml:space="preserve">On submarine records about three-quarters of those descriptions just say “see below” or “see remarks,” which point to the report's other free-text field. Follow the pointer and you usually land not on a part but on which boat or build year the line sits on (“SSN 792 construction”), or what kind of administrative change it was (a billing revision, a subcontracting-plan update) — only occasionally on the actual component. On DDG records the description is mostly internal shipyard job codes. Either way it is a contract- or action-level label repeated across many lines, so we read the kind of work from the supplier instead.</w:t>
      </w:r>
    </w:p>
    <w:p>
      <w:pPr>
        <w:pStyle w:val="Source"/>
      </w:pPr>
      <w:r>
        <w:rPr>
          <w:color w:val="000000"/>
        </w:rPr>
        <w:t xml:space="preserve">Plain-language companion to the Award Analysis workbook (Periodic Sourcing + Continuous Sourcing screens). Basis: FSRS supplier-role subaward records for Virginia / Columbia / DDG-51, as of 2026-05-22; exact figures, thresholds, and the live controls live in the workbook.</w:t>
      </w:r>
    </w:p>
    <w:sectPr>
      <w:type w:val="nextPage"/>
      <w:pgSz w:w="12240" w:h="15840"/>
      <w:pgMar w:top="1440" w:right="1080" w:bottom="1440" w:left="1080" w:header="720" w:footer="720" w:gutter="0"/>
      <w:cols w:space="720" w:num="1"/>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 w:name="Symbol">
    <w:charset w:val="00"/>
    <w:family w:val="roman"/>
    <w:pitch w:val="variable"/>
  </w:font>
  <w:font w:name="Courier New">
    <w:charset w:val="00"/>
    <w:family w:val="modern"/>
    <w:pitch w:val="variable"/>
  </w:font>
  <w:font w:name="Wingdings">
    <w:charset w:val="00"/>
    <w:family w:val="auto"/>
    <w:pitch w:val="variable"/>
  </w:font>
</w:fonts>
</file>

<file path=word/numbering.xml><?xml version="1.0" encoding="utf-8"?>
<w:numbering xmlns:w="http://schemas.openxmlformats.org/wordprocessingml/2006/main" xmlns:r="http://schemas.openxmlformats.org/officeDocument/2006/relationships">
  <w:abstractNum w:abstractNumId="0">
    <w:nsid w:val="0A1B2C3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1">
    <w:nsid w:val="0A1B2C3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abstractNum w:abstractNumId="2">
    <w:nsid w:val="0A1B2C32"/>
    <w:multiLevelType w:val="multilevel"/>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2"/>
        <w:szCs w:val="22"/>
        <w:lang w:val="en-US"/>
      </w:rPr>
    </w:rPrDefault>
    <w:pPrDefault>
      <w:pPr>
        <w:spacing w:before="0" w:after="120" w:line="276" w:lineRule="auto"/>
      </w:pPr>
    </w:pPrDefault>
  </w:docDefaults>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default="1" w:styleId="Normal">
    <w:name w:val="Normal"/>
    <w:qFormat/>
  </w:style>
  <w:style w:type="paragraph" w:styleId="Body" w:customStyle="1">
    <w:name w:val="Body"/>
    <w:basedOn w:val="Normal"/>
    <w:next w:val="Body"/>
    <w:qFormat/>
    <w:pPr>
      <w:spacing w:before="0" w:after="120" w:line="276" w:lineRule="auto"/>
    </w:pPr>
    <w:rPr>
      <w:rFonts w:ascii="Arial" w:hAnsi="Arial" w:cs="Arial"/>
      <w:color w:val="000000"/>
      <w:sz w:val="22"/>
      <w:szCs w:val="22"/>
    </w:rPr>
  </w:style>
  <w:style w:type="paragraph" w:styleId="Heading1">
    <w:name w:val="heading 1"/>
    <w:basedOn w:val="Normal"/>
    <w:next w:val="Body"/>
    <w:uiPriority w:val="9"/>
    <w:qFormat/>
    <w:pPr>
      <w:keepNext/>
      <w:spacing w:before="360" w:after="120" w:line="240" w:lineRule="auto"/>
      <w:outlineLvl w:val="0"/>
    </w:pPr>
    <w:rPr>
      <w:rFonts w:ascii="Arial" w:hAnsi="Arial" w:cs="Arial"/>
      <w:b/>
      <w:color w:val="263746"/>
      <w:sz w:val="32"/>
      <w:szCs w:val="32"/>
    </w:rPr>
  </w:style>
  <w:style w:type="paragraph" w:styleId="Heading2">
    <w:name w:val="heading 2"/>
    <w:basedOn w:val="Normal"/>
    <w:next w:val="Body"/>
    <w:uiPriority w:val="9"/>
    <w:qFormat/>
    <w:pPr>
      <w:keepNext/>
      <w:spacing w:before="240" w:after="80" w:line="240" w:lineRule="auto"/>
      <w:outlineLvl w:val="1"/>
    </w:pPr>
    <w:rPr>
      <w:rFonts w:ascii="Arial" w:hAnsi="Arial" w:cs="Arial"/>
      <w:b/>
      <w:color w:val="263746"/>
      <w:sz w:val="26"/>
      <w:szCs w:val="26"/>
    </w:rPr>
  </w:style>
  <w:style w:type="paragraph" w:styleId="Heading3">
    <w:name w:val="heading 3"/>
    <w:basedOn w:val="Normal"/>
    <w:next w:val="Body"/>
    <w:uiPriority w:val="9"/>
    <w:qFormat/>
    <w:pPr>
      <w:keepNext/>
      <w:spacing w:before="200" w:after="80" w:line="240" w:lineRule="auto"/>
      <w:outlineLvl w:val="2"/>
    </w:pPr>
    <w:rPr>
      <w:rFonts w:ascii="Arial" w:hAnsi="Arial" w:cs="Arial"/>
      <w:b/>
      <w:color w:val="263746"/>
      <w:sz w:val="23"/>
      <w:szCs w:val="23"/>
    </w:rPr>
  </w:style>
  <w:style w:type="paragraph" w:styleId="Title">
    <w:name w:val="Title"/>
    <w:basedOn w:val="Normal"/>
    <w:next w:val="Body"/>
    <w:uiPriority w:val="10"/>
    <w:qFormat/>
    <w:pPr>
      <w:spacing w:before="0" w:after="240" w:line="240" w:lineRule="auto"/>
    </w:pPr>
    <w:rPr>
      <w:rFonts w:ascii="Arial" w:hAnsi="Arial" w:cs="Arial"/>
      <w:b/>
      <w:color w:val="000000"/>
      <w:sz w:val="52"/>
      <w:szCs w:val="52"/>
    </w:rPr>
  </w:style>
  <w:style w:type="paragraph" w:styleId="Caption">
    <w:name w:val="caption"/>
    <w:basedOn w:val="Body"/>
    <w:uiPriority w:val="35"/>
    <w:qFormat/>
    <w:pPr>
      <w:spacing w:before="40" w:after="200" w:line="240" w:lineRule="auto"/>
    </w:pPr>
    <w:rPr>
      <w:rFonts w:ascii="Arial" w:hAnsi="Arial" w:cs="Arial"/>
      <w:i/>
      <w:color w:val="7F7F7F"/>
      <w:sz w:val="18"/>
      <w:szCs w:val="18"/>
    </w:rPr>
  </w:style>
  <w:style w:type="paragraph" w:styleId="Source" w:customStyle="1">
    <w:name w:val="Source"/>
    <w:basedOn w:val="Body"/>
    <w:pPr>
      <w:spacing w:before="40" w:after="120" w:line="240" w:lineRule="auto"/>
    </w:pPr>
    <w:rPr>
      <w:rFonts w:ascii="Arial" w:hAnsi="Arial" w:cs="Arial"/>
      <w:i/>
      <w:color w:val="7F7F7F"/>
      <w:sz w:val="18"/>
      <w:szCs w:val="18"/>
    </w:rPr>
  </w:style>
  <w:style w:type="paragraph" w:styleId="ListBody" w:customStyle="1">
    <w:name w:val="List Body"/>
    <w:basedOn w:val="Body"/>
    <w:next w:val="ListBody"/>
    <w:uiPriority w:val="34"/>
    <w:pPr>
      <w:spacing w:before="0" w:after="40" w:line="240" w:lineRule="auto"/>
    </w:pPr>
  </w:style>
  <w:style w:type="paragraph" w:styleId="BlockHeading" w:customStyle="1">
    <w:name w:val="Block Heading"/>
    <w:basedOn w:val="Body"/>
    <w:pPr>
      <w:keepNext/>
      <w:spacing w:before="240" w:after="80" w:line="240" w:lineRule="auto"/>
    </w:pPr>
    <w:rPr>
      <w:rFonts w:ascii="Arial" w:hAnsi="Arial" w:cs="Arial"/>
      <w:b/>
      <w:color w:val="263746"/>
      <w:sz w:val="26"/>
      <w:szCs w:val="26"/>
    </w:rPr>
  </w:style>
  <w:style w:type="paragraph" w:styleId="FieldLabel" w:customStyle="1">
    <w:name w:val="Field Label"/>
    <w:basedOn w:val="Body"/>
    <w:pPr>
      <w:keepNext/>
      <w:spacing w:before="0" w:after="0" w:line="240" w:lineRule="auto"/>
    </w:pPr>
    <w:rPr>
      <w:rFonts w:ascii="Arial" w:hAnsi="Arial" w:cs="Arial"/>
      <w:b/>
      <w:sz w:val="21"/>
      <w:szCs w:val="21"/>
    </w:rPr>
  </w:style>
  <w:style w:type="paragraph" w:styleId="CompactBody" w:customStyle="1">
    <w:name w:val="Compact Body"/>
    <w:basedOn w:val="Body"/>
    <w:pPr>
      <w:spacing w:before="0" w:after="0" w:line="240" w:lineRule="auto"/>
    </w:pPr>
    <w:rPr>
      <w:rFonts w:ascii="Arial" w:hAnsi="Arial" w:cs="Arial"/>
      <w:sz w:val="21"/>
      <w:szCs w:val="21"/>
    </w:rPr>
  </w:style>
  <w:style w:type="paragraph" w:styleId="Code" w:customStyle="1">
    <w:name w:val="Code"/>
    <w:basedOn w:val="Body"/>
    <w:pPr>
      <w:spacing w:before="0" w:after="0" w:line="240" w:lineRule="auto"/>
    </w:pPr>
    <w:rPr>
      <w:rFonts w:ascii="Courier New" w:hAnsi="Courier New" w:cs="Courier New"/>
      <w:color w:val="000000"/>
      <w:sz w:val="18"/>
      <w:szCs w:val="18"/>
    </w:rPr>
  </w:style>
  <w:style w:type="paragraph" w:styleId="CodeSmall" w:customStyle="1">
    <w:name w:val="Code Small"/>
    <w:basedOn w:val="Code"/>
    <w:pPr>
      <w:spacing w:before="0" w:after="0" w:line="240" w:lineRule="auto"/>
    </w:pPr>
    <w:rPr>
      <w:rFonts w:ascii="Courier New" w:hAnsi="Courier New" w:cs="Courier New"/>
      <w:color w:val="000000"/>
      <w:sz w:val="16"/>
      <w:szCs w:val="16"/>
    </w:r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yperlink">
    <w:name w:val="Hyperlink"/>
    <w:basedOn w:val="DefaultParagraphFont"/>
    <w:uiPriority w:val="99"/>
    <w:rPr>
      <w:color w:val="0563C1"/>
      <w:u w:val="single"/>
    </w:rPr>
  </w:style>
  <w:style w:type="table" w:styleId="RuleTable" w:customStyle="1">
    <w:name w:val="Rule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rPr>
      <w:tcPr>
        <w:tcBorders>
          <w:bottom w:val="single" w:sz="12" w:space="0" w:color="auto"/>
        </w:tcBorders>
      </w:tcPr>
    </w:tblStylePr>
  </w:style>
  <w:style w:type="table" w:styleId="DarkHeaderTable" w:customStyle="1">
    <w:name w:val="Dark Header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color w:val="FFFFFF"/>
      </w:rPr>
      <w:tcPr>
        <w:shd w:val="clear" w:color="auto" w:fill="263746"/>
      </w:tcPr>
    </w:tblStylePr>
  </w:style>
  <w:style w:type="table" w:styleId="NoFormatTable" w:customStyle="1">
    <w:name w:val="No Format Table"/>
    <w:basedOn w:val="TableNormal"/>
    <w:uiPriority w:val="59"/>
    <w:tblPr>
      <w:tblCellMar>
        <w:top w:w="60" w:type="dxa"/>
        <w:left w:w="108" w:type="dxa"/>
        <w:bottom w:w="60" w:type="dxa"/>
        <w:right w:w="108" w:type="dxa"/>
      </w:tblCellMar>
    </w:tblPr>
  </w:style>
  <w:style w:type="table" w:styleId="WireframeTable" w:customStyle="1">
    <w:name w:val="Wireframe Table"/>
    <w:basedOn w:val="TableNormal"/>
    <w:uiPriority w:val="59"/>
    <w:tblPr>
      <w:tblCellMar>
        <w:top w:w="60" w:type="dxa"/>
        <w:left w:w="108" w:type="dxa"/>
        <w:bottom w:w="6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doc_distributed_shipbuilding</Application>
  <DocSecurity>0</DocSecurity>
  <ScaleCrop>false</ScaleCrop>
  <HeadingPairs>
    <vt:vector size="2" baseType="variant">
      <vt:variant>
        <vt:lpstr>Page modules</vt:lpstr>
      </vt:variant>
      <vt:variant>
        <vt:i4>1</vt:i4>
      </vt:variant>
    </vt:vector>
  </HeadingPairs>
  <TitlesOfParts>
    <vt:vector size="1" baseType="lpstr">
      <vt:lpstr>Sourcing-Openings Methodology - plain-language explainer</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Distributed Shipbuilding - Sourcing-Openings Methodology</dc:title>
  <dc:creator>doc_distributed_shipbuilding build_doc.py</dc:creator>
  <dcterms:created xsi:type="dcterms:W3CDTF">2026-06-20T23:48:19Z</dcterms:created>
  <dcterms:modified xsi:type="dcterms:W3CDTF">2026-06-20T23:48:19Z</dcterms:modified>
</cp:coreProperties>
</file>