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Insights by Hire'in</w:t>
      </w:r>
    </w:p>
    <w:p>
      <w:pPr>
        <w:spacing w:after="140"/>
      </w:pPr>
      <w:r>
        <w:rPr>
          <w:b/>
          <w:sz w:val="24"/>
        </w:rPr>
        <w:t>Vision, Value and Editorial Promise</w:t>
      </w:r>
    </w:p>
    <w:tbl>
      <w:tblPr>
        <w:tblW w:type="auto" w:w="0"/>
        <w:jc w:val="center"/>
        <w:tblLayout w:type="autofit"/>
        <w:tblLook w:firstColumn="1" w:firstRow="1" w:lastColumn="0" w:lastRow="0" w:noHBand="0" w:noVBand="1" w:val="04A0"/>
      </w:tblPr>
      <w:tblGrid>
        <w:gridCol w:w="10282"/>
      </w:tblGrid>
      <w:tr>
        <w:tc>
          <w:tcPr>
            <w:tcW w:type="dxa" w:w="10282"/>
            <w:shd w:fill="F2F2F2"/>
            <w:tcMar>
              <w:top w:w="100" w:type="dxa"/>
              <w:start w:w="120" w:type="dxa"/>
              <w:bottom w:w="100" w:type="dxa"/>
              <w:end w:w="120" w:type="dxa"/>
            </w:tcMar>
          </w:tcPr>
          <w:p>
            <w:pPr>
              <w:spacing w:after="0"/>
            </w:pPr>
            <w:r>
              <w:rPr>
                <w:b/>
                <w:sz w:val="21"/>
              </w:rPr>
              <w:t>Insights by Hire'in is a hiring and workforce intelligence platform that explains what is changing, why it matters and how people and organizations can think more clearly about what to do next.</w:t>
            </w:r>
          </w:p>
        </w:tc>
      </w:tr>
    </w:tbl>
    <w:p>
      <w:pPr>
        <w:pStyle w:val="Heading1"/>
      </w:pPr>
      <w:r>
        <w:t>1. Why Insights Exists</w:t>
      </w:r>
    </w:p>
    <w:p>
      <w:pPr>
        <w:spacing w:after="60"/>
      </w:pPr>
      <w:r>
        <w:t>Hiring and work are changing faster than most people can confidently interpret. Employers are deciding how to use AI, evaluate talent, manage cost, improve quality and respond to shifting workforce expectations. Employees and candidates are trying to understand which skills matter, how hiring decisions are changing and where genuine opportunity remains.</w:t>
      </w:r>
    </w:p>
    <w:p>
      <w:pPr>
        <w:spacing w:after="60"/>
      </w:pPr>
      <w:r>
        <w:t>At the same time, the market is crowded with recycled opinions, unsupported predictions, promotional content and surface-level summaries. The problem is no longer a shortage of information. The problem is knowing what is recent, reliable, relevant and useful in a real situation.</w:t>
      </w:r>
    </w:p>
    <w:p>
      <w:pPr>
        <w:spacing w:after="60"/>
      </w:pPr>
      <w:r>
        <w:t>Insights exists to reduce that uncertainty. It will help readers separate signal from noise and understand the practical impact of technology, labor-market shifts, hiring practices and staffing changes.</w:t>
      </w:r>
    </w:p>
    <w:p>
      <w:pPr>
        <w:pStyle w:val="Heading1"/>
      </w:pPr>
      <w:r>
        <w:t>2. Our Vision</w:t>
      </w:r>
    </w:p>
    <w:p>
      <w:pPr>
        <w:spacing w:after="60"/>
      </w:pPr>
      <w:r>
        <w:t>To become a trusted source of practical hiring and workforce intelligence for the people making, supporting and living through employment decisions.</w:t>
      </w:r>
    </w:p>
    <w:p>
      <w:pPr>
        <w:pStyle w:val="ListBullet"/>
        <w:spacing w:after="40"/>
        <w:ind w:left="259" w:hanging="173"/>
      </w:pPr>
      <w:r>
        <w:t>Explain the changing landscape without exaggeration or unnecessary jargon.</w:t>
      </w:r>
    </w:p>
    <w:p>
      <w:pPr>
        <w:pStyle w:val="ListBullet"/>
        <w:spacing w:after="40"/>
        <w:ind w:left="259" w:hanging="173"/>
      </w:pPr>
      <w:r>
        <w:t>Connect current developments to real-world hiring and workplace situations.</w:t>
      </w:r>
    </w:p>
    <w:p>
      <w:pPr>
        <w:pStyle w:val="ListBullet"/>
        <w:spacing w:after="40"/>
        <w:ind w:left="259" w:hanging="173"/>
      </w:pPr>
      <w:r>
        <w:t>Represent both sides of the employment relationship: employers and employees.</w:t>
      </w:r>
    </w:p>
    <w:p>
      <w:pPr>
        <w:pStyle w:val="ListBullet"/>
        <w:spacing w:after="40"/>
        <w:ind w:left="259" w:hanging="173"/>
      </w:pPr>
      <w:r>
        <w:t>Offer practical ways to think, decide and respond when the answer is not obvious.</w:t>
      </w:r>
    </w:p>
    <w:p>
      <w:pPr>
        <w:pStyle w:val="ListBullet"/>
        <w:spacing w:after="40"/>
        <w:ind w:left="259" w:hanging="173"/>
      </w:pPr>
      <w:r>
        <w:t>Build long-term trust through accuracy, transparency, relevance and experience.</w:t>
      </w:r>
    </w:p>
    <w:p>
      <w:pPr>
        <w:pStyle w:val="Heading1"/>
      </w:pPr>
      <w:r>
        <w:t>3. The Value We Provide</w:t>
      </w:r>
    </w:p>
    <w:tbl>
      <w:tblPr>
        <w:tblW w:type="auto" w:w="0"/>
        <w:jc w:val="center"/>
        <w:tblLayout w:type="fixed"/>
        <w:tblLook w:firstColumn="1" w:firstRow="1" w:lastColumn="0" w:lastRow="0" w:noHBand="0" w:noVBand="1" w:val="04A0"/>
      </w:tblPr>
      <w:tblGrid>
        <w:gridCol w:w="3427"/>
        <w:gridCol w:w="3427"/>
        <w:gridCol w:w="3427"/>
      </w:tblGrid>
      <w:tr>
        <w:tc>
          <w:tcPr>
            <w:tcW w:type="dxa" w:w="3427"/>
            <w:shd w:fill="E7E6E6"/>
            <w:tcMar>
              <w:top w:w="70" w:type="dxa"/>
              <w:start w:w="90" w:type="dxa"/>
              <w:bottom w:w="70" w:type="dxa"/>
              <w:end w:w="90" w:type="dxa"/>
            </w:tcMar>
            <w:vAlign w:val="center"/>
          </w:tcPr>
          <w:p>
            <w:r>
              <w:rPr>
                <w:b/>
              </w:rPr>
              <w:t>Reader Need</w:t>
            </w:r>
          </w:p>
        </w:tc>
        <w:tc>
          <w:tcPr>
            <w:tcW w:type="dxa" w:w="3427"/>
            <w:shd w:fill="E7E6E6"/>
            <w:tcMar>
              <w:top w:w="70" w:type="dxa"/>
              <w:start w:w="90" w:type="dxa"/>
              <w:bottom w:w="70" w:type="dxa"/>
              <w:end w:w="90" w:type="dxa"/>
            </w:tcMar>
            <w:vAlign w:val="center"/>
          </w:tcPr>
          <w:p>
            <w:r>
              <w:rPr>
                <w:b/>
              </w:rPr>
              <w:t>What Insights Provides</w:t>
            </w:r>
          </w:p>
        </w:tc>
        <w:tc>
          <w:tcPr>
            <w:tcW w:type="dxa" w:w="3427"/>
            <w:shd w:fill="E7E6E6"/>
            <w:tcMar>
              <w:top w:w="70" w:type="dxa"/>
              <w:start w:w="90" w:type="dxa"/>
              <w:bottom w:w="70" w:type="dxa"/>
              <w:end w:w="90" w:type="dxa"/>
            </w:tcMar>
            <w:vAlign w:val="center"/>
          </w:tcPr>
          <w:p>
            <w:r>
              <w:rPr>
                <w:b/>
              </w:rPr>
              <w:t>Result</w:t>
            </w:r>
          </w:p>
        </w:tc>
      </w:tr>
      <w:tr>
        <w:tc>
          <w:tcPr>
            <w:tcW w:type="dxa" w:w="3427"/>
            <w:tcMar>
              <w:top w:w="70" w:type="dxa"/>
              <w:start w:w="90" w:type="dxa"/>
              <w:bottom w:w="70" w:type="dxa"/>
              <w:end w:w="90" w:type="dxa"/>
            </w:tcMar>
            <w:vAlign w:val="top"/>
          </w:tcPr>
          <w:p>
            <w:pPr>
              <w:spacing w:after="0"/>
            </w:pPr>
            <w:r>
              <w:rPr>
                <w:sz w:val="17"/>
              </w:rPr>
              <w:t>Clarity</w:t>
            </w:r>
          </w:p>
        </w:tc>
        <w:tc>
          <w:tcPr>
            <w:tcW w:type="dxa" w:w="3427"/>
            <w:tcMar>
              <w:top w:w="70" w:type="dxa"/>
              <w:start w:w="90" w:type="dxa"/>
              <w:bottom w:w="70" w:type="dxa"/>
              <w:end w:w="90" w:type="dxa"/>
            </w:tcMar>
            <w:vAlign w:val="top"/>
          </w:tcPr>
          <w:p>
            <w:pPr>
              <w:spacing w:after="0"/>
            </w:pPr>
            <w:r>
              <w:rPr>
                <w:sz w:val="17"/>
              </w:rPr>
              <w:t>A simple explanation of what changed and what is still uncertain.</w:t>
            </w:r>
          </w:p>
        </w:tc>
        <w:tc>
          <w:tcPr>
            <w:tcW w:type="dxa" w:w="3427"/>
            <w:tcMar>
              <w:top w:w="70" w:type="dxa"/>
              <w:start w:w="90" w:type="dxa"/>
              <w:bottom w:w="70" w:type="dxa"/>
              <w:end w:w="90" w:type="dxa"/>
            </w:tcMar>
            <w:vAlign w:val="top"/>
          </w:tcPr>
          <w:p>
            <w:pPr>
              <w:spacing w:after="0"/>
            </w:pPr>
            <w:r>
              <w:rPr>
                <w:sz w:val="17"/>
              </w:rPr>
              <w:t>Readers understand the issue before reacting to it.</w:t>
            </w:r>
          </w:p>
        </w:tc>
      </w:tr>
      <w:tr>
        <w:tc>
          <w:tcPr>
            <w:tcW w:type="dxa" w:w="3427"/>
            <w:tcMar>
              <w:top w:w="70" w:type="dxa"/>
              <w:start w:w="90" w:type="dxa"/>
              <w:bottom w:w="70" w:type="dxa"/>
              <w:end w:w="90" w:type="dxa"/>
            </w:tcMar>
            <w:vAlign w:val="top"/>
          </w:tcPr>
          <w:p>
            <w:pPr>
              <w:spacing w:after="0"/>
            </w:pPr>
            <w:r>
              <w:rPr>
                <w:sz w:val="17"/>
              </w:rPr>
              <w:t>Context</w:t>
            </w:r>
          </w:p>
        </w:tc>
        <w:tc>
          <w:tcPr>
            <w:tcW w:type="dxa" w:w="3427"/>
            <w:tcMar>
              <w:top w:w="70" w:type="dxa"/>
              <w:start w:w="90" w:type="dxa"/>
              <w:bottom w:w="70" w:type="dxa"/>
              <w:end w:w="90" w:type="dxa"/>
            </w:tcMar>
            <w:vAlign w:val="top"/>
          </w:tcPr>
          <w:p>
            <w:pPr>
              <w:spacing w:after="0"/>
            </w:pPr>
            <w:r>
              <w:rPr>
                <w:sz w:val="17"/>
              </w:rPr>
              <w:t>The effect on employers, employees, candidates, recruiters and staffing partners.</w:t>
            </w:r>
          </w:p>
        </w:tc>
        <w:tc>
          <w:tcPr>
            <w:tcW w:type="dxa" w:w="3427"/>
            <w:tcMar>
              <w:top w:w="70" w:type="dxa"/>
              <w:start w:w="90" w:type="dxa"/>
              <w:bottom w:w="70" w:type="dxa"/>
              <w:end w:w="90" w:type="dxa"/>
            </w:tcMar>
            <w:vAlign w:val="top"/>
          </w:tcPr>
          <w:p>
            <w:pPr>
              <w:spacing w:after="0"/>
            </w:pPr>
            <w:r>
              <w:rPr>
                <w:sz w:val="17"/>
              </w:rPr>
              <w:t>Readers see beyond a headline or single viewpoint.</w:t>
            </w:r>
          </w:p>
        </w:tc>
      </w:tr>
      <w:tr>
        <w:tc>
          <w:tcPr>
            <w:tcW w:type="dxa" w:w="3427"/>
            <w:tcMar>
              <w:top w:w="70" w:type="dxa"/>
              <w:start w:w="90" w:type="dxa"/>
              <w:bottom w:w="70" w:type="dxa"/>
              <w:end w:w="90" w:type="dxa"/>
            </w:tcMar>
            <w:vAlign w:val="top"/>
          </w:tcPr>
          <w:p>
            <w:pPr>
              <w:spacing w:after="0"/>
            </w:pPr>
            <w:r>
              <w:rPr>
                <w:sz w:val="17"/>
              </w:rPr>
              <w:t>Confidence</w:t>
            </w:r>
          </w:p>
        </w:tc>
        <w:tc>
          <w:tcPr>
            <w:tcW w:type="dxa" w:w="3427"/>
            <w:tcMar>
              <w:top w:w="70" w:type="dxa"/>
              <w:start w:w="90" w:type="dxa"/>
              <w:bottom w:w="70" w:type="dxa"/>
              <w:end w:w="90" w:type="dxa"/>
            </w:tcMar>
            <w:vAlign w:val="top"/>
          </w:tcPr>
          <w:p>
            <w:pPr>
              <w:spacing w:after="0"/>
            </w:pPr>
            <w:r>
              <w:rPr>
                <w:sz w:val="17"/>
              </w:rPr>
              <w:t>Current research, credible sources and transparent interpretation.</w:t>
            </w:r>
          </w:p>
        </w:tc>
        <w:tc>
          <w:tcPr>
            <w:tcW w:type="dxa" w:w="3427"/>
            <w:tcMar>
              <w:top w:w="70" w:type="dxa"/>
              <w:start w:w="90" w:type="dxa"/>
              <w:bottom w:w="70" w:type="dxa"/>
              <w:end w:w="90" w:type="dxa"/>
            </w:tcMar>
            <w:vAlign w:val="top"/>
          </w:tcPr>
          <w:p>
            <w:pPr>
              <w:spacing w:after="0"/>
            </w:pPr>
            <w:r>
              <w:rPr>
                <w:sz w:val="17"/>
              </w:rPr>
              <w:t>Readers can make better-informed decisions.</w:t>
            </w:r>
          </w:p>
        </w:tc>
      </w:tr>
      <w:tr>
        <w:tc>
          <w:tcPr>
            <w:tcW w:type="dxa" w:w="3427"/>
            <w:tcMar>
              <w:top w:w="70" w:type="dxa"/>
              <w:start w:w="90" w:type="dxa"/>
              <w:bottom w:w="70" w:type="dxa"/>
              <w:end w:w="90" w:type="dxa"/>
            </w:tcMar>
            <w:vAlign w:val="top"/>
          </w:tcPr>
          <w:p>
            <w:pPr>
              <w:spacing w:after="0"/>
            </w:pPr>
            <w:r>
              <w:rPr>
                <w:sz w:val="17"/>
              </w:rPr>
              <w:t>Practicality</w:t>
            </w:r>
          </w:p>
        </w:tc>
        <w:tc>
          <w:tcPr>
            <w:tcW w:type="dxa" w:w="3427"/>
            <w:tcMar>
              <w:top w:w="70" w:type="dxa"/>
              <w:start w:w="90" w:type="dxa"/>
              <w:bottom w:w="70" w:type="dxa"/>
              <w:end w:w="90" w:type="dxa"/>
            </w:tcMar>
            <w:vAlign w:val="top"/>
          </w:tcPr>
          <w:p>
            <w:pPr>
              <w:spacing w:after="0"/>
            </w:pPr>
            <w:r>
              <w:rPr>
                <w:sz w:val="17"/>
              </w:rPr>
              <w:t>Real problems, real operating situations and useful response options.</w:t>
            </w:r>
          </w:p>
        </w:tc>
        <w:tc>
          <w:tcPr>
            <w:tcW w:type="dxa" w:w="3427"/>
            <w:tcMar>
              <w:top w:w="70" w:type="dxa"/>
              <w:start w:w="90" w:type="dxa"/>
              <w:bottom w:w="70" w:type="dxa"/>
              <w:end w:w="90" w:type="dxa"/>
            </w:tcMar>
            <w:vAlign w:val="top"/>
          </w:tcPr>
          <w:p>
            <w:pPr>
              <w:spacing w:after="0"/>
            </w:pPr>
            <w:r>
              <w:rPr>
                <w:sz w:val="17"/>
              </w:rPr>
              <w:t>Readers leave with a way to think or act.</w:t>
            </w:r>
          </w:p>
        </w:tc>
      </w:tr>
    </w:tbl>
    <w:p>
      <w:pPr>
        <w:pStyle w:val="Heading1"/>
      </w:pPr>
      <w:r>
        <w:t>4. Who It Is For</w:t>
      </w:r>
    </w:p>
    <w:p>
      <w:pPr>
        <w:spacing w:after="60"/>
      </w:pPr>
      <w:r>
        <w:t>Insights is designed for hiring leaders, employers, recruiters, staffing and MSP/VMS professionals, employees, candidates and professionals navigating change. Healthcare and IT are the primary areas of expertise, while broader workforce and technology developments will be covered when they materially affect hiring or employment.</w:t>
      </w:r>
    </w:p>
    <w:p>
      <w:r>
        <w:br w:type="page"/>
      </w:r>
    </w:p>
    <w:p>
      <w:pPr>
        <w:pStyle w:val="Heading1"/>
      </w:pPr>
      <w:r>
        <w:t>5. How Insights Will Be Different</w:t>
      </w:r>
    </w:p>
    <w:tbl>
      <w:tblPr>
        <w:tblW w:type="auto" w:w="0"/>
        <w:jc w:val="center"/>
        <w:tblLayout w:type="fixed"/>
        <w:tblLook w:firstColumn="1" w:firstRow="1" w:lastColumn="0" w:lastRow="0" w:noHBand="0" w:noVBand="1" w:val="04A0"/>
      </w:tblPr>
      <w:tblGrid>
        <w:gridCol w:w="5141"/>
        <w:gridCol w:w="5141"/>
      </w:tblGrid>
      <w:tr>
        <w:tc>
          <w:tcPr>
            <w:tcW w:type="dxa" w:w="5141"/>
            <w:shd w:fill="E7E6E6"/>
            <w:tcMar>
              <w:top w:w="70" w:type="dxa"/>
              <w:start w:w="90" w:type="dxa"/>
              <w:bottom w:w="70" w:type="dxa"/>
              <w:end w:w="90" w:type="dxa"/>
            </w:tcMar>
          </w:tcPr>
          <w:p>
            <w:r>
              <w:rPr>
                <w:b/>
              </w:rPr>
              <w:t>Generic Market Content</w:t>
            </w:r>
          </w:p>
        </w:tc>
        <w:tc>
          <w:tcPr>
            <w:tcW w:type="dxa" w:w="5141"/>
            <w:shd w:fill="E7E6E6"/>
            <w:tcMar>
              <w:top w:w="70" w:type="dxa"/>
              <w:start w:w="90" w:type="dxa"/>
              <w:bottom w:w="70" w:type="dxa"/>
              <w:end w:w="90" w:type="dxa"/>
            </w:tcMar>
          </w:tcPr>
          <w:p>
            <w:r>
              <w:rPr>
                <w:b/>
              </w:rPr>
              <w:t>Insights by Hire'in</w:t>
            </w:r>
          </w:p>
        </w:tc>
      </w:tr>
      <w:tr>
        <w:tc>
          <w:tcPr>
            <w:tcW w:type="dxa" w:w="5141"/>
            <w:tcMar>
              <w:top w:w="70" w:type="dxa"/>
              <w:start w:w="90" w:type="dxa"/>
              <w:bottom w:w="70" w:type="dxa"/>
              <w:end w:w="90" w:type="dxa"/>
            </w:tcMar>
            <w:vAlign w:val="top"/>
          </w:tcPr>
          <w:p>
            <w:pPr>
              <w:spacing w:after="0"/>
            </w:pPr>
            <w:r>
              <w:rPr>
                <w:sz w:val="17"/>
              </w:rPr>
              <w:t>Repeats a headline or trend.</w:t>
            </w:r>
          </w:p>
        </w:tc>
        <w:tc>
          <w:tcPr>
            <w:tcW w:type="dxa" w:w="5141"/>
            <w:tcMar>
              <w:top w:w="70" w:type="dxa"/>
              <w:start w:w="90" w:type="dxa"/>
              <w:bottom w:w="70" w:type="dxa"/>
              <w:end w:w="90" w:type="dxa"/>
            </w:tcMar>
            <w:vAlign w:val="top"/>
          </w:tcPr>
          <w:p>
            <w:pPr>
              <w:spacing w:after="0"/>
            </w:pPr>
            <w:r>
              <w:rPr>
                <w:sz w:val="17"/>
              </w:rPr>
              <w:t>Explains what changed, why it matters and what to consider next.</w:t>
            </w:r>
          </w:p>
        </w:tc>
      </w:tr>
      <w:tr>
        <w:tc>
          <w:tcPr>
            <w:tcW w:type="dxa" w:w="5141"/>
            <w:tcMar>
              <w:top w:w="70" w:type="dxa"/>
              <w:start w:w="90" w:type="dxa"/>
              <w:bottom w:w="70" w:type="dxa"/>
              <w:end w:w="90" w:type="dxa"/>
            </w:tcMar>
            <w:vAlign w:val="top"/>
          </w:tcPr>
          <w:p>
            <w:pPr>
              <w:spacing w:after="0"/>
            </w:pPr>
            <w:r>
              <w:rPr>
                <w:sz w:val="17"/>
              </w:rPr>
              <w:t>Uses broad predictions.</w:t>
            </w:r>
          </w:p>
        </w:tc>
        <w:tc>
          <w:tcPr>
            <w:tcW w:type="dxa" w:w="5141"/>
            <w:tcMar>
              <w:top w:w="70" w:type="dxa"/>
              <w:start w:w="90" w:type="dxa"/>
              <w:bottom w:w="70" w:type="dxa"/>
              <w:end w:w="90" w:type="dxa"/>
            </w:tcMar>
            <w:vAlign w:val="top"/>
          </w:tcPr>
          <w:p>
            <w:pPr>
              <w:spacing w:after="0"/>
            </w:pPr>
            <w:r>
              <w:rPr>
                <w:sz w:val="17"/>
              </w:rPr>
              <w:t>Separates known facts, informed interpretation and unresolved uncertainty.</w:t>
            </w:r>
          </w:p>
        </w:tc>
      </w:tr>
      <w:tr>
        <w:tc>
          <w:tcPr>
            <w:tcW w:type="dxa" w:w="5141"/>
            <w:tcMar>
              <w:top w:w="70" w:type="dxa"/>
              <w:start w:w="90" w:type="dxa"/>
              <w:bottom w:w="70" w:type="dxa"/>
              <w:end w:w="90" w:type="dxa"/>
            </w:tcMar>
            <w:vAlign w:val="top"/>
          </w:tcPr>
          <w:p>
            <w:pPr>
              <w:spacing w:after="0"/>
            </w:pPr>
            <w:r>
              <w:rPr>
                <w:sz w:val="17"/>
              </w:rPr>
              <w:t>Speaks to one side of hiring.</w:t>
            </w:r>
          </w:p>
        </w:tc>
        <w:tc>
          <w:tcPr>
            <w:tcW w:type="dxa" w:w="5141"/>
            <w:tcMar>
              <w:top w:w="70" w:type="dxa"/>
              <w:start w:w="90" w:type="dxa"/>
              <w:bottom w:w="70" w:type="dxa"/>
              <w:end w:w="90" w:type="dxa"/>
            </w:tcMar>
            <w:vAlign w:val="top"/>
          </w:tcPr>
          <w:p>
            <w:pPr>
              <w:spacing w:after="0"/>
            </w:pPr>
            <w:r>
              <w:rPr>
                <w:sz w:val="17"/>
              </w:rPr>
              <w:t>Examines consequences for employers, employees, candidates and staffing partners.</w:t>
            </w:r>
          </w:p>
        </w:tc>
      </w:tr>
      <w:tr>
        <w:tc>
          <w:tcPr>
            <w:tcW w:type="dxa" w:w="5141"/>
            <w:tcMar>
              <w:top w:w="70" w:type="dxa"/>
              <w:start w:w="90" w:type="dxa"/>
              <w:bottom w:w="70" w:type="dxa"/>
              <w:end w:w="90" w:type="dxa"/>
            </w:tcMar>
            <w:vAlign w:val="top"/>
          </w:tcPr>
          <w:p>
            <w:pPr>
              <w:spacing w:after="0"/>
            </w:pPr>
            <w:r>
              <w:rPr>
                <w:sz w:val="17"/>
              </w:rPr>
              <w:t>Offers theory without operating context.</w:t>
            </w:r>
          </w:p>
        </w:tc>
        <w:tc>
          <w:tcPr>
            <w:tcW w:type="dxa" w:w="5141"/>
            <w:tcMar>
              <w:top w:w="70" w:type="dxa"/>
              <w:start w:w="90" w:type="dxa"/>
              <w:bottom w:w="70" w:type="dxa"/>
              <w:end w:w="90" w:type="dxa"/>
            </w:tcMar>
            <w:vAlign w:val="top"/>
          </w:tcPr>
          <w:p>
            <w:pPr>
              <w:spacing w:after="0"/>
            </w:pPr>
            <w:r>
              <w:rPr>
                <w:sz w:val="17"/>
              </w:rPr>
              <w:t>Uses real hiring situations, field observations and practical examples.</w:t>
            </w:r>
          </w:p>
        </w:tc>
      </w:tr>
      <w:tr>
        <w:tc>
          <w:tcPr>
            <w:tcW w:type="dxa" w:w="5141"/>
            <w:tcMar>
              <w:top w:w="70" w:type="dxa"/>
              <w:start w:w="90" w:type="dxa"/>
              <w:bottom w:w="70" w:type="dxa"/>
              <w:end w:w="90" w:type="dxa"/>
            </w:tcMar>
            <w:vAlign w:val="top"/>
          </w:tcPr>
          <w:p>
            <w:pPr>
              <w:spacing w:after="0"/>
            </w:pPr>
            <w:r>
              <w:rPr>
                <w:sz w:val="17"/>
              </w:rPr>
              <w:t>Promotes a company or tool.</w:t>
            </w:r>
          </w:p>
        </w:tc>
        <w:tc>
          <w:tcPr>
            <w:tcW w:type="dxa" w:w="5141"/>
            <w:tcMar>
              <w:top w:w="70" w:type="dxa"/>
              <w:start w:w="90" w:type="dxa"/>
              <w:bottom w:w="70" w:type="dxa"/>
              <w:end w:w="90" w:type="dxa"/>
            </w:tcMar>
            <w:vAlign w:val="top"/>
          </w:tcPr>
          <w:p>
            <w:pPr>
              <w:spacing w:after="0"/>
            </w:pPr>
            <w:r>
              <w:rPr>
                <w:sz w:val="17"/>
              </w:rPr>
              <w:t>Prioritizes reader value; commercial relevance is disclosed and kept secondary.</w:t>
            </w:r>
          </w:p>
        </w:tc>
      </w:tr>
      <w:tr>
        <w:tc>
          <w:tcPr>
            <w:tcW w:type="dxa" w:w="5141"/>
            <w:tcMar>
              <w:top w:w="70" w:type="dxa"/>
              <w:start w:w="90" w:type="dxa"/>
              <w:bottom w:w="70" w:type="dxa"/>
              <w:end w:w="90" w:type="dxa"/>
            </w:tcMar>
            <w:vAlign w:val="top"/>
          </w:tcPr>
          <w:p>
            <w:pPr>
              <w:spacing w:after="0"/>
            </w:pPr>
            <w:r>
              <w:rPr>
                <w:sz w:val="17"/>
              </w:rPr>
              <w:t>Publishes quickly without visible standards.</w:t>
            </w:r>
          </w:p>
        </w:tc>
        <w:tc>
          <w:tcPr>
            <w:tcW w:type="dxa" w:w="5141"/>
            <w:tcMar>
              <w:top w:w="70" w:type="dxa"/>
              <w:start w:w="90" w:type="dxa"/>
              <w:bottom w:w="70" w:type="dxa"/>
              <w:end w:w="90" w:type="dxa"/>
            </w:tcMar>
            <w:vAlign w:val="top"/>
          </w:tcPr>
          <w:p>
            <w:pPr>
              <w:spacing w:after="0"/>
            </w:pPr>
            <w:r>
              <w:rPr>
                <w:sz w:val="17"/>
              </w:rPr>
              <w:t>Uses recent research, credible sources, review dates and clear corrections when needed.</w:t>
            </w:r>
          </w:p>
        </w:tc>
      </w:tr>
    </w:tbl>
    <w:p>
      <w:pPr>
        <w:pStyle w:val="Heading1"/>
      </w:pPr>
      <w:r>
        <w:t>6. Our Editorial Promise</w:t>
      </w:r>
    </w:p>
    <w:p>
      <w:pPr>
        <w:pStyle w:val="ListBullet"/>
        <w:spacing w:after="40"/>
        <w:ind w:left="259" w:hanging="173"/>
      </w:pPr>
      <w:r>
        <w:rPr>
          <w:b/>
        </w:rPr>
        <w:t>Recent:</w:t>
      </w:r>
      <w:r>
        <w:t xml:space="preserve"> We will prioritize current developments and clearly date the information we use.</w:t>
      </w:r>
    </w:p>
    <w:p>
      <w:pPr>
        <w:pStyle w:val="ListBullet"/>
        <w:spacing w:after="40"/>
        <w:ind w:left="259" w:hanging="173"/>
      </w:pPr>
      <w:r>
        <w:rPr>
          <w:b/>
        </w:rPr>
        <w:t>Researched:</w:t>
      </w:r>
      <w:r>
        <w:t xml:space="preserve"> Important factual claims will be supported by credible, relevant sources.</w:t>
      </w:r>
    </w:p>
    <w:p>
      <w:pPr>
        <w:pStyle w:val="ListBullet"/>
        <w:spacing w:after="40"/>
        <w:ind w:left="259" w:hanging="173"/>
      </w:pPr>
      <w:r>
        <w:rPr>
          <w:b/>
        </w:rPr>
        <w:t>Accurate:</w:t>
      </w:r>
      <w:r>
        <w:t xml:space="preserve"> We will distinguish verified facts from analysis, experience and opinion.</w:t>
      </w:r>
    </w:p>
    <w:p>
      <w:pPr>
        <w:pStyle w:val="ListBullet"/>
        <w:spacing w:after="40"/>
        <w:ind w:left="259" w:hanging="173"/>
      </w:pPr>
      <w:r>
        <w:rPr>
          <w:b/>
        </w:rPr>
        <w:t>Real-world:</w:t>
      </w:r>
      <w:r>
        <w:t xml:space="preserve"> We will connect information to actual hiring, recruiting, staffing and workplace problems.</w:t>
      </w:r>
    </w:p>
    <w:p>
      <w:pPr>
        <w:pStyle w:val="ListBullet"/>
        <w:spacing w:after="40"/>
        <w:ind w:left="259" w:hanging="173"/>
      </w:pPr>
      <w:r>
        <w:rPr>
          <w:b/>
        </w:rPr>
        <w:t>Balanced:</w:t>
      </w:r>
      <w:r>
        <w:t xml:space="preserve"> We will examine benefits, risks, trade-offs and the impact on different stakeholders.</w:t>
      </w:r>
    </w:p>
    <w:p>
      <w:pPr>
        <w:pStyle w:val="ListBullet"/>
        <w:spacing w:after="40"/>
        <w:ind w:left="259" w:hanging="173"/>
      </w:pPr>
      <w:r>
        <w:rPr>
          <w:b/>
        </w:rPr>
        <w:t>Useful:</w:t>
      </w:r>
      <w:r>
        <w:t xml:space="preserve"> Every substantive piece should improve the reader's understanding, judgment or next decision.</w:t>
      </w:r>
    </w:p>
    <w:p>
      <w:pPr>
        <w:pStyle w:val="ListBullet"/>
        <w:spacing w:after="40"/>
        <w:ind w:left="259" w:hanging="173"/>
      </w:pPr>
      <w:r>
        <w:rPr>
          <w:b/>
        </w:rPr>
        <w:t>Transparent:</w:t>
      </w:r>
      <w:r>
        <w:t xml:space="preserve"> We will identify uncertainty, disclose relevant interests and correct material errors.</w:t>
      </w:r>
    </w:p>
    <w:p>
      <w:pPr>
        <w:pStyle w:val="Heading1"/>
      </w:pPr>
      <w:r>
        <w:t>7. The Standard Structure of an Insight</w:t>
      </w:r>
    </w:p>
    <w:tbl>
      <w:tblPr>
        <w:tblW w:type="auto" w:w="0"/>
        <w:jc w:val="center"/>
        <w:tblLayout w:type="fixed"/>
        <w:tblLook w:firstColumn="1" w:firstRow="1" w:lastColumn="0" w:lastRow="0" w:noHBand="0" w:noVBand="1" w:val="04A0"/>
      </w:tblPr>
      <w:tblGrid>
        <w:gridCol w:w="2376"/>
        <w:gridCol w:w="7992"/>
      </w:tblGrid>
      <w:tr>
        <w:tc>
          <w:tcPr>
            <w:tcW w:type="dxa" w:w="5141"/>
            <w:shd w:fill="E7E6E6"/>
            <w:tcMar>
              <w:top w:w="70" w:type="dxa"/>
              <w:start w:w="90" w:type="dxa"/>
              <w:bottom w:w="70" w:type="dxa"/>
              <w:end w:w="90" w:type="dxa"/>
            </w:tcMar>
          </w:tcPr>
          <w:p>
            <w:r>
              <w:rPr>
                <w:b/>
              </w:rPr>
              <w:t>Section</w:t>
            </w:r>
          </w:p>
        </w:tc>
        <w:tc>
          <w:tcPr>
            <w:tcW w:type="dxa" w:w="5141"/>
            <w:shd w:fill="E7E6E6"/>
            <w:tcMar>
              <w:top w:w="70" w:type="dxa"/>
              <w:start w:w="90" w:type="dxa"/>
              <w:bottom w:w="70" w:type="dxa"/>
              <w:end w:w="90" w:type="dxa"/>
            </w:tcMar>
          </w:tcPr>
          <w:p>
            <w:r>
              <w:rPr>
                <w:b/>
              </w:rPr>
              <w:t>Purpose</w:t>
            </w:r>
          </w:p>
        </w:tc>
      </w:tr>
      <w:tr>
        <w:tc>
          <w:tcPr>
            <w:tcW w:type="dxa" w:w="2376"/>
            <w:tcMar>
              <w:top w:w="55" w:type="dxa"/>
              <w:start w:w="90" w:type="dxa"/>
              <w:bottom w:w="55" w:type="dxa"/>
              <w:end w:w="90" w:type="dxa"/>
            </w:tcMar>
          </w:tcPr>
          <w:p>
            <w:pPr>
              <w:spacing w:after="0"/>
            </w:pPr>
            <w:r>
              <w:rPr>
                <w:sz w:val="17"/>
              </w:rPr>
              <w:t>What changed</w:t>
            </w:r>
          </w:p>
        </w:tc>
        <w:tc>
          <w:tcPr>
            <w:tcW w:type="dxa" w:w="7992"/>
            <w:tcMar>
              <w:top w:w="55" w:type="dxa"/>
              <w:start w:w="90" w:type="dxa"/>
              <w:bottom w:w="55" w:type="dxa"/>
              <w:end w:w="90" w:type="dxa"/>
            </w:tcMar>
          </w:tcPr>
          <w:p>
            <w:pPr>
              <w:spacing w:after="0"/>
            </w:pPr>
            <w:r>
              <w:rPr>
                <w:sz w:val="17"/>
              </w:rPr>
              <w:t>The development, trend, policy, technology or behavior being examined.</w:t>
            </w:r>
          </w:p>
        </w:tc>
      </w:tr>
      <w:tr>
        <w:tc>
          <w:tcPr>
            <w:tcW w:type="dxa" w:w="2376"/>
            <w:tcMar>
              <w:top w:w="55" w:type="dxa"/>
              <w:start w:w="90" w:type="dxa"/>
              <w:bottom w:w="55" w:type="dxa"/>
              <w:end w:w="90" w:type="dxa"/>
            </w:tcMar>
          </w:tcPr>
          <w:p>
            <w:pPr>
              <w:spacing w:after="0"/>
            </w:pPr>
            <w:r>
              <w:rPr>
                <w:sz w:val="17"/>
              </w:rPr>
              <w:t>What we know</w:t>
            </w:r>
          </w:p>
        </w:tc>
        <w:tc>
          <w:tcPr>
            <w:tcW w:type="dxa" w:w="7992"/>
            <w:tcMar>
              <w:top w:w="55" w:type="dxa"/>
              <w:start w:w="90" w:type="dxa"/>
              <w:bottom w:w="55" w:type="dxa"/>
              <w:end w:w="90" w:type="dxa"/>
            </w:tcMar>
          </w:tcPr>
          <w:p>
            <w:pPr>
              <w:spacing w:after="0"/>
            </w:pPr>
            <w:r>
              <w:rPr>
                <w:sz w:val="17"/>
              </w:rPr>
              <w:t>The strongest verified facts and evidence available.</w:t>
            </w:r>
          </w:p>
        </w:tc>
      </w:tr>
      <w:tr>
        <w:tc>
          <w:tcPr>
            <w:tcW w:type="dxa" w:w="2376"/>
            <w:tcMar>
              <w:top w:w="55" w:type="dxa"/>
              <w:start w:w="90" w:type="dxa"/>
              <w:bottom w:w="55" w:type="dxa"/>
              <w:end w:w="90" w:type="dxa"/>
            </w:tcMar>
          </w:tcPr>
          <w:p>
            <w:pPr>
              <w:spacing w:after="0"/>
            </w:pPr>
            <w:r>
              <w:rPr>
                <w:sz w:val="17"/>
              </w:rPr>
              <w:t>What we are seeing</w:t>
            </w:r>
          </w:p>
        </w:tc>
        <w:tc>
          <w:tcPr>
            <w:tcW w:type="dxa" w:w="7992"/>
            <w:tcMar>
              <w:top w:w="55" w:type="dxa"/>
              <w:start w:w="90" w:type="dxa"/>
              <w:bottom w:w="55" w:type="dxa"/>
              <w:end w:w="90" w:type="dxa"/>
            </w:tcMar>
          </w:tcPr>
          <w:p>
            <w:pPr>
              <w:spacing w:after="0"/>
            </w:pPr>
            <w:r>
              <w:rPr>
                <w:sz w:val="17"/>
              </w:rPr>
              <w:t>Relevant field experience or operating observations, clearly identified as such.</w:t>
            </w:r>
          </w:p>
        </w:tc>
      </w:tr>
      <w:tr>
        <w:tc>
          <w:tcPr>
            <w:tcW w:type="dxa" w:w="2376"/>
            <w:tcMar>
              <w:top w:w="55" w:type="dxa"/>
              <w:start w:w="90" w:type="dxa"/>
              <w:bottom w:w="55" w:type="dxa"/>
              <w:end w:w="90" w:type="dxa"/>
            </w:tcMar>
          </w:tcPr>
          <w:p>
            <w:pPr>
              <w:spacing w:after="0"/>
            </w:pPr>
            <w:r>
              <w:rPr>
                <w:sz w:val="17"/>
              </w:rPr>
              <w:t>Why it matters</w:t>
            </w:r>
          </w:p>
        </w:tc>
        <w:tc>
          <w:tcPr>
            <w:tcW w:type="dxa" w:w="7992"/>
            <w:tcMar>
              <w:top w:w="55" w:type="dxa"/>
              <w:start w:w="90" w:type="dxa"/>
              <w:bottom w:w="55" w:type="dxa"/>
              <w:end w:w="90" w:type="dxa"/>
            </w:tcMar>
          </w:tcPr>
          <w:p>
            <w:pPr>
              <w:spacing w:after="0"/>
            </w:pPr>
            <w:r>
              <w:rPr>
                <w:sz w:val="17"/>
              </w:rPr>
              <w:t>The practical implications and trade-offs.</w:t>
            </w:r>
          </w:p>
        </w:tc>
      </w:tr>
      <w:tr>
        <w:tc>
          <w:tcPr>
            <w:tcW w:type="dxa" w:w="2376"/>
            <w:tcMar>
              <w:top w:w="55" w:type="dxa"/>
              <w:start w:w="90" w:type="dxa"/>
              <w:bottom w:w="55" w:type="dxa"/>
              <w:end w:w="90" w:type="dxa"/>
            </w:tcMar>
          </w:tcPr>
          <w:p>
            <w:pPr>
              <w:spacing w:after="0"/>
            </w:pPr>
            <w:r>
              <w:rPr>
                <w:sz w:val="17"/>
              </w:rPr>
              <w:t>What it means for you</w:t>
            </w:r>
          </w:p>
        </w:tc>
        <w:tc>
          <w:tcPr>
            <w:tcW w:type="dxa" w:w="7992"/>
            <w:tcMar>
              <w:top w:w="55" w:type="dxa"/>
              <w:start w:w="90" w:type="dxa"/>
              <w:bottom w:w="55" w:type="dxa"/>
              <w:end w:w="90" w:type="dxa"/>
            </w:tcMar>
          </w:tcPr>
          <w:p>
            <w:pPr>
              <w:spacing w:after="0"/>
            </w:pPr>
            <w:r>
              <w:rPr>
                <w:sz w:val="17"/>
              </w:rPr>
              <w:t>Separate relevance for employers, employees/candidates and staffing professionals.</w:t>
            </w:r>
          </w:p>
        </w:tc>
      </w:tr>
      <w:tr>
        <w:tc>
          <w:tcPr>
            <w:tcW w:type="dxa" w:w="2376"/>
            <w:tcMar>
              <w:top w:w="55" w:type="dxa"/>
              <w:start w:w="90" w:type="dxa"/>
              <w:bottom w:w="55" w:type="dxa"/>
              <w:end w:w="90" w:type="dxa"/>
            </w:tcMar>
          </w:tcPr>
          <w:p>
            <w:pPr>
              <w:spacing w:after="0"/>
            </w:pPr>
            <w:r>
              <w:rPr>
                <w:sz w:val="17"/>
              </w:rPr>
              <w:t>What to consider next</w:t>
            </w:r>
          </w:p>
        </w:tc>
        <w:tc>
          <w:tcPr>
            <w:tcW w:type="dxa" w:w="7992"/>
            <w:tcMar>
              <w:top w:w="55" w:type="dxa"/>
              <w:start w:w="90" w:type="dxa"/>
              <w:bottom w:w="55" w:type="dxa"/>
              <w:end w:w="90" w:type="dxa"/>
            </w:tcMar>
          </w:tcPr>
          <w:p>
            <w:pPr>
              <w:spacing w:after="0"/>
            </w:pPr>
            <w:r>
              <w:rPr>
                <w:sz w:val="17"/>
              </w:rPr>
              <w:t>Questions, actions or decision principles—not a generic conclusion.</w:t>
            </w:r>
          </w:p>
        </w:tc>
      </w:tr>
    </w:tbl>
    <w:p>
      <w:pPr>
        <w:pStyle w:val="Heading1"/>
      </w:pPr>
      <w:r>
        <w:t>8. What Insights Will Not Become</w:t>
      </w:r>
    </w:p>
    <w:p>
      <w:pPr>
        <w:pStyle w:val="ListBullet"/>
        <w:spacing w:after="40"/>
        <w:ind w:left="259" w:hanging="173"/>
      </w:pPr>
      <w:r>
        <w:t>A high-volume content feed created only to maintain a posting calendar.</w:t>
      </w:r>
    </w:p>
    <w:p>
      <w:pPr>
        <w:pStyle w:val="ListBullet"/>
        <w:spacing w:after="40"/>
        <w:ind w:left="259" w:hanging="173"/>
      </w:pPr>
      <w:r>
        <w:t>A collection of generic AI-written summaries or copied industry commentary.</w:t>
      </w:r>
    </w:p>
    <w:p>
      <w:pPr>
        <w:pStyle w:val="ListBullet"/>
        <w:spacing w:after="40"/>
        <w:ind w:left="259" w:hanging="173"/>
      </w:pPr>
      <w:r>
        <w:t>A disguised sales channel for Hire'in services or affiliated products.</w:t>
      </w:r>
    </w:p>
    <w:p>
      <w:pPr>
        <w:pStyle w:val="ListBullet"/>
        <w:spacing w:after="40"/>
        <w:ind w:left="259" w:hanging="173"/>
      </w:pPr>
      <w:r>
        <w:t>A platform for unsupported claims, fear-based predictions or artificial controversy.</w:t>
      </w:r>
    </w:p>
    <w:p>
      <w:pPr>
        <w:pStyle w:val="ListBullet"/>
        <w:spacing w:after="40"/>
        <w:ind w:left="259" w:hanging="173"/>
      </w:pPr>
      <w:r>
        <w:t>A source that pretends certainty where the evidence is incomplete or still evolving.</w:t>
      </w:r>
    </w:p>
    <w:p>
      <w:pPr>
        <w:pStyle w:val="Heading1"/>
      </w:pPr>
      <w:r>
        <w:t>9. Our Measure of Success</w:t>
      </w:r>
    </w:p>
    <w:p>
      <w:pPr>
        <w:spacing w:after="60"/>
      </w:pPr>
      <w:r>
        <w:t>Insights succeeds when readers save it, share it, discuss it and return because it helps them understand a difficult issue more clearly. The goal is not to publish the most content. The goal is to become one of the most useful and trusted places to understand how hiring and work are changing.</w:t>
      </w:r>
    </w:p>
    <w:tbl>
      <w:tblPr>
        <w:tblW w:type="auto" w:w="0"/>
        <w:jc w:val="center"/>
        <w:tblLook w:firstColumn="1" w:firstRow="1" w:lastColumn="0" w:lastRow="0" w:noHBand="0" w:noVBand="1" w:val="04A0"/>
      </w:tblPr>
      <w:tblGrid>
        <w:gridCol w:w="10282"/>
      </w:tblGrid>
      <w:tr>
        <w:tc>
          <w:tcPr>
            <w:tcW w:type="dxa" w:w="10282"/>
            <w:shd w:fill="F2F2F2"/>
            <w:tcMar>
              <w:top w:w="90" w:type="dxa"/>
              <w:start w:w="110" w:type="dxa"/>
              <w:bottom w:w="90" w:type="dxa"/>
              <w:end w:w="110" w:type="dxa"/>
            </w:tcMar>
          </w:tcPr>
          <w:p>
            <w:pPr>
              <w:spacing w:after="0"/>
              <w:jc w:val="center"/>
            </w:pPr>
            <w:r>
              <w:rPr>
                <w:b/>
                <w:sz w:val="22"/>
              </w:rPr>
              <w:t>What changed. Why it matters. What to do next.</w:t>
            </w:r>
          </w:p>
        </w:tc>
      </w:tr>
    </w:tbl>
    <w:sectPr w:rsidR="00FC693F" w:rsidRPr="0006063C" w:rsidSect="00034616">
      <w:headerReference w:type="default" r:id="rId9"/>
      <w:footerReference w:type="default" r:id="rId10"/>
      <w:pgSz w:w="12240" w:h="15840"/>
      <w:pgMar w:top="835"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Internal Alignment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HIRE'IN SOLUTIONS | INSIGHTS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