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Hire'in Solutions</w:t>
      </w:r>
    </w:p>
    <w:p>
      <w:pPr>
        <w:jc w:val="center"/>
      </w:pPr>
      <w:r>
        <w:rPr>
          <w:b/>
          <w:sz w:val="40"/>
        </w:rPr>
        <w:t>Final SOP Launch &amp; Process Implementation Playbook</w:t>
      </w:r>
    </w:p>
    <w:p>
      <w:pPr>
        <w:jc w:val="center"/>
      </w:pPr>
      <w:r>
        <w:rPr>
          <w:i/>
          <w:sz w:val="22"/>
        </w:rPr>
        <w:t>Successive rollout plan, missing-domain SOP library, training linkage, governance workflow, and platform adoption standards</w:t>
      </w:r>
    </w:p>
    <w:p/>
    <w:tbl>
      <w:tblPr>
        <w:tblStyle w:val="TableGrid"/>
        <w:tblW w:type="auto" w:w="0"/>
        <w:jc w:val="center"/>
        <w:tblLook w:firstColumn="1" w:firstRow="1" w:lastColumn="0" w:lastRow="0" w:noHBand="0" w:noVBand="1" w:val="04A0"/>
      </w:tblPr>
      <w:tblGrid>
        <w:gridCol w:w="5256"/>
        <w:gridCol w:w="5256"/>
      </w:tblGrid>
      <w:tr>
        <w:tc>
          <w:tcPr>
            <w:tcW w:type="dxa" w:w="2592"/>
            <w:vAlign w:val="top"/>
            <w:shd w:fill="1F4E79"/>
          </w:tcPr>
          <w:p>
            <w:pPr>
              <w:spacing w:after="0"/>
            </w:pPr>
            <w:r/>
            <w:r>
              <w:rPr>
                <w:b/>
                <w:color w:val="FFFFFF"/>
              </w:rPr>
              <w:t>Field</w:t>
            </w:r>
          </w:p>
        </w:tc>
        <w:tc>
          <w:tcPr>
            <w:tcW w:type="dxa" w:w="8064"/>
            <w:vAlign w:val="top"/>
            <w:shd w:fill="1F4E79"/>
          </w:tcPr>
          <w:p>
            <w:pPr>
              <w:spacing w:after="0"/>
            </w:pPr>
            <w:r/>
            <w:r>
              <w:rPr>
                <w:b/>
                <w:color w:val="FFFFFF"/>
              </w:rPr>
              <w:t>Details</w:t>
            </w:r>
          </w:p>
        </w:tc>
      </w:tr>
      <w:tr>
        <w:tc>
          <w:tcPr>
            <w:tcW w:type="dxa" w:w="2592"/>
          </w:tcPr>
          <w:p>
            <w:pPr>
              <w:spacing w:after="0"/>
            </w:pPr>
            <w:r/>
            <w:r>
              <w:rPr>
                <w:b w:val="0"/>
              </w:rPr>
              <w:t>Document Status</w:t>
            </w:r>
          </w:p>
        </w:tc>
        <w:tc>
          <w:tcPr>
            <w:tcW w:type="dxa" w:w="8064"/>
          </w:tcPr>
          <w:p>
            <w:pPr>
              <w:spacing w:after="0"/>
            </w:pPr>
            <w:r/>
            <w:r>
              <w:rPr>
                <w:b w:val="0"/>
              </w:rPr>
              <w:t>Leadership Release Draft - Version 1.0</w:t>
            </w:r>
          </w:p>
        </w:tc>
      </w:tr>
      <w:tr>
        <w:tc>
          <w:tcPr>
            <w:tcW w:type="dxa" w:w="2592"/>
          </w:tcPr>
          <w:p>
            <w:pPr>
              <w:spacing w:after="0"/>
            </w:pPr>
            <w:r/>
            <w:r>
              <w:rPr>
                <w:b w:val="0"/>
              </w:rPr>
              <w:t>Prepared For</w:t>
            </w:r>
          </w:p>
        </w:tc>
        <w:tc>
          <w:tcPr>
            <w:tcW w:type="dxa" w:w="8064"/>
          </w:tcPr>
          <w:p>
            <w:pPr>
              <w:spacing w:after="0"/>
            </w:pPr>
            <w:r/>
            <w:r>
              <w:rPr>
                <w:b w:val="0"/>
              </w:rPr>
              <w:t>Hire'in Solutions Leadership, Ops, HR, TA Delivery, Sales, Marketing, Finance and Development</w:t>
            </w:r>
          </w:p>
        </w:tc>
      </w:tr>
      <w:tr>
        <w:tc>
          <w:tcPr>
            <w:tcW w:type="dxa" w:w="2592"/>
          </w:tcPr>
          <w:p>
            <w:pPr>
              <w:spacing w:after="0"/>
            </w:pPr>
            <w:r/>
            <w:r>
              <w:rPr>
                <w:b w:val="0"/>
              </w:rPr>
              <w:t>Prepared By</w:t>
            </w:r>
          </w:p>
        </w:tc>
        <w:tc>
          <w:tcPr>
            <w:tcW w:type="dxa" w:w="8064"/>
          </w:tcPr>
          <w:p>
            <w:pPr>
              <w:spacing w:after="0"/>
            </w:pPr>
            <w:r/>
            <w:r>
              <w:rPr>
                <w:b w:val="0"/>
              </w:rPr>
              <w:t>CEO / Founder Office with BA, TA Delivery, BD and CMO operating lens</w:t>
            </w:r>
          </w:p>
        </w:tc>
      </w:tr>
      <w:tr>
        <w:tc>
          <w:tcPr>
            <w:tcW w:type="dxa" w:w="2592"/>
          </w:tcPr>
          <w:p>
            <w:pPr>
              <w:spacing w:after="0"/>
            </w:pPr>
            <w:r/>
            <w:r>
              <w:rPr>
                <w:b w:val="0"/>
              </w:rPr>
              <w:t>Effective Intent</w:t>
            </w:r>
          </w:p>
        </w:tc>
        <w:tc>
          <w:tcPr>
            <w:tcW w:type="dxa" w:w="8064"/>
          </w:tcPr>
          <w:p>
            <w:pPr>
              <w:spacing w:after="0"/>
            </w:pPr>
            <w:r/>
            <w:r>
              <w:rPr>
                <w:b w:val="0"/>
              </w:rPr>
              <w:t>Roll out SOPs in controlled waves without overwhelming the team</w:t>
            </w:r>
          </w:p>
        </w:tc>
      </w:tr>
      <w:tr>
        <w:tc>
          <w:tcPr>
            <w:tcW w:type="dxa" w:w="2592"/>
          </w:tcPr>
          <w:p>
            <w:pPr>
              <w:spacing w:after="0"/>
            </w:pPr>
            <w:r/>
            <w:r>
              <w:rPr>
                <w:b w:val="0"/>
              </w:rPr>
              <w:t>Date</w:t>
            </w:r>
          </w:p>
        </w:tc>
        <w:tc>
          <w:tcPr>
            <w:tcW w:type="dxa" w:w="8064"/>
          </w:tcPr>
          <w:p>
            <w:pPr>
              <w:spacing w:after="0"/>
            </w:pPr>
            <w:r/>
            <w:r>
              <w:rPr>
                <w:b w:val="0"/>
              </w:rPr>
              <w:t>June 29, 2026</w:t>
            </w:r>
          </w:p>
        </w:tc>
      </w:tr>
    </w:tbl>
    <w:p/>
    <w:tbl>
      <w:tblPr>
        <w:tblStyle w:val="TableGrid"/>
        <w:tblW w:type="auto" w:w="0"/>
        <w:jc w:val="center"/>
        <w:tblLook w:firstColumn="1" w:firstRow="1" w:lastColumn="0" w:lastRow="0" w:noHBand="0" w:noVBand="1" w:val="04A0"/>
      </w:tblPr>
      <w:tblGrid>
        <w:gridCol w:w="10512"/>
      </w:tblGrid>
      <w:tr>
        <w:tc>
          <w:tcPr>
            <w:tcW w:type="dxa" w:w="10512"/>
            <w:vAlign w:val="top"/>
            <w:shd w:fill="EAF3F8"/>
          </w:tcPr>
          <w:p>
            <w:r/>
            <w:r>
              <w:rPr>
                <w:b/>
                <w:sz w:val="20"/>
              </w:rPr>
              <w:t>Owner Decision</w:t>
            </w:r>
          </w:p>
          <w:p>
            <w:r>
              <w:rPr>
                <w:sz w:val="18"/>
              </w:rPr>
              <w:t>This document is intended to be approved centrally and launched in waves. Managers may provide operational feedback, but the rollout should not wait on an open-ended review cycle. The goal is adoption, training, behavior change and measurable execution - not paperwork.</w:t>
            </w:r>
          </w:p>
        </w:tc>
      </w:tr>
    </w:tbl>
    <w:p/>
    <w:p>
      <w:pPr>
        <w:pStyle w:val="Heading1"/>
      </w:pPr>
      <w:r>
        <w:t>1. Executive Summary</w:t>
      </w:r>
    </w:p>
    <w:p>
      <w:r>
        <w:t>Hire'in Solutions is moving from informal process knowledge into a structured operating system. The purpose is not to create paperwork or slow recruiters down. The purpose is to remove staffing chaos, improve requirement understanding, protect candidate trust, increase submission quality, support compliance, and give managers clear execution standards.</w:t>
      </w:r>
    </w:p>
    <w:p>
      <w:r>
        <w:t>This playbook provides the final SOP library, including the missing domains identified during leadership discussion: Marketing, Engineering and Professional Services, Legal and Compliance, Finance and Billing, Business Development, Candidate Experience, AI-driven Requirement Synthesis, and Independent SaaS Platform Usage for KleriQ.ai and ProKred.com.</w:t>
      </w:r>
    </w:p>
    <w:tbl>
      <w:tblPr>
        <w:tblStyle w:val="TableGrid"/>
        <w:tblW w:type="auto" w:w="0"/>
        <w:jc w:val="center"/>
        <w:tblLook w:firstColumn="1" w:firstRow="1" w:lastColumn="0" w:lastRow="0" w:noHBand="0" w:noVBand="1" w:val="04A0"/>
      </w:tblPr>
      <w:tblGrid>
        <w:gridCol w:w="10512"/>
      </w:tblGrid>
      <w:tr>
        <w:tc>
          <w:tcPr>
            <w:tcW w:type="dxa" w:w="10512"/>
            <w:vAlign w:val="top"/>
            <w:shd w:fill="EAF3F8"/>
          </w:tcPr>
          <w:p>
            <w:r/>
            <w:r>
              <w:rPr>
                <w:b/>
                <w:sz w:val="20"/>
              </w:rPr>
              <w:t>Rollout Philosophy</w:t>
            </w:r>
          </w:p>
          <w:p>
            <w:r>
              <w:rPr>
                <w:sz w:val="18"/>
              </w:rPr>
              <w:t>Launch the SOPs in succession. Start with the minimum set that protects delivery, tools, data, and submission quality. Then layer in candidate experience, platform adoption, marketing, business development, finance, legal, and advanced domains. Team members should understand why each SOP matters before they are expected to fully follow it.</w:t>
            </w:r>
          </w:p>
        </w:tc>
      </w:tr>
    </w:tbl>
    <w:p/>
    <w:p>
      <w:pPr>
        <w:pStyle w:val="Heading1"/>
      </w:pPr>
      <w:r>
        <w:t>2. What Hire'in Is Built On</w:t>
      </w:r>
    </w:p>
    <w:p>
      <w:r>
        <w:t>Hire'in should not be positioned as just another staffing company. The core operating promise is to bring clarity, trust and disciplined execution to staffing. Hire'in uses technology and structured delivery standards to convert fragmented hiring demand into aligned execution and to convert candidate readiness into compliant, submission-ready delivery.</w:t>
      </w:r>
    </w:p>
    <w:tbl>
      <w:tblPr>
        <w:tblStyle w:val="TableGrid"/>
        <w:tblW w:type="auto" w:w="0"/>
        <w:jc w:val="center"/>
        <w:tblLook w:firstColumn="1" w:firstRow="1" w:lastColumn="0" w:lastRow="0" w:noHBand="0" w:noVBand="1" w:val="04A0"/>
      </w:tblPr>
      <w:tblGrid>
        <w:gridCol w:w="5256"/>
        <w:gridCol w:w="5256"/>
      </w:tblGrid>
      <w:tr>
        <w:tc>
          <w:tcPr>
            <w:tcW w:type="dxa" w:w="2880"/>
            <w:vAlign w:val="top"/>
            <w:shd w:fill="1F4E79"/>
          </w:tcPr>
          <w:p>
            <w:pPr>
              <w:spacing w:after="0"/>
            </w:pPr>
            <w:r/>
            <w:r>
              <w:rPr>
                <w:b/>
                <w:color w:val="FFFFFF"/>
              </w:rPr>
              <w:t>Core Value</w:t>
            </w:r>
          </w:p>
        </w:tc>
        <w:tc>
          <w:tcPr>
            <w:tcW w:type="dxa" w:w="7776"/>
            <w:vAlign w:val="top"/>
            <w:shd w:fill="1F4E79"/>
          </w:tcPr>
          <w:p>
            <w:pPr>
              <w:spacing w:after="0"/>
            </w:pPr>
            <w:r/>
            <w:r>
              <w:rPr>
                <w:b/>
                <w:color w:val="FFFFFF"/>
              </w:rPr>
              <w:t>How It Shows Up in Daily Work</w:t>
            </w:r>
          </w:p>
        </w:tc>
      </w:tr>
      <w:tr>
        <w:tc>
          <w:tcPr>
            <w:tcW w:type="dxa" w:w="2880"/>
          </w:tcPr>
          <w:p>
            <w:pPr>
              <w:spacing w:after="0"/>
            </w:pPr>
            <w:r/>
            <w:r>
              <w:rPr>
                <w:b w:val="0"/>
              </w:rPr>
              <w:t>Candidate-first delivery</w:t>
            </w:r>
          </w:p>
        </w:tc>
        <w:tc>
          <w:tcPr>
            <w:tcW w:type="dxa" w:w="7776"/>
          </w:tcPr>
          <w:p>
            <w:pPr>
              <w:spacing w:after="0"/>
            </w:pPr>
            <w:r/>
            <w:r>
              <w:rPr>
                <w:b w:val="0"/>
              </w:rPr>
              <w:t>Candidates are not inventory. Every candidate should receive respectful, honest and timely communication. This is especially important in healthcare where career decisions are emotional and deeply personal.</w:t>
            </w:r>
          </w:p>
        </w:tc>
      </w:tr>
      <w:tr>
        <w:tc>
          <w:tcPr>
            <w:tcW w:type="dxa" w:w="2880"/>
          </w:tcPr>
          <w:p>
            <w:pPr>
              <w:spacing w:after="0"/>
            </w:pPr>
            <w:r/>
            <w:r>
              <w:rPr>
                <w:b w:val="0"/>
              </w:rPr>
              <w:t>Communication clarity</w:t>
            </w:r>
          </w:p>
        </w:tc>
        <w:tc>
          <w:tcPr>
            <w:tcW w:type="dxa" w:w="7776"/>
          </w:tcPr>
          <w:p>
            <w:pPr>
              <w:spacing w:after="0"/>
            </w:pPr>
            <w:r/>
            <w:r>
              <w:rPr>
                <w:b w:val="0"/>
              </w:rPr>
              <w:t>Hire'in exists to reduce chaos between corporate hiring teams, recruiters, candidates, MSP/VMS partners and internal delivery teams. Requirements, rates, candidate status and next steps should be clear and documented.</w:t>
            </w:r>
          </w:p>
        </w:tc>
      </w:tr>
      <w:tr>
        <w:tc>
          <w:tcPr>
            <w:tcW w:type="dxa" w:w="2880"/>
          </w:tcPr>
          <w:p>
            <w:pPr>
              <w:spacing w:after="0"/>
            </w:pPr>
            <w:r/>
            <w:r>
              <w:rPr>
                <w:b w:val="0"/>
              </w:rPr>
              <w:t>Speed with quality</w:t>
            </w:r>
          </w:p>
        </w:tc>
        <w:tc>
          <w:tcPr>
            <w:tcW w:type="dxa" w:w="7776"/>
          </w:tcPr>
          <w:p>
            <w:pPr>
              <w:spacing w:after="0"/>
            </w:pPr>
            <w:r/>
            <w:r>
              <w:rPr>
                <w:b w:val="0"/>
              </w:rPr>
              <w:t>Fast sourcing is not enough. Speed must be paired with intake discipline, screening, quality control and submission readiness.</w:t>
            </w:r>
          </w:p>
        </w:tc>
      </w:tr>
      <w:tr>
        <w:tc>
          <w:tcPr>
            <w:tcW w:type="dxa" w:w="2880"/>
          </w:tcPr>
          <w:p>
            <w:pPr>
              <w:spacing w:after="0"/>
            </w:pPr>
            <w:r/>
            <w:r>
              <w:rPr>
                <w:b w:val="0"/>
              </w:rPr>
              <w:t>AI with human judgment</w:t>
            </w:r>
          </w:p>
        </w:tc>
        <w:tc>
          <w:tcPr>
            <w:tcW w:type="dxa" w:w="7776"/>
          </w:tcPr>
          <w:p>
            <w:pPr>
              <w:spacing w:after="0"/>
            </w:pPr>
            <w:r/>
            <w:r>
              <w:rPr>
                <w:b w:val="0"/>
              </w:rPr>
              <w:t>AI-driven tools support synthesis, prioritization and productivity. Final responsibility for accuracy, ethics, compliance, candidate treatment and client communication remains with trained humans.</w:t>
            </w:r>
          </w:p>
        </w:tc>
      </w:tr>
      <w:tr>
        <w:tc>
          <w:tcPr>
            <w:tcW w:type="dxa" w:w="2880"/>
          </w:tcPr>
          <w:p>
            <w:pPr>
              <w:spacing w:after="0"/>
            </w:pPr>
            <w:r/>
            <w:r>
              <w:rPr>
                <w:b w:val="0"/>
              </w:rPr>
              <w:t>Candidate digital safety</w:t>
            </w:r>
          </w:p>
        </w:tc>
        <w:tc>
          <w:tcPr>
            <w:tcW w:type="dxa" w:w="7776"/>
          </w:tcPr>
          <w:p>
            <w:pPr>
              <w:spacing w:after="0"/>
            </w:pPr>
            <w:r/>
            <w:r>
              <w:rPr>
                <w:b w:val="0"/>
              </w:rPr>
              <w:t>Candidate documents, IDs, credentials, work authorization records, licenses and personal information must be handled through approved secure channels and never casually shared.</w:t>
            </w:r>
          </w:p>
        </w:tc>
      </w:tr>
      <w:tr>
        <w:tc>
          <w:tcPr>
            <w:tcW w:type="dxa" w:w="2880"/>
          </w:tcPr>
          <w:p>
            <w:pPr>
              <w:spacing w:after="0"/>
            </w:pPr>
            <w:r/>
            <w:r>
              <w:rPr>
                <w:b w:val="0"/>
              </w:rPr>
              <w:t>Process transparency</w:t>
            </w:r>
          </w:p>
        </w:tc>
        <w:tc>
          <w:tcPr>
            <w:tcW w:type="dxa" w:w="7776"/>
          </w:tcPr>
          <w:p>
            <w:pPr>
              <w:spacing w:after="0"/>
            </w:pPr>
            <w:r/>
            <w:r>
              <w:rPr>
                <w:b w:val="0"/>
              </w:rPr>
              <w:t>If work is not visible in ATS, workflow, dashboards, approved tools or audit logs, it is not operationally reliable.</w:t>
            </w:r>
          </w:p>
        </w:tc>
      </w:tr>
      <w:tr>
        <w:tc>
          <w:tcPr>
            <w:tcW w:type="dxa" w:w="2880"/>
          </w:tcPr>
          <w:p>
            <w:pPr>
              <w:spacing w:after="0"/>
            </w:pPr>
            <w:r/>
            <w:r>
              <w:rPr>
                <w:b w:val="0"/>
              </w:rPr>
              <w:t>Ownership mindset</w:t>
            </w:r>
          </w:p>
        </w:tc>
        <w:tc>
          <w:tcPr>
            <w:tcW w:type="dxa" w:w="7776"/>
          </w:tcPr>
          <w:p>
            <w:pPr>
              <w:spacing w:after="0"/>
            </w:pPr>
            <w:r/>
            <w:r>
              <w:rPr>
                <w:b w:val="0"/>
              </w:rPr>
              <w:t>Team members should think like operators, not task workers. They should identify blockers, protect company trust, recommend improvements and escalate early.</w:t>
            </w:r>
          </w:p>
        </w:tc>
      </w:tr>
      <w:tr>
        <w:tc>
          <w:tcPr>
            <w:tcW w:type="dxa" w:w="2880"/>
          </w:tcPr>
          <w:p>
            <w:pPr>
              <w:spacing w:after="0"/>
            </w:pPr>
            <w:r/>
            <w:r>
              <w:rPr>
                <w:b w:val="0"/>
              </w:rPr>
              <w:t>Metrics before opinions</w:t>
            </w:r>
          </w:p>
        </w:tc>
        <w:tc>
          <w:tcPr>
            <w:tcW w:type="dxa" w:w="7776"/>
          </w:tcPr>
          <w:p>
            <w:pPr>
              <w:spacing w:after="0"/>
            </w:pPr>
            <w:r/>
            <w:r>
              <w:rPr>
                <w:b w:val="0"/>
              </w:rPr>
              <w:t>Performance should be evaluated through activity, quality, conversion, compliance, aging, audit scores, margin and start outcomes.</w:t>
            </w:r>
          </w:p>
        </w:tc>
      </w:tr>
      <w:tr>
        <w:tc>
          <w:tcPr>
            <w:tcW w:type="dxa" w:w="2880"/>
          </w:tcPr>
          <w:p>
            <w:pPr>
              <w:spacing w:after="0"/>
            </w:pPr>
            <w:r/>
            <w:r>
              <w:rPr>
                <w:b w:val="0"/>
              </w:rPr>
              <w:t>Long-term partnership</w:t>
            </w:r>
          </w:p>
        </w:tc>
        <w:tc>
          <w:tcPr>
            <w:tcW w:type="dxa" w:w="7776"/>
          </w:tcPr>
          <w:p>
            <w:pPr>
              <w:spacing w:after="0"/>
            </w:pPr>
            <w:r/>
            <w:r>
              <w:rPr>
                <w:b w:val="0"/>
              </w:rPr>
              <w:t>Hire'in should build relationships before, during and after placements with candidates, clients, partners and internal teams.</w:t>
            </w:r>
          </w:p>
        </w:tc>
      </w:tr>
      <w:tr>
        <w:tc>
          <w:tcPr>
            <w:tcW w:type="dxa" w:w="2880"/>
          </w:tcPr>
          <w:p>
            <w:pPr>
              <w:spacing w:after="0"/>
            </w:pPr>
            <w:r/>
            <w:r>
              <w:rPr>
                <w:b w:val="0"/>
              </w:rPr>
              <w:t>Confidentiality by default</w:t>
            </w:r>
          </w:p>
        </w:tc>
        <w:tc>
          <w:tcPr>
            <w:tcW w:type="dxa" w:w="7776"/>
          </w:tcPr>
          <w:p>
            <w:pPr>
              <w:spacing w:after="0"/>
            </w:pPr>
            <w:r/>
            <w:r>
              <w:rPr>
                <w:b w:val="0"/>
              </w:rPr>
              <w:t>Client information, rates, candidate data, tool credentials, internal strategy and commercial terms must remain confidential unless approved for sharing.</w:t>
            </w:r>
          </w:p>
        </w:tc>
      </w:tr>
    </w:tbl>
    <w:p/>
    <w:p>
      <w:pPr>
        <w:pStyle w:val="Heading1"/>
      </w:pPr>
      <w:r>
        <w:t>3. Hire'in Mission and Operating Positioning</w:t>
      </w:r>
    </w:p>
    <w:p>
      <w:r>
        <w:t>Recommended mission statement for internal rollout:</w:t>
      </w:r>
    </w:p>
    <w:tbl>
      <w:tblPr>
        <w:tblStyle w:val="TableGrid"/>
        <w:tblW w:type="auto" w:w="0"/>
        <w:jc w:val="center"/>
        <w:tblLook w:firstColumn="1" w:firstRow="1" w:lastColumn="0" w:lastRow="0" w:noHBand="0" w:noVBand="1" w:val="04A0"/>
      </w:tblPr>
      <w:tblGrid>
        <w:gridCol w:w="10512"/>
      </w:tblGrid>
      <w:tr>
        <w:tc>
          <w:tcPr>
            <w:tcW w:type="dxa" w:w="10512"/>
            <w:vAlign w:val="top"/>
            <w:shd w:fill="E2F0D9"/>
          </w:tcPr>
          <w:p>
            <w:r/>
            <w:r>
              <w:rPr>
                <w:b/>
                <w:sz w:val="20"/>
              </w:rPr>
              <w:t>Mission Statement</w:t>
            </w:r>
          </w:p>
          <w:p>
            <w:r>
              <w:rPr>
                <w:sz w:val="18"/>
              </w:rPr>
              <w:t>Hire'in brings clarity, trust and execution discipline to staffing. We help companies convert hiring uncertainty into clear requirements, aligned delivery, transparent candidate communication, secure document workflows, and faster role fulfillment.</w:t>
            </w:r>
          </w:p>
        </w:tc>
      </w:tr>
    </w:tbl>
    <w:p/>
    <w:tbl>
      <w:tblPr>
        <w:tblStyle w:val="TableGrid"/>
        <w:tblW w:type="auto" w:w="0"/>
        <w:jc w:val="center"/>
        <w:tblLook w:firstColumn="1" w:firstRow="1" w:lastColumn="0" w:lastRow="0" w:noHBand="0" w:noVBand="1" w:val="04A0"/>
      </w:tblPr>
      <w:tblGrid>
        <w:gridCol w:w="3504"/>
        <w:gridCol w:w="3504"/>
        <w:gridCol w:w="3504"/>
      </w:tblGrid>
      <w:tr>
        <w:tc>
          <w:tcPr>
            <w:tcW w:type="dxa" w:w="2448"/>
            <w:vAlign w:val="top"/>
            <w:shd w:fill="1F4E79"/>
          </w:tcPr>
          <w:p>
            <w:pPr>
              <w:spacing w:after="0"/>
            </w:pPr>
            <w:r/>
            <w:r>
              <w:rPr>
                <w:b/>
                <w:color w:val="FFFFFF"/>
              </w:rPr>
              <w:t>Positioning Pillar</w:t>
            </w:r>
          </w:p>
        </w:tc>
        <w:tc>
          <w:tcPr>
            <w:tcW w:type="dxa" w:w="4464"/>
            <w:vAlign w:val="top"/>
            <w:shd w:fill="1F4E79"/>
          </w:tcPr>
          <w:p>
            <w:pPr>
              <w:spacing w:after="0"/>
            </w:pPr>
            <w:r/>
            <w:r>
              <w:rPr>
                <w:b/>
                <w:color w:val="FFFFFF"/>
              </w:rPr>
              <w:t>Meaning</w:t>
            </w:r>
          </w:p>
        </w:tc>
        <w:tc>
          <w:tcPr>
            <w:tcW w:type="dxa" w:w="3744"/>
            <w:vAlign w:val="top"/>
            <w:shd w:fill="1F4E79"/>
          </w:tcPr>
          <w:p>
            <w:pPr>
              <w:spacing w:after="0"/>
            </w:pPr>
            <w:r/>
            <w:r>
              <w:rPr>
                <w:b/>
                <w:color w:val="FFFFFF"/>
              </w:rPr>
              <w:t>Connected SOPs</w:t>
            </w:r>
          </w:p>
        </w:tc>
      </w:tr>
      <w:tr>
        <w:tc>
          <w:tcPr>
            <w:tcW w:type="dxa" w:w="2448"/>
          </w:tcPr>
          <w:p>
            <w:pPr>
              <w:spacing w:after="0"/>
            </w:pPr>
            <w:r/>
            <w:r>
              <w:rPr>
                <w:b w:val="0"/>
              </w:rPr>
              <w:t>Requirement clarity</w:t>
            </w:r>
          </w:p>
        </w:tc>
        <w:tc>
          <w:tcPr>
            <w:tcW w:type="dxa" w:w="4464"/>
          </w:tcPr>
          <w:p>
            <w:pPr>
              <w:spacing w:after="0"/>
            </w:pPr>
            <w:r/>
            <w:r>
              <w:rPr>
                <w:b w:val="0"/>
              </w:rPr>
              <w:t>Every role must be understood before recruiters spend time sourcing.</w:t>
            </w:r>
          </w:p>
        </w:tc>
        <w:tc>
          <w:tcPr>
            <w:tcW w:type="dxa" w:w="3744"/>
          </w:tcPr>
          <w:p>
            <w:pPr>
              <w:spacing w:after="0"/>
            </w:pPr>
            <w:r/>
            <w:r>
              <w:rPr>
                <w:b w:val="0"/>
              </w:rPr>
              <w:t>REQ-001, TA-001, SALES-001</w:t>
            </w:r>
          </w:p>
        </w:tc>
      </w:tr>
      <w:tr>
        <w:tc>
          <w:tcPr>
            <w:tcW w:type="dxa" w:w="2448"/>
          </w:tcPr>
          <w:p>
            <w:pPr>
              <w:spacing w:after="0"/>
            </w:pPr>
            <w:r/>
            <w:r>
              <w:rPr>
                <w:b w:val="0"/>
              </w:rPr>
              <w:t>Candidate trust</w:t>
            </w:r>
          </w:p>
        </w:tc>
        <w:tc>
          <w:tcPr>
            <w:tcW w:type="dxa" w:w="4464"/>
          </w:tcPr>
          <w:p>
            <w:pPr>
              <w:spacing w:after="0"/>
            </w:pPr>
            <w:r/>
            <w:r>
              <w:rPr>
                <w:b w:val="0"/>
              </w:rPr>
              <w:t>Candidates should know what role they are being considered for, what documents are requested, and how their information will be handled.</w:t>
            </w:r>
          </w:p>
        </w:tc>
        <w:tc>
          <w:tcPr>
            <w:tcW w:type="dxa" w:w="3744"/>
          </w:tcPr>
          <w:p>
            <w:pPr>
              <w:spacing w:after="0"/>
            </w:pPr>
            <w:r/>
            <w:r>
              <w:rPr>
                <w:b w:val="0"/>
              </w:rPr>
              <w:t>CX-001, HC-001, PLAT-001</w:t>
            </w:r>
          </w:p>
        </w:tc>
      </w:tr>
      <w:tr>
        <w:tc>
          <w:tcPr>
            <w:tcW w:type="dxa" w:w="2448"/>
          </w:tcPr>
          <w:p>
            <w:pPr>
              <w:spacing w:after="0"/>
            </w:pPr>
            <w:r/>
            <w:r>
              <w:rPr>
                <w:b w:val="0"/>
              </w:rPr>
              <w:t>Submission readiness</w:t>
            </w:r>
          </w:p>
        </w:tc>
        <w:tc>
          <w:tcPr>
            <w:tcW w:type="dxa" w:w="4464"/>
          </w:tcPr>
          <w:p>
            <w:pPr>
              <w:spacing w:after="0"/>
            </w:pPr>
            <w:r/>
            <w:r>
              <w:rPr>
                <w:b w:val="0"/>
              </w:rPr>
              <w:t>A candidate is not ready until their profile, screening, notes, documents and submission package meet the role requirements.</w:t>
            </w:r>
          </w:p>
        </w:tc>
        <w:tc>
          <w:tcPr>
            <w:tcW w:type="dxa" w:w="3744"/>
          </w:tcPr>
          <w:p>
            <w:pPr>
              <w:spacing w:after="0"/>
            </w:pPr>
            <w:r/>
            <w:r>
              <w:rPr>
                <w:b w:val="0"/>
              </w:rPr>
              <w:t>TA-003, HC-001, IT-001, ENG-001</w:t>
            </w:r>
          </w:p>
        </w:tc>
      </w:tr>
      <w:tr>
        <w:tc>
          <w:tcPr>
            <w:tcW w:type="dxa" w:w="2448"/>
          </w:tcPr>
          <w:p>
            <w:pPr>
              <w:spacing w:after="0"/>
            </w:pPr>
            <w:r/>
            <w:r>
              <w:rPr>
                <w:b w:val="0"/>
              </w:rPr>
              <w:t>Operational control</w:t>
            </w:r>
          </w:p>
        </w:tc>
        <w:tc>
          <w:tcPr>
            <w:tcW w:type="dxa" w:w="4464"/>
          </w:tcPr>
          <w:p>
            <w:pPr>
              <w:spacing w:after="0"/>
            </w:pPr>
            <w:r/>
            <w:r>
              <w:rPr>
                <w:b w:val="0"/>
              </w:rPr>
              <w:t>Tools, access, workflows, reviews, audits and KPIs should be controlled through the system.</w:t>
            </w:r>
          </w:p>
        </w:tc>
        <w:tc>
          <w:tcPr>
            <w:tcW w:type="dxa" w:w="3744"/>
          </w:tcPr>
          <w:p>
            <w:pPr>
              <w:spacing w:after="0"/>
            </w:pPr>
            <w:r/>
            <w:r>
              <w:rPr>
                <w:b w:val="0"/>
              </w:rPr>
              <w:t>GOV-001, OPS-001, HR-001, AUDIT-001</w:t>
            </w:r>
          </w:p>
        </w:tc>
      </w:tr>
      <w:tr>
        <w:tc>
          <w:tcPr>
            <w:tcW w:type="dxa" w:w="2448"/>
          </w:tcPr>
          <w:p>
            <w:pPr>
              <w:spacing w:after="0"/>
            </w:pPr>
            <w:r/>
            <w:r>
              <w:rPr>
                <w:b w:val="0"/>
              </w:rPr>
              <w:t>Growth engine</w:t>
            </w:r>
          </w:p>
        </w:tc>
        <w:tc>
          <w:tcPr>
            <w:tcW w:type="dxa" w:w="4464"/>
          </w:tcPr>
          <w:p>
            <w:pPr>
              <w:spacing w:after="0"/>
            </w:pPr>
            <w:r/>
            <w:r>
              <w:rPr>
                <w:b w:val="0"/>
              </w:rPr>
              <w:t>Marketing, BD, sales and delivery must work together to generate demand and convert it into results.</w:t>
            </w:r>
          </w:p>
        </w:tc>
        <w:tc>
          <w:tcPr>
            <w:tcW w:type="dxa" w:w="3744"/>
          </w:tcPr>
          <w:p>
            <w:pPr>
              <w:spacing w:after="0"/>
            </w:pPr>
            <w:r/>
            <w:r>
              <w:rPr>
                <w:b w:val="0"/>
              </w:rPr>
              <w:t>MKT-001, BD-001, SALES-001, FIN-001</w:t>
            </w:r>
          </w:p>
        </w:tc>
      </w:tr>
    </w:tbl>
    <w:p/>
    <w:p>
      <w:pPr>
        <w:pStyle w:val="Heading1"/>
      </w:pPr>
      <w:r>
        <w:t>4. Final SOP Library - Including Missing Domains</w:t>
      </w:r>
    </w:p>
    <w:p>
      <w:r>
        <w:t>The final library should include 21 SOPs. These should not all be launched at once. They should be seeded into the app and rolled out in waves.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944"/>
            <w:vAlign w:val="top"/>
            <w:shd w:fill="1F4E79"/>
          </w:tcPr>
          <w:p>
            <w:pPr>
              <w:spacing w:after="0"/>
            </w:pPr>
            <w:r/>
            <w:r>
              <w:rPr>
                <w:b/>
                <w:color w:val="FFFFFF"/>
              </w:rPr>
              <w:t>Code</w:t>
            </w:r>
          </w:p>
        </w:tc>
        <w:tc>
          <w:tcPr>
            <w:tcW w:type="dxa" w:w="3672"/>
            <w:vAlign w:val="top"/>
            <w:shd w:fill="1F4E79"/>
          </w:tcPr>
          <w:p>
            <w:pPr>
              <w:spacing w:after="0"/>
            </w:pPr>
            <w:r/>
            <w:r>
              <w:rPr>
                <w:b/>
                <w:color w:val="FFFFFF"/>
              </w:rPr>
              <w:t>Title</w:t>
            </w:r>
          </w:p>
        </w:tc>
        <w:tc>
          <w:tcPr>
            <w:tcW w:type="dxa" w:w="1944"/>
            <w:vAlign w:val="top"/>
            <w:shd w:fill="1F4E79"/>
          </w:tcPr>
          <w:p>
            <w:pPr>
              <w:spacing w:after="0"/>
            </w:pPr>
            <w:r/>
            <w:r>
              <w:rPr>
                <w:b/>
                <w:color w:val="FFFFFF"/>
              </w:rPr>
              <w:t>Category</w:t>
            </w:r>
          </w:p>
        </w:tc>
        <w:tc>
          <w:tcPr>
            <w:tcW w:type="dxa" w:w="3168"/>
            <w:vAlign w:val="top"/>
            <w:shd w:fill="1F4E79"/>
          </w:tcPr>
          <w:p>
            <w:pPr>
              <w:spacing w:after="0"/>
            </w:pPr>
            <w:r/>
            <w:r>
              <w:rPr>
                <w:b/>
                <w:color w:val="FFFFFF"/>
              </w:rPr>
              <w:t>Purpose</w:t>
            </w:r>
          </w:p>
        </w:tc>
      </w:tr>
      <w:tr>
        <w:tc>
          <w:tcPr>
            <w:tcW w:type="dxa" w:w="1944"/>
          </w:tcPr>
          <w:p>
            <w:pPr>
              <w:spacing w:after="0"/>
            </w:pPr>
            <w:r/>
            <w:r>
              <w:rPr>
                <w:b w:val="0"/>
              </w:rPr>
              <w:t>HIS-SOP-GOV-001</w:t>
            </w:r>
          </w:p>
        </w:tc>
        <w:tc>
          <w:tcPr>
            <w:tcW w:type="dxa" w:w="3672"/>
          </w:tcPr>
          <w:p>
            <w:pPr>
              <w:spacing w:after="0"/>
            </w:pPr>
            <w:r/>
            <w:r>
              <w:rPr>
                <w:b w:val="0"/>
              </w:rPr>
              <w:t>SOP Governance, Document Control &amp; Change Management</w:t>
            </w:r>
          </w:p>
        </w:tc>
        <w:tc>
          <w:tcPr>
            <w:tcW w:type="dxa" w:w="1944"/>
          </w:tcPr>
          <w:p>
            <w:pPr>
              <w:spacing w:after="0"/>
            </w:pPr>
            <w:r/>
            <w:r>
              <w:rPr>
                <w:b w:val="0"/>
              </w:rPr>
              <w:t>General / Governance</w:t>
            </w:r>
          </w:p>
        </w:tc>
        <w:tc>
          <w:tcPr>
            <w:tcW w:type="dxa" w:w="3168"/>
          </w:tcPr>
          <w:p>
            <w:pPr>
              <w:spacing w:after="0"/>
            </w:pPr>
            <w:r/>
            <w:r>
              <w:rPr>
                <w:b w:val="0"/>
              </w:rPr>
              <w:t>Controls ownership, approval, versioning, review cadence and publishing.</w:t>
            </w:r>
          </w:p>
        </w:tc>
      </w:tr>
      <w:tr>
        <w:tc>
          <w:tcPr>
            <w:tcW w:type="dxa" w:w="1944"/>
          </w:tcPr>
          <w:p>
            <w:pPr>
              <w:spacing w:after="0"/>
            </w:pPr>
            <w:r/>
            <w:r>
              <w:rPr>
                <w:b w:val="0"/>
              </w:rPr>
              <w:t>HIS-SOP-REQ-001</w:t>
            </w:r>
          </w:p>
        </w:tc>
        <w:tc>
          <w:tcPr>
            <w:tcW w:type="dxa" w:w="3672"/>
          </w:tcPr>
          <w:p>
            <w:pPr>
              <w:spacing w:after="0"/>
            </w:pPr>
            <w:r/>
            <w:r>
              <w:rPr>
                <w:b w:val="0"/>
              </w:rPr>
              <w:t>AI-Driven Requirement Synthesis, Hiring Manager Alignment &amp; Execution Brief</w:t>
            </w:r>
          </w:p>
        </w:tc>
        <w:tc>
          <w:tcPr>
            <w:tcW w:type="dxa" w:w="1944"/>
          </w:tcPr>
          <w:p>
            <w:pPr>
              <w:spacing w:after="0"/>
            </w:pPr>
            <w:r/>
            <w:r>
              <w:rPr>
                <w:b w:val="0"/>
              </w:rPr>
              <w:t>Requirement Clarity</w:t>
            </w:r>
          </w:p>
        </w:tc>
        <w:tc>
          <w:tcPr>
            <w:tcW w:type="dxa" w:w="3168"/>
          </w:tcPr>
          <w:p>
            <w:pPr>
              <w:spacing w:after="0"/>
            </w:pPr>
            <w:r/>
            <w:r>
              <w:rPr>
                <w:b w:val="0"/>
              </w:rPr>
              <w:t>Uses KleriQ-style requirement synthesis to standardize job understanding before sourcing.</w:t>
            </w:r>
          </w:p>
        </w:tc>
      </w:tr>
      <w:tr>
        <w:tc>
          <w:tcPr>
            <w:tcW w:type="dxa" w:w="1944"/>
          </w:tcPr>
          <w:p>
            <w:pPr>
              <w:spacing w:after="0"/>
            </w:pPr>
            <w:r/>
            <w:r>
              <w:rPr>
                <w:b w:val="0"/>
              </w:rPr>
              <w:t>HIS-SOP-TA-001</w:t>
            </w:r>
          </w:p>
        </w:tc>
        <w:tc>
          <w:tcPr>
            <w:tcW w:type="dxa" w:w="3672"/>
          </w:tcPr>
          <w:p>
            <w:pPr>
              <w:spacing w:after="0"/>
            </w:pPr>
            <w:r/>
            <w:r>
              <w:rPr>
                <w:b w:val="0"/>
              </w:rPr>
              <w:t>Requisition Intake, Rate Alignment &amp; Delivery Kickoff</w:t>
            </w:r>
          </w:p>
        </w:tc>
        <w:tc>
          <w:tcPr>
            <w:tcW w:type="dxa" w:w="1944"/>
          </w:tcPr>
          <w:p>
            <w:pPr>
              <w:spacing w:after="0"/>
            </w:pPr>
            <w:r/>
            <w:r>
              <w:rPr>
                <w:b w:val="0"/>
              </w:rPr>
              <w:t>TA Delivery</w:t>
            </w:r>
          </w:p>
        </w:tc>
        <w:tc>
          <w:tcPr>
            <w:tcW w:type="dxa" w:w="3168"/>
          </w:tcPr>
          <w:p>
            <w:pPr>
              <w:spacing w:after="0"/>
            </w:pPr>
            <w:r/>
            <w:r>
              <w:rPr>
                <w:b w:val="0"/>
              </w:rPr>
              <w:t>Ensures no recruiter starts sourcing without role, rate, pay, margin and must-have clarity.</w:t>
            </w:r>
          </w:p>
        </w:tc>
      </w:tr>
      <w:tr>
        <w:tc>
          <w:tcPr>
            <w:tcW w:type="dxa" w:w="1944"/>
          </w:tcPr>
          <w:p>
            <w:pPr>
              <w:spacing w:after="0"/>
            </w:pPr>
            <w:r/>
            <w:r>
              <w:rPr>
                <w:b w:val="0"/>
              </w:rPr>
              <w:t>HIS-SOP-TA-002</w:t>
            </w:r>
          </w:p>
        </w:tc>
        <w:tc>
          <w:tcPr>
            <w:tcW w:type="dxa" w:w="3672"/>
          </w:tcPr>
          <w:p>
            <w:pPr>
              <w:spacing w:after="0"/>
            </w:pPr>
            <w:r/>
            <w:r>
              <w:rPr>
                <w:b w:val="0"/>
              </w:rPr>
              <w:t>Sourcing, Outreach, Candidate Ownership &amp; Consent</w:t>
            </w:r>
          </w:p>
        </w:tc>
        <w:tc>
          <w:tcPr>
            <w:tcW w:type="dxa" w:w="1944"/>
          </w:tcPr>
          <w:p>
            <w:pPr>
              <w:spacing w:after="0"/>
            </w:pPr>
            <w:r/>
            <w:r>
              <w:rPr>
                <w:b w:val="0"/>
              </w:rPr>
              <w:t>TA Delivery</w:t>
            </w:r>
          </w:p>
        </w:tc>
        <w:tc>
          <w:tcPr>
            <w:tcW w:type="dxa" w:w="3168"/>
          </w:tcPr>
          <w:p>
            <w:pPr>
              <w:spacing w:after="0"/>
            </w:pPr>
            <w:r/>
            <w:r>
              <w:rPr>
                <w:b w:val="0"/>
              </w:rPr>
              <w:t>Controls sourcing, candidate ownership, duplicate handling, outreach quality and consent/RTR.</w:t>
            </w:r>
          </w:p>
        </w:tc>
      </w:tr>
      <w:tr>
        <w:tc>
          <w:tcPr>
            <w:tcW w:type="dxa" w:w="1944"/>
          </w:tcPr>
          <w:p>
            <w:pPr>
              <w:spacing w:after="0"/>
            </w:pPr>
            <w:r/>
            <w:r>
              <w:rPr>
                <w:b w:val="0"/>
              </w:rPr>
              <w:t>HIS-SOP-TA-003</w:t>
            </w:r>
          </w:p>
        </w:tc>
        <w:tc>
          <w:tcPr>
            <w:tcW w:type="dxa" w:w="3672"/>
          </w:tcPr>
          <w:p>
            <w:pPr>
              <w:spacing w:after="0"/>
            </w:pPr>
            <w:r/>
            <w:r>
              <w:rPr>
                <w:b w:val="0"/>
              </w:rPr>
              <w:t>Screening, Qualification &amp; Submission QC</w:t>
            </w:r>
          </w:p>
        </w:tc>
        <w:tc>
          <w:tcPr>
            <w:tcW w:type="dxa" w:w="1944"/>
          </w:tcPr>
          <w:p>
            <w:pPr>
              <w:spacing w:after="0"/>
            </w:pPr>
            <w:r/>
            <w:r>
              <w:rPr>
                <w:b w:val="0"/>
              </w:rPr>
              <w:t>TA Delivery</w:t>
            </w:r>
          </w:p>
        </w:tc>
        <w:tc>
          <w:tcPr>
            <w:tcW w:type="dxa" w:w="3168"/>
          </w:tcPr>
          <w:p>
            <w:pPr>
              <w:spacing w:after="0"/>
            </w:pPr>
            <w:r/>
            <w:r>
              <w:rPr>
                <w:b w:val="0"/>
              </w:rPr>
              <w:t>Defines screening quality gates and submission readiness checks.</w:t>
            </w:r>
          </w:p>
        </w:tc>
      </w:tr>
      <w:tr>
        <w:tc>
          <w:tcPr>
            <w:tcW w:type="dxa" w:w="1944"/>
          </w:tcPr>
          <w:p>
            <w:pPr>
              <w:spacing w:after="0"/>
            </w:pPr>
            <w:r/>
            <w:r>
              <w:rPr>
                <w:b w:val="0"/>
              </w:rPr>
              <w:t>HIS-SOP-TA-004</w:t>
            </w:r>
          </w:p>
        </w:tc>
        <w:tc>
          <w:tcPr>
            <w:tcW w:type="dxa" w:w="3672"/>
          </w:tcPr>
          <w:p>
            <w:pPr>
              <w:spacing w:after="0"/>
            </w:pPr>
            <w:r/>
            <w:r>
              <w:rPr>
                <w:b w:val="0"/>
              </w:rPr>
              <w:t>Interview, Offer, Start &amp; Retention Follow-Through</w:t>
            </w:r>
          </w:p>
        </w:tc>
        <w:tc>
          <w:tcPr>
            <w:tcW w:type="dxa" w:w="1944"/>
          </w:tcPr>
          <w:p>
            <w:pPr>
              <w:spacing w:after="0"/>
            </w:pPr>
            <w:r/>
            <w:r>
              <w:rPr>
                <w:b w:val="0"/>
              </w:rPr>
              <w:t>TA Delivery</w:t>
            </w:r>
          </w:p>
        </w:tc>
        <w:tc>
          <w:tcPr>
            <w:tcW w:type="dxa" w:w="3168"/>
          </w:tcPr>
          <w:p>
            <w:pPr>
              <w:spacing w:after="0"/>
            </w:pPr>
            <w:r/>
            <w:r>
              <w:rPr>
                <w:b w:val="0"/>
              </w:rPr>
              <w:t>Controls interview coordination, offer follow-up, start confirmation and post-start check-ins.</w:t>
            </w:r>
          </w:p>
        </w:tc>
      </w:tr>
      <w:tr>
        <w:tc>
          <w:tcPr>
            <w:tcW w:type="dxa" w:w="1944"/>
          </w:tcPr>
          <w:p>
            <w:pPr>
              <w:spacing w:after="0"/>
            </w:pPr>
            <w:r/>
            <w:r>
              <w:rPr>
                <w:b w:val="0"/>
              </w:rPr>
              <w:t>HIS-SOP-HC-001</w:t>
            </w:r>
          </w:p>
        </w:tc>
        <w:tc>
          <w:tcPr>
            <w:tcW w:type="dxa" w:w="3672"/>
          </w:tcPr>
          <w:p>
            <w:pPr>
              <w:spacing w:after="0"/>
            </w:pPr>
            <w:r/>
            <w:r>
              <w:rPr>
                <w:b w:val="0"/>
              </w:rPr>
              <w:t>Healthcare Credential Packet &amp; Compliance Readiness</w:t>
            </w:r>
          </w:p>
        </w:tc>
        <w:tc>
          <w:tcPr>
            <w:tcW w:type="dxa" w:w="1944"/>
          </w:tcPr>
          <w:p>
            <w:pPr>
              <w:spacing w:after="0"/>
            </w:pPr>
            <w:r/>
            <w:r>
              <w:rPr>
                <w:b w:val="0"/>
              </w:rPr>
              <w:t>Healthcare</w:t>
            </w:r>
          </w:p>
        </w:tc>
        <w:tc>
          <w:tcPr>
            <w:tcW w:type="dxa" w:w="3168"/>
          </w:tcPr>
          <w:p>
            <w:pPr>
              <w:spacing w:after="0"/>
            </w:pPr>
            <w:r/>
            <w:r>
              <w:rPr>
                <w:b w:val="0"/>
              </w:rPr>
              <w:t>Defines healthcare credential awareness, document collection, packet completeness and compliance readiness.</w:t>
            </w:r>
          </w:p>
        </w:tc>
      </w:tr>
      <w:tr>
        <w:tc>
          <w:tcPr>
            <w:tcW w:type="dxa" w:w="1944"/>
          </w:tcPr>
          <w:p>
            <w:pPr>
              <w:spacing w:after="0"/>
            </w:pPr>
            <w:r/>
            <w:r>
              <w:rPr>
                <w:b w:val="0"/>
              </w:rPr>
              <w:t>HIS-SOP-IT-001</w:t>
            </w:r>
          </w:p>
        </w:tc>
        <w:tc>
          <w:tcPr>
            <w:tcW w:type="dxa" w:w="3672"/>
          </w:tcPr>
          <w:p>
            <w:pPr>
              <w:spacing w:after="0"/>
            </w:pPr>
            <w:r/>
            <w:r>
              <w:rPr>
                <w:b w:val="0"/>
              </w:rPr>
              <w:t>IT Staffing Delivery, Technical Screening &amp; Submission Governance</w:t>
            </w:r>
          </w:p>
        </w:tc>
        <w:tc>
          <w:tcPr>
            <w:tcW w:type="dxa" w:w="1944"/>
          </w:tcPr>
          <w:p>
            <w:pPr>
              <w:spacing w:after="0"/>
            </w:pPr>
            <w:r/>
            <w:r>
              <w:rPr>
                <w:b w:val="0"/>
              </w:rPr>
              <w:t>IT Staffing</w:t>
            </w:r>
          </w:p>
        </w:tc>
        <w:tc>
          <w:tcPr>
            <w:tcW w:type="dxa" w:w="3168"/>
          </w:tcPr>
          <w:p>
            <w:pPr>
              <w:spacing w:after="0"/>
            </w:pPr>
            <w:r/>
            <w:r>
              <w:rPr>
                <w:b w:val="0"/>
              </w:rPr>
              <w:t>Defines IT requirements, technical screening, resume fit and submission governance.</w:t>
            </w:r>
          </w:p>
        </w:tc>
      </w:tr>
      <w:tr>
        <w:tc>
          <w:tcPr>
            <w:tcW w:type="dxa" w:w="1944"/>
          </w:tcPr>
          <w:p>
            <w:pPr>
              <w:spacing w:after="0"/>
            </w:pPr>
            <w:r/>
            <w:r>
              <w:rPr>
                <w:b w:val="0"/>
              </w:rPr>
              <w:t>HIS-SOP-ENG-001</w:t>
            </w:r>
          </w:p>
        </w:tc>
        <w:tc>
          <w:tcPr>
            <w:tcW w:type="dxa" w:w="3672"/>
          </w:tcPr>
          <w:p>
            <w:pPr>
              <w:spacing w:after="0"/>
            </w:pPr>
            <w:r/>
            <w:r>
              <w:rPr>
                <w:b w:val="0"/>
              </w:rPr>
              <w:t>Engineering &amp; Professional Services Delivery Standards</w:t>
            </w:r>
          </w:p>
        </w:tc>
        <w:tc>
          <w:tcPr>
            <w:tcW w:type="dxa" w:w="1944"/>
          </w:tcPr>
          <w:p>
            <w:pPr>
              <w:spacing w:after="0"/>
            </w:pPr>
            <w:r/>
            <w:r>
              <w:rPr>
                <w:b w:val="0"/>
              </w:rPr>
              <w:t>Engineering / Professional Services</w:t>
            </w:r>
          </w:p>
        </w:tc>
        <w:tc>
          <w:tcPr>
            <w:tcW w:type="dxa" w:w="3168"/>
          </w:tcPr>
          <w:p>
            <w:pPr>
              <w:spacing w:after="0"/>
            </w:pPr>
            <w:r/>
            <w:r>
              <w:rPr>
                <w:b w:val="0"/>
              </w:rPr>
              <w:t>Adds delivery standards for engineering, professional services and specialized business roles.</w:t>
            </w:r>
          </w:p>
        </w:tc>
      </w:tr>
      <w:tr>
        <w:tc>
          <w:tcPr>
            <w:tcW w:type="dxa" w:w="1944"/>
          </w:tcPr>
          <w:p>
            <w:pPr>
              <w:spacing w:after="0"/>
            </w:pPr>
            <w:r/>
            <w:r>
              <w:rPr>
                <w:b w:val="0"/>
              </w:rPr>
              <w:t>HIS-SOP-SALES-001</w:t>
            </w:r>
          </w:p>
        </w:tc>
        <w:tc>
          <w:tcPr>
            <w:tcW w:type="dxa" w:w="3672"/>
          </w:tcPr>
          <w:p>
            <w:pPr>
              <w:spacing w:after="0"/>
            </w:pPr>
            <w:r/>
            <w:r>
              <w:rPr>
                <w:b w:val="0"/>
              </w:rPr>
              <w:t>Client, MSP/VMS, Rate Governance &amp; Escalation</w:t>
            </w:r>
          </w:p>
        </w:tc>
        <w:tc>
          <w:tcPr>
            <w:tcW w:type="dxa" w:w="1944"/>
          </w:tcPr>
          <w:p>
            <w:pPr>
              <w:spacing w:after="0"/>
            </w:pPr>
            <w:r/>
            <w:r>
              <w:rPr>
                <w:b w:val="0"/>
              </w:rPr>
              <w:t>Sales / Account Management</w:t>
            </w:r>
          </w:p>
        </w:tc>
        <w:tc>
          <w:tcPr>
            <w:tcW w:type="dxa" w:w="3168"/>
          </w:tcPr>
          <w:p>
            <w:pPr>
              <w:spacing w:after="0"/>
            </w:pPr>
            <w:r/>
            <w:r>
              <w:rPr>
                <w:b w:val="0"/>
              </w:rPr>
              <w:t>Controls client intake, rate/margin guardrails, MSP/VMS communication and escalation.</w:t>
            </w:r>
          </w:p>
        </w:tc>
      </w:tr>
      <w:tr>
        <w:tc>
          <w:tcPr>
            <w:tcW w:type="dxa" w:w="1944"/>
          </w:tcPr>
          <w:p>
            <w:pPr>
              <w:spacing w:after="0"/>
            </w:pPr>
            <w:r/>
            <w:r>
              <w:rPr>
                <w:b w:val="0"/>
              </w:rPr>
              <w:t>HIS-SOP-BD-001</w:t>
            </w:r>
          </w:p>
        </w:tc>
        <w:tc>
          <w:tcPr>
            <w:tcW w:type="dxa" w:w="3672"/>
          </w:tcPr>
          <w:p>
            <w:pPr>
              <w:spacing w:after="0"/>
            </w:pPr>
            <w:r/>
            <w:r>
              <w:rPr>
                <w:b w:val="0"/>
              </w:rPr>
              <w:t>New Client Acquisition, Proposals, RFPs &amp; Client Onboarding</w:t>
            </w:r>
          </w:p>
        </w:tc>
        <w:tc>
          <w:tcPr>
            <w:tcW w:type="dxa" w:w="1944"/>
          </w:tcPr>
          <w:p>
            <w:pPr>
              <w:spacing w:after="0"/>
            </w:pPr>
            <w:r/>
            <w:r>
              <w:rPr>
                <w:b w:val="0"/>
              </w:rPr>
              <w:t>Business Development</w:t>
            </w:r>
          </w:p>
        </w:tc>
        <w:tc>
          <w:tcPr>
            <w:tcW w:type="dxa" w:w="3168"/>
          </w:tcPr>
          <w:p>
            <w:pPr>
              <w:spacing w:after="0"/>
            </w:pPr>
            <w:r/>
            <w:r>
              <w:rPr>
                <w:b w:val="0"/>
              </w:rPr>
              <w:t>Defines prospecting, proposal, RFP response, client onboarding and handoff to delivery.</w:t>
            </w:r>
          </w:p>
        </w:tc>
      </w:tr>
      <w:tr>
        <w:tc>
          <w:tcPr>
            <w:tcW w:type="dxa" w:w="1944"/>
          </w:tcPr>
          <w:p>
            <w:pPr>
              <w:spacing w:after="0"/>
            </w:pPr>
            <w:r/>
            <w:r>
              <w:rPr>
                <w:b w:val="0"/>
              </w:rPr>
              <w:t>HIS-SOP-MKT-001</w:t>
            </w:r>
          </w:p>
        </w:tc>
        <w:tc>
          <w:tcPr>
            <w:tcW w:type="dxa" w:w="3672"/>
          </w:tcPr>
          <w:p>
            <w:pPr>
              <w:spacing w:after="0"/>
            </w:pPr>
            <w:r/>
            <w:r>
              <w:rPr>
                <w:b w:val="0"/>
              </w:rPr>
              <w:t>Employer Brand, Digital Marketing &amp; Lead Generation</w:t>
            </w:r>
          </w:p>
        </w:tc>
        <w:tc>
          <w:tcPr>
            <w:tcW w:type="dxa" w:w="1944"/>
          </w:tcPr>
          <w:p>
            <w:pPr>
              <w:spacing w:after="0"/>
            </w:pPr>
            <w:r/>
            <w:r>
              <w:rPr>
                <w:b w:val="0"/>
              </w:rPr>
              <w:t>Marketing</w:t>
            </w:r>
          </w:p>
        </w:tc>
        <w:tc>
          <w:tcPr>
            <w:tcW w:type="dxa" w:w="3168"/>
          </w:tcPr>
          <w:p>
            <w:pPr>
              <w:spacing w:after="0"/>
            </w:pPr>
            <w:r/>
            <w:r>
              <w:rPr>
                <w:b w:val="0"/>
              </w:rPr>
              <w:t>Defines content, employer brand, candidate attraction, LinkedIn/social, insights and campaign workflows.</w:t>
            </w:r>
          </w:p>
        </w:tc>
      </w:tr>
      <w:tr>
        <w:tc>
          <w:tcPr>
            <w:tcW w:type="dxa" w:w="1944"/>
          </w:tcPr>
          <w:p>
            <w:pPr>
              <w:spacing w:after="0"/>
            </w:pPr>
            <w:r/>
            <w:r>
              <w:rPr>
                <w:b w:val="0"/>
              </w:rPr>
              <w:t>HIS-SOP-CX-001</w:t>
            </w:r>
          </w:p>
        </w:tc>
        <w:tc>
          <w:tcPr>
            <w:tcW w:type="dxa" w:w="3672"/>
          </w:tcPr>
          <w:p>
            <w:pPr>
              <w:spacing w:after="0"/>
            </w:pPr>
            <w:r/>
            <w:r>
              <w:rPr>
                <w:b w:val="0"/>
              </w:rPr>
              <w:t>Candidate Experience, Communication SLA &amp; Re-Engagement</w:t>
            </w:r>
          </w:p>
        </w:tc>
        <w:tc>
          <w:tcPr>
            <w:tcW w:type="dxa" w:w="1944"/>
          </w:tcPr>
          <w:p>
            <w:pPr>
              <w:spacing w:after="0"/>
            </w:pPr>
            <w:r/>
            <w:r>
              <w:rPr>
                <w:b w:val="0"/>
              </w:rPr>
              <w:t>Candidate Experience</w:t>
            </w:r>
          </w:p>
        </w:tc>
        <w:tc>
          <w:tcPr>
            <w:tcW w:type="dxa" w:w="3168"/>
          </w:tcPr>
          <w:p>
            <w:pPr>
              <w:spacing w:after="0"/>
            </w:pPr>
            <w:r/>
            <w:r>
              <w:rPr>
                <w:b w:val="0"/>
              </w:rPr>
              <w:t>Sets candidate communication SLA, rejection handling, placement follow-up, re-engagement and NPS/feedback.</w:t>
            </w:r>
          </w:p>
        </w:tc>
      </w:tr>
      <w:tr>
        <w:tc>
          <w:tcPr>
            <w:tcW w:type="dxa" w:w="1944"/>
          </w:tcPr>
          <w:p>
            <w:pPr>
              <w:spacing w:after="0"/>
            </w:pPr>
            <w:r/>
            <w:r>
              <w:rPr>
                <w:b w:val="0"/>
              </w:rPr>
              <w:t>HIS-SOP-PLAT-001</w:t>
            </w:r>
          </w:p>
        </w:tc>
        <w:tc>
          <w:tcPr>
            <w:tcW w:type="dxa" w:w="3672"/>
          </w:tcPr>
          <w:p>
            <w:pPr>
              <w:spacing w:after="0"/>
            </w:pPr>
            <w:r/>
            <w:r>
              <w:rPr>
                <w:b w:val="0"/>
              </w:rPr>
              <w:t>Independent SaaS Platform Usage - KleriQ.ai and ProKred.com</w:t>
            </w:r>
          </w:p>
        </w:tc>
        <w:tc>
          <w:tcPr>
            <w:tcW w:type="dxa" w:w="1944"/>
          </w:tcPr>
          <w:p>
            <w:pPr>
              <w:spacing w:after="0"/>
            </w:pPr>
            <w:r/>
            <w:r>
              <w:rPr>
                <w:b w:val="0"/>
              </w:rPr>
              <w:t>Platform / Partner Tools</w:t>
            </w:r>
          </w:p>
        </w:tc>
        <w:tc>
          <w:tcPr>
            <w:tcW w:type="dxa" w:w="3168"/>
          </w:tcPr>
          <w:p>
            <w:pPr>
              <w:spacing w:after="0"/>
            </w:pPr>
            <w:r/>
            <w:r>
              <w:rPr>
                <w:b w:val="0"/>
              </w:rPr>
              <w:t>Explains that KleriQ and ProKred are separate SaaS platforms used by Hire'in as pilot/design tools, not internal-only systems.</w:t>
            </w:r>
          </w:p>
        </w:tc>
      </w:tr>
      <w:tr>
        <w:tc>
          <w:tcPr>
            <w:tcW w:type="dxa" w:w="1944"/>
          </w:tcPr>
          <w:p>
            <w:pPr>
              <w:spacing w:after="0"/>
            </w:pPr>
            <w:r/>
            <w:r>
              <w:rPr>
                <w:b w:val="0"/>
              </w:rPr>
              <w:t>HIS-SOP-LEGAL-001</w:t>
            </w:r>
          </w:p>
        </w:tc>
        <w:tc>
          <w:tcPr>
            <w:tcW w:type="dxa" w:w="3672"/>
          </w:tcPr>
          <w:p>
            <w:pPr>
              <w:spacing w:after="0"/>
            </w:pPr>
            <w:r/>
            <w:r>
              <w:rPr>
                <w:b w:val="0"/>
              </w:rPr>
              <w:t>Contracts, Data Privacy, EEOC &amp; Immigration Compliance</w:t>
            </w:r>
          </w:p>
        </w:tc>
        <w:tc>
          <w:tcPr>
            <w:tcW w:type="dxa" w:w="1944"/>
          </w:tcPr>
          <w:p>
            <w:pPr>
              <w:spacing w:after="0"/>
            </w:pPr>
            <w:r/>
            <w:r>
              <w:rPr>
                <w:b w:val="0"/>
              </w:rPr>
              <w:t>Legal / Compliance</w:t>
            </w:r>
          </w:p>
        </w:tc>
        <w:tc>
          <w:tcPr>
            <w:tcW w:type="dxa" w:w="3168"/>
          </w:tcPr>
          <w:p>
            <w:pPr>
              <w:spacing w:after="0"/>
            </w:pPr>
            <w:r/>
            <w:r>
              <w:rPr>
                <w:b w:val="0"/>
              </w:rPr>
              <w:t>Covers NDA/contract handling, data privacy, job-related selection criteria, visa/work authorization documentation and escalation.</w:t>
            </w:r>
          </w:p>
        </w:tc>
      </w:tr>
      <w:tr>
        <w:tc>
          <w:tcPr>
            <w:tcW w:type="dxa" w:w="1944"/>
          </w:tcPr>
          <w:p>
            <w:pPr>
              <w:spacing w:after="0"/>
            </w:pPr>
            <w:r/>
            <w:r>
              <w:rPr>
                <w:b w:val="0"/>
              </w:rPr>
              <w:t>HIS-SOP-FIN-001</w:t>
            </w:r>
          </w:p>
        </w:tc>
        <w:tc>
          <w:tcPr>
            <w:tcW w:type="dxa" w:w="3672"/>
          </w:tcPr>
          <w:p>
            <w:pPr>
              <w:spacing w:after="0"/>
            </w:pPr>
            <w:r/>
            <w:r>
              <w:rPr>
                <w:b w:val="0"/>
              </w:rPr>
              <w:t>Invoicing, Contractor Payroll, AR/AP &amp; Margin Governance</w:t>
            </w:r>
          </w:p>
        </w:tc>
        <w:tc>
          <w:tcPr>
            <w:tcW w:type="dxa" w:w="1944"/>
          </w:tcPr>
          <w:p>
            <w:pPr>
              <w:spacing w:after="0"/>
            </w:pPr>
            <w:r/>
            <w:r>
              <w:rPr>
                <w:b w:val="0"/>
              </w:rPr>
              <w:t>Finance / Billing</w:t>
            </w:r>
          </w:p>
        </w:tc>
        <w:tc>
          <w:tcPr>
            <w:tcW w:type="dxa" w:w="3168"/>
          </w:tcPr>
          <w:p>
            <w:pPr>
              <w:spacing w:after="0"/>
            </w:pPr>
            <w:r/>
            <w:r>
              <w:rPr>
                <w:b w:val="0"/>
              </w:rPr>
              <w:t>Controls timesheets, invoicing, billing, payroll, margin integrity, AR/AP and payment follow-up.</w:t>
            </w:r>
          </w:p>
        </w:tc>
      </w:tr>
      <w:tr>
        <w:tc>
          <w:tcPr>
            <w:tcW w:type="dxa" w:w="1944"/>
          </w:tcPr>
          <w:p>
            <w:pPr>
              <w:spacing w:after="0"/>
            </w:pPr>
            <w:r/>
            <w:r>
              <w:rPr>
                <w:b w:val="0"/>
              </w:rPr>
              <w:t>HIS-SOP-OPS-001</w:t>
            </w:r>
          </w:p>
        </w:tc>
        <w:tc>
          <w:tcPr>
            <w:tcW w:type="dxa" w:w="3672"/>
          </w:tcPr>
          <w:p>
            <w:pPr>
              <w:spacing w:after="0"/>
            </w:pPr>
            <w:r/>
            <w:r>
              <w:rPr>
                <w:b w:val="0"/>
              </w:rPr>
              <w:t>Tool Access, Credential Control &amp; Deprovisioning</w:t>
            </w:r>
          </w:p>
        </w:tc>
        <w:tc>
          <w:tcPr>
            <w:tcW w:type="dxa" w:w="1944"/>
          </w:tcPr>
          <w:p>
            <w:pPr>
              <w:spacing w:after="0"/>
            </w:pPr>
            <w:r/>
            <w:r>
              <w:rPr>
                <w:b w:val="0"/>
              </w:rPr>
              <w:t>Operations / Security</w:t>
            </w:r>
          </w:p>
        </w:tc>
        <w:tc>
          <w:tcPr>
            <w:tcW w:type="dxa" w:w="3168"/>
          </w:tcPr>
          <w:p>
            <w:pPr>
              <w:spacing w:after="0"/>
            </w:pPr>
            <w:r/>
            <w:r>
              <w:rPr>
                <w:b w:val="0"/>
              </w:rPr>
              <w:t>Controls approved access requests, least privilege, password resets, exits and access removal.</w:t>
            </w:r>
          </w:p>
        </w:tc>
      </w:tr>
      <w:tr>
        <w:tc>
          <w:tcPr>
            <w:tcW w:type="dxa" w:w="1944"/>
          </w:tcPr>
          <w:p>
            <w:pPr>
              <w:spacing w:after="0"/>
            </w:pPr>
            <w:r/>
            <w:r>
              <w:rPr>
                <w:b w:val="0"/>
              </w:rPr>
              <w:t>HIS-SOP-HR-001</w:t>
            </w:r>
          </w:p>
        </w:tc>
        <w:tc>
          <w:tcPr>
            <w:tcW w:type="dxa" w:w="3672"/>
          </w:tcPr>
          <w:p>
            <w:pPr>
              <w:spacing w:after="0"/>
            </w:pPr>
            <w:r/>
            <w:r>
              <w:rPr>
                <w:b w:val="0"/>
              </w:rPr>
              <w:t>Training, Acknowledgment, Goals &amp; Performance Linkage</w:t>
            </w:r>
          </w:p>
        </w:tc>
        <w:tc>
          <w:tcPr>
            <w:tcW w:type="dxa" w:w="1944"/>
          </w:tcPr>
          <w:p>
            <w:pPr>
              <w:spacing w:after="0"/>
            </w:pPr>
            <w:r/>
            <w:r>
              <w:rPr>
                <w:b w:val="0"/>
              </w:rPr>
              <w:t>HR / People Operations</w:t>
            </w:r>
          </w:p>
        </w:tc>
        <w:tc>
          <w:tcPr>
            <w:tcW w:type="dxa" w:w="3168"/>
          </w:tcPr>
          <w:p>
            <w:pPr>
              <w:spacing w:after="0"/>
            </w:pPr>
            <w:r/>
            <w:r>
              <w:rPr>
                <w:b w:val="0"/>
              </w:rPr>
              <w:t>Maps SOPs to training, acknowledgments, role goals, coaching and PIP linkage.</w:t>
            </w:r>
          </w:p>
        </w:tc>
      </w:tr>
      <w:tr>
        <w:tc>
          <w:tcPr>
            <w:tcW w:type="dxa" w:w="1944"/>
          </w:tcPr>
          <w:p>
            <w:pPr>
              <w:spacing w:after="0"/>
            </w:pPr>
            <w:r/>
            <w:r>
              <w:rPr>
                <w:b w:val="0"/>
              </w:rPr>
              <w:t>HIS-SOP-AUDIT-001</w:t>
            </w:r>
          </w:p>
        </w:tc>
        <w:tc>
          <w:tcPr>
            <w:tcW w:type="dxa" w:w="3672"/>
          </w:tcPr>
          <w:p>
            <w:pPr>
              <w:spacing w:after="0"/>
            </w:pPr>
            <w:r/>
            <w:r>
              <w:rPr>
                <w:b w:val="0"/>
              </w:rPr>
              <w:t>KPI Dashboard, Weekly Audit &amp; Monthly Business Review</w:t>
            </w:r>
          </w:p>
        </w:tc>
        <w:tc>
          <w:tcPr>
            <w:tcW w:type="dxa" w:w="1944"/>
          </w:tcPr>
          <w:p>
            <w:pPr>
              <w:spacing w:after="0"/>
            </w:pPr>
            <w:r/>
            <w:r>
              <w:rPr>
                <w:b w:val="0"/>
              </w:rPr>
              <w:t>Management / Audit</w:t>
            </w:r>
          </w:p>
        </w:tc>
        <w:tc>
          <w:tcPr>
            <w:tcW w:type="dxa" w:w="3168"/>
          </w:tcPr>
          <w:p>
            <w:pPr>
              <w:spacing w:after="0"/>
            </w:pPr>
            <w:r/>
            <w:r>
              <w:rPr>
                <w:b w:val="0"/>
              </w:rPr>
              <w:t>Defines weekly audits, KPI cadence, MBR structure and corrective-action tracking.</w:t>
            </w:r>
          </w:p>
        </w:tc>
      </w:tr>
      <w:tr>
        <w:tc>
          <w:tcPr>
            <w:tcW w:type="dxa" w:w="1944"/>
          </w:tcPr>
          <w:p>
            <w:pPr>
              <w:spacing w:after="0"/>
            </w:pPr>
            <w:r/>
            <w:r>
              <w:rPr>
                <w:b w:val="0"/>
              </w:rPr>
              <w:t>HIS-TRAIN-001</w:t>
            </w:r>
          </w:p>
        </w:tc>
        <w:tc>
          <w:tcPr>
            <w:tcW w:type="dxa" w:w="3672"/>
          </w:tcPr>
          <w:p>
            <w:pPr>
              <w:spacing w:after="0"/>
            </w:pPr>
            <w:r/>
            <w:r>
              <w:rPr>
                <w:b w:val="0"/>
              </w:rPr>
              <w:t>Role-Based Training Curriculum &amp; Certification Plan</w:t>
            </w:r>
          </w:p>
        </w:tc>
        <w:tc>
          <w:tcPr>
            <w:tcW w:type="dxa" w:w="1944"/>
          </w:tcPr>
          <w:p>
            <w:pPr>
              <w:spacing w:after="0"/>
            </w:pPr>
            <w:r/>
            <w:r>
              <w:rPr>
                <w:b w:val="0"/>
              </w:rPr>
              <w:t>Training</w:t>
            </w:r>
          </w:p>
        </w:tc>
        <w:tc>
          <w:tcPr>
            <w:tcW w:type="dxa" w:w="3168"/>
          </w:tcPr>
          <w:p>
            <w:pPr>
              <w:spacing w:after="0"/>
            </w:pPr>
            <w:r/>
            <w:r>
              <w:rPr>
                <w:b w:val="0"/>
              </w:rPr>
              <w:t>Defines role-based training tracks, quizzes, work samples and certification.</w:t>
            </w:r>
          </w:p>
        </w:tc>
      </w:tr>
      <w:tr>
        <w:tc>
          <w:tcPr>
            <w:tcW w:type="dxa" w:w="1944"/>
          </w:tcPr>
          <w:p>
            <w:pPr>
              <w:spacing w:after="0"/>
            </w:pPr>
            <w:r/>
            <w:r>
              <w:rPr>
                <w:b w:val="0"/>
              </w:rPr>
              <w:t>HIS-TPL-001</w:t>
            </w:r>
          </w:p>
        </w:tc>
        <w:tc>
          <w:tcPr>
            <w:tcW w:type="dxa" w:w="3672"/>
          </w:tcPr>
          <w:p>
            <w:pPr>
              <w:spacing w:after="0"/>
            </w:pPr>
            <w:r/>
            <w:r>
              <w:rPr>
                <w:b w:val="0"/>
              </w:rPr>
              <w:t>Manager Acknowledgment, Audit Checklists &amp; Field Templates</w:t>
            </w:r>
          </w:p>
        </w:tc>
        <w:tc>
          <w:tcPr>
            <w:tcW w:type="dxa" w:w="1944"/>
          </w:tcPr>
          <w:p>
            <w:pPr>
              <w:spacing w:after="0"/>
            </w:pPr>
            <w:r/>
            <w:r>
              <w:rPr>
                <w:b w:val="0"/>
              </w:rPr>
              <w:t>Templates</w:t>
            </w:r>
          </w:p>
        </w:tc>
        <w:tc>
          <w:tcPr>
            <w:tcW w:type="dxa" w:w="3168"/>
          </w:tcPr>
          <w:p>
            <w:pPr>
              <w:spacing w:after="0"/>
            </w:pPr>
            <w:r/>
            <w:r>
              <w:rPr>
                <w:b w:val="0"/>
              </w:rPr>
              <w:t>Provides manager templates, checklists and field tools to execute SOPs consistently.</w:t>
            </w:r>
          </w:p>
        </w:tc>
      </w:tr>
    </w:tbl>
    <w:p/>
    <w:p>
      <w:pPr>
        <w:pStyle w:val="Heading1"/>
      </w:pPr>
      <w:r>
        <w:t>5. Why the Missing SOPs Matter</w:t>
      </w:r>
    </w:p>
    <w:tbl>
      <w:tblPr>
        <w:tblStyle w:val="TableGrid"/>
        <w:tblW w:type="auto" w:w="0"/>
        <w:jc w:val="center"/>
        <w:tblLook w:firstColumn="1" w:firstRow="1" w:lastColumn="0" w:lastRow="0" w:noHBand="0" w:noVBand="1" w:val="04A0"/>
      </w:tblPr>
      <w:tblGrid>
        <w:gridCol w:w="3504"/>
        <w:gridCol w:w="3504"/>
        <w:gridCol w:w="3504"/>
      </w:tblGrid>
      <w:tr>
        <w:tc>
          <w:tcPr>
            <w:tcW w:type="dxa" w:w="2232"/>
            <w:vAlign w:val="top"/>
            <w:shd w:fill="1F4E79"/>
          </w:tcPr>
          <w:p>
            <w:pPr>
              <w:spacing w:after="0"/>
            </w:pPr>
            <w:r/>
            <w:r>
              <w:rPr>
                <w:b/>
                <w:color w:val="FFFFFF"/>
              </w:rPr>
              <w:t>Missing Domain</w:t>
            </w:r>
          </w:p>
        </w:tc>
        <w:tc>
          <w:tcPr>
            <w:tcW w:type="dxa" w:w="3816"/>
            <w:vAlign w:val="top"/>
            <w:shd w:fill="1F4E79"/>
          </w:tcPr>
          <w:p>
            <w:pPr>
              <w:spacing w:after="0"/>
            </w:pPr>
            <w:r/>
            <w:r>
              <w:rPr>
                <w:b/>
                <w:color w:val="FFFFFF"/>
              </w:rPr>
              <w:t>Why It Matters</w:t>
            </w:r>
          </w:p>
        </w:tc>
        <w:tc>
          <w:tcPr>
            <w:tcW w:type="dxa" w:w="4320"/>
            <w:vAlign w:val="top"/>
            <w:shd w:fill="1F4E79"/>
          </w:tcPr>
          <w:p>
            <w:pPr>
              <w:spacing w:after="0"/>
            </w:pPr>
            <w:r/>
            <w:r>
              <w:rPr>
                <w:b/>
                <w:color w:val="FFFFFF"/>
              </w:rPr>
              <w:t>Business Value</w:t>
            </w:r>
          </w:p>
        </w:tc>
      </w:tr>
      <w:tr>
        <w:tc>
          <w:tcPr>
            <w:tcW w:type="dxa" w:w="2232"/>
          </w:tcPr>
          <w:p>
            <w:pPr>
              <w:spacing w:after="0"/>
            </w:pPr>
            <w:r/>
            <w:r>
              <w:rPr>
                <w:b w:val="0"/>
              </w:rPr>
              <w:t>Marketing</w:t>
            </w:r>
          </w:p>
        </w:tc>
        <w:tc>
          <w:tcPr>
            <w:tcW w:type="dxa" w:w="3816"/>
          </w:tcPr>
          <w:p>
            <w:pPr>
              <w:spacing w:after="0"/>
            </w:pPr>
            <w:r/>
            <w:r>
              <w:rPr>
                <w:b w:val="0"/>
              </w:rPr>
              <w:t>Top staffing firms use marketing to create candidate trust, client credibility and recruiter enablement.</w:t>
            </w:r>
          </w:p>
        </w:tc>
        <w:tc>
          <w:tcPr>
            <w:tcW w:type="dxa" w:w="4320"/>
          </w:tcPr>
          <w:p>
            <w:pPr>
              <w:spacing w:after="0"/>
            </w:pPr>
            <w:r/>
            <w:r>
              <w:rPr>
                <w:b w:val="0"/>
              </w:rPr>
              <w:t>Improves lead generation, content authority, candidate attraction and brand consistency.</w:t>
            </w:r>
          </w:p>
        </w:tc>
      </w:tr>
      <w:tr>
        <w:tc>
          <w:tcPr>
            <w:tcW w:type="dxa" w:w="2232"/>
          </w:tcPr>
          <w:p>
            <w:pPr>
              <w:spacing w:after="0"/>
            </w:pPr>
            <w:r/>
            <w:r>
              <w:rPr>
                <w:b w:val="0"/>
              </w:rPr>
              <w:t>Engineering &amp; Professional Services</w:t>
            </w:r>
          </w:p>
        </w:tc>
        <w:tc>
          <w:tcPr>
            <w:tcW w:type="dxa" w:w="3816"/>
          </w:tcPr>
          <w:p>
            <w:pPr>
              <w:spacing w:after="0"/>
            </w:pPr>
            <w:r/>
            <w:r>
              <w:rPr>
                <w:b w:val="0"/>
              </w:rPr>
              <w:t>Hire'in positioning includes more than Healthcare and IT. Delivery standards must exist for each served vertical.</w:t>
            </w:r>
          </w:p>
        </w:tc>
        <w:tc>
          <w:tcPr>
            <w:tcW w:type="dxa" w:w="4320"/>
          </w:tcPr>
          <w:p>
            <w:pPr>
              <w:spacing w:after="0"/>
            </w:pPr>
            <w:r/>
            <w:r>
              <w:rPr>
                <w:b w:val="0"/>
              </w:rPr>
              <w:t>Prevents recruiters from using healthcare/IT logic for unrelated professional roles.</w:t>
            </w:r>
          </w:p>
        </w:tc>
      </w:tr>
      <w:tr>
        <w:tc>
          <w:tcPr>
            <w:tcW w:type="dxa" w:w="2232"/>
          </w:tcPr>
          <w:p>
            <w:pPr>
              <w:spacing w:after="0"/>
            </w:pPr>
            <w:r/>
            <w:r>
              <w:rPr>
                <w:b w:val="0"/>
              </w:rPr>
              <w:t>Legal &amp; Compliance</w:t>
            </w:r>
          </w:p>
        </w:tc>
        <w:tc>
          <w:tcPr>
            <w:tcW w:type="dxa" w:w="3816"/>
          </w:tcPr>
          <w:p>
            <w:pPr>
              <w:spacing w:after="0"/>
            </w:pPr>
            <w:r/>
            <w:r>
              <w:rPr>
                <w:b w:val="0"/>
              </w:rPr>
              <w:t>Staffing touches data privacy, contracts, candidate consent, selection criteria, work authorization and confidentiality.</w:t>
            </w:r>
          </w:p>
        </w:tc>
        <w:tc>
          <w:tcPr>
            <w:tcW w:type="dxa" w:w="4320"/>
          </w:tcPr>
          <w:p>
            <w:pPr>
              <w:spacing w:after="0"/>
            </w:pPr>
            <w:r/>
            <w:r>
              <w:rPr>
                <w:b w:val="0"/>
              </w:rPr>
              <w:t>Reduces risk and improves client confidence.</w:t>
            </w:r>
          </w:p>
        </w:tc>
      </w:tr>
      <w:tr>
        <w:tc>
          <w:tcPr>
            <w:tcW w:type="dxa" w:w="2232"/>
          </w:tcPr>
          <w:p>
            <w:pPr>
              <w:spacing w:after="0"/>
            </w:pPr>
            <w:r/>
            <w:r>
              <w:rPr>
                <w:b w:val="0"/>
              </w:rPr>
              <w:t>Finance &amp; Billing</w:t>
            </w:r>
          </w:p>
        </w:tc>
        <w:tc>
          <w:tcPr>
            <w:tcW w:type="dxa" w:w="3816"/>
          </w:tcPr>
          <w:p>
            <w:pPr>
              <w:spacing w:after="0"/>
            </w:pPr>
            <w:r/>
            <w:r>
              <w:rPr>
                <w:b w:val="0"/>
              </w:rPr>
              <w:t>Timesheets, invoicing, payroll, AR/AP and margin controls directly affect cash flow and trust.</w:t>
            </w:r>
          </w:p>
        </w:tc>
        <w:tc>
          <w:tcPr>
            <w:tcW w:type="dxa" w:w="4320"/>
          </w:tcPr>
          <w:p>
            <w:pPr>
              <w:spacing w:after="0"/>
            </w:pPr>
            <w:r/>
            <w:r>
              <w:rPr>
                <w:b w:val="0"/>
              </w:rPr>
              <w:t>Protects margin, reduces billing disputes and improves collections.</w:t>
            </w:r>
          </w:p>
        </w:tc>
      </w:tr>
      <w:tr>
        <w:tc>
          <w:tcPr>
            <w:tcW w:type="dxa" w:w="2232"/>
          </w:tcPr>
          <w:p>
            <w:pPr>
              <w:spacing w:after="0"/>
            </w:pPr>
            <w:r/>
            <w:r>
              <w:rPr>
                <w:b w:val="0"/>
              </w:rPr>
              <w:t>Business Development</w:t>
            </w:r>
          </w:p>
        </w:tc>
        <w:tc>
          <w:tcPr>
            <w:tcW w:type="dxa" w:w="3816"/>
          </w:tcPr>
          <w:p>
            <w:pPr>
              <w:spacing w:after="0"/>
            </w:pPr>
            <w:r/>
            <w:r>
              <w:rPr>
                <w:b w:val="0"/>
              </w:rPr>
              <w:t>Existing client/MSP management is different from new client acquisition.</w:t>
            </w:r>
          </w:p>
        </w:tc>
        <w:tc>
          <w:tcPr>
            <w:tcW w:type="dxa" w:w="4320"/>
          </w:tcPr>
          <w:p>
            <w:pPr>
              <w:spacing w:after="0"/>
            </w:pPr>
            <w:r/>
            <w:r>
              <w:rPr>
                <w:b w:val="0"/>
              </w:rPr>
              <w:t>Improves new client acquisition, proposals, RFPs and smooth client onboarding.</w:t>
            </w:r>
          </w:p>
        </w:tc>
      </w:tr>
      <w:tr>
        <w:tc>
          <w:tcPr>
            <w:tcW w:type="dxa" w:w="2232"/>
          </w:tcPr>
          <w:p>
            <w:pPr>
              <w:spacing w:after="0"/>
            </w:pPr>
            <w:r/>
            <w:r>
              <w:rPr>
                <w:b w:val="0"/>
              </w:rPr>
              <w:t>Candidate Experience</w:t>
            </w:r>
          </w:p>
        </w:tc>
        <w:tc>
          <w:tcPr>
            <w:tcW w:type="dxa" w:w="3816"/>
          </w:tcPr>
          <w:p>
            <w:pPr>
              <w:spacing w:after="0"/>
            </w:pPr>
            <w:r/>
            <w:r>
              <w:rPr>
                <w:b w:val="0"/>
              </w:rPr>
              <w:t>Candidate communication is a brand asset and a conversion driver.</w:t>
            </w:r>
          </w:p>
        </w:tc>
        <w:tc>
          <w:tcPr>
            <w:tcW w:type="dxa" w:w="4320"/>
          </w:tcPr>
          <w:p>
            <w:pPr>
              <w:spacing w:after="0"/>
            </w:pPr>
            <w:r/>
            <w:r>
              <w:rPr>
                <w:b w:val="0"/>
              </w:rPr>
              <w:t>Improves show-up, interview readiness, redeployment and referral quality.</w:t>
            </w:r>
          </w:p>
        </w:tc>
      </w:tr>
      <w:tr>
        <w:tc>
          <w:tcPr>
            <w:tcW w:type="dxa" w:w="2232"/>
          </w:tcPr>
          <w:p>
            <w:pPr>
              <w:spacing w:after="0"/>
            </w:pPr>
            <w:r/>
            <w:r>
              <w:rPr>
                <w:b w:val="0"/>
              </w:rPr>
              <w:t>Requirement Synthesis</w:t>
            </w:r>
          </w:p>
        </w:tc>
        <w:tc>
          <w:tcPr>
            <w:tcW w:type="dxa" w:w="3816"/>
          </w:tcPr>
          <w:p>
            <w:pPr>
              <w:spacing w:after="0"/>
            </w:pPr>
            <w:r/>
            <w:r>
              <w:rPr>
                <w:b w:val="0"/>
              </w:rPr>
              <w:t>Poor requirement understanding is one of the biggest causes of wasted sourcing.</w:t>
            </w:r>
          </w:p>
        </w:tc>
        <w:tc>
          <w:tcPr>
            <w:tcW w:type="dxa" w:w="4320"/>
          </w:tcPr>
          <w:p>
            <w:pPr>
              <w:spacing w:after="0"/>
            </w:pPr>
            <w:r/>
            <w:r>
              <w:rPr>
                <w:b w:val="0"/>
              </w:rPr>
              <w:t>Aligns hiring intent, recruiter execution and candidate pitch.</w:t>
            </w:r>
          </w:p>
        </w:tc>
      </w:tr>
      <w:tr>
        <w:tc>
          <w:tcPr>
            <w:tcW w:type="dxa" w:w="2232"/>
          </w:tcPr>
          <w:p>
            <w:pPr>
              <w:spacing w:after="0"/>
            </w:pPr>
            <w:r/>
            <w:r>
              <w:rPr>
                <w:b w:val="0"/>
              </w:rPr>
              <w:t>Platform Usage</w:t>
            </w:r>
          </w:p>
        </w:tc>
        <w:tc>
          <w:tcPr>
            <w:tcW w:type="dxa" w:w="3816"/>
          </w:tcPr>
          <w:p>
            <w:pPr>
              <w:spacing w:after="0"/>
            </w:pPr>
            <w:r/>
            <w:r>
              <w:rPr>
                <w:b w:val="0"/>
              </w:rPr>
              <w:t>KleriQ and ProKred are separate SaaS platforms. Employees need correct positioning and boundaries.</w:t>
            </w:r>
          </w:p>
        </w:tc>
        <w:tc>
          <w:tcPr>
            <w:tcW w:type="dxa" w:w="4320"/>
          </w:tcPr>
          <w:p>
            <w:pPr>
              <w:spacing w:after="0"/>
            </w:pPr>
            <w:r/>
            <w:r>
              <w:rPr>
                <w:b w:val="0"/>
              </w:rPr>
              <w:t>Prevents confusion, improves adoption and protects commercial positioning.</w:t>
            </w:r>
          </w:p>
        </w:tc>
      </w:tr>
    </w:tbl>
    <w:p/>
    <w:p>
      <w:pPr>
        <w:pStyle w:val="Heading1"/>
      </w:pPr>
      <w:r>
        <w:t>6. KleriQ.ai and ProKred.com Usage Standard</w:t>
      </w:r>
    </w:p>
    <w:p>
      <w:r>
        <w:t>KleriQ.ai and ProKred.com should be explained to the team as independent third-party SaaS platforms built within the same founder ecosystem and used by Hire'in as pilot/design-partner tools. They are not internal-only tools and should be positioned carefully.</w:t>
      </w:r>
    </w:p>
    <w:tbl>
      <w:tblPr>
        <w:tblStyle w:val="TableGrid"/>
        <w:tblW w:type="auto" w:w="0"/>
        <w:jc w:val="center"/>
        <w:tblLook w:firstColumn="1" w:firstRow="1" w:lastColumn="0" w:lastRow="0" w:noHBand="0" w:noVBand="1" w:val="04A0"/>
      </w:tblPr>
      <w:tblGrid>
        <w:gridCol w:w="3504"/>
        <w:gridCol w:w="3504"/>
        <w:gridCol w:w="3504"/>
      </w:tblGrid>
      <w:tr>
        <w:tc>
          <w:tcPr>
            <w:tcW w:type="dxa" w:w="2160"/>
            <w:vAlign w:val="top"/>
            <w:shd w:fill="1F4E79"/>
          </w:tcPr>
          <w:p>
            <w:pPr>
              <w:spacing w:after="0"/>
            </w:pPr>
            <w:r/>
            <w:r>
              <w:rPr>
                <w:b/>
                <w:color w:val="FFFFFF"/>
              </w:rPr>
              <w:t>Platform</w:t>
            </w:r>
          </w:p>
        </w:tc>
        <w:tc>
          <w:tcPr>
            <w:tcW w:type="dxa" w:w="4320"/>
            <w:vAlign w:val="top"/>
            <w:shd w:fill="1F4E79"/>
          </w:tcPr>
          <w:p>
            <w:pPr>
              <w:spacing w:after="0"/>
            </w:pPr>
            <w:r/>
            <w:r>
              <w:rPr>
                <w:b/>
                <w:color w:val="FFFFFF"/>
              </w:rPr>
              <w:t>Role in Hire'in Execution</w:t>
            </w:r>
          </w:p>
        </w:tc>
        <w:tc>
          <w:tcPr>
            <w:tcW w:type="dxa" w:w="4032"/>
            <w:vAlign w:val="top"/>
            <w:shd w:fill="1F4E79"/>
          </w:tcPr>
          <w:p>
            <w:pPr>
              <w:spacing w:after="0"/>
            </w:pPr>
            <w:r/>
            <w:r>
              <w:rPr>
                <w:b/>
                <w:color w:val="FFFFFF"/>
              </w:rPr>
              <w:t>Employee Message</w:t>
            </w:r>
          </w:p>
        </w:tc>
      </w:tr>
      <w:tr>
        <w:tc>
          <w:tcPr>
            <w:tcW w:type="dxa" w:w="2160"/>
          </w:tcPr>
          <w:p>
            <w:pPr>
              <w:spacing w:after="0"/>
            </w:pPr>
            <w:r/>
            <w:r>
              <w:rPr>
                <w:b w:val="0"/>
              </w:rPr>
              <w:t>KleriQ.ai</w:t>
            </w:r>
          </w:p>
        </w:tc>
        <w:tc>
          <w:tcPr>
            <w:tcW w:type="dxa" w:w="4320"/>
          </w:tcPr>
          <w:p>
            <w:pPr>
              <w:spacing w:after="0"/>
            </w:pPr>
            <w:r/>
            <w:r>
              <w:rPr>
                <w:b w:val="0"/>
              </w:rPr>
              <w:t>Requirement clarity and communication standardization. Helps convert job descriptions, client notes, VMS details and hiring manager expectations into a unified execution brief.</w:t>
            </w:r>
          </w:p>
        </w:tc>
        <w:tc>
          <w:tcPr>
            <w:tcW w:type="dxa" w:w="4032"/>
          </w:tcPr>
          <w:p>
            <w:pPr>
              <w:spacing w:after="0"/>
            </w:pPr>
            <w:r/>
            <w:r>
              <w:rPr>
                <w:b w:val="0"/>
              </w:rPr>
              <w:t>Use KleriQ to understand the role better, not to replace recruiter judgment.</w:t>
            </w:r>
          </w:p>
        </w:tc>
      </w:tr>
      <w:tr>
        <w:tc>
          <w:tcPr>
            <w:tcW w:type="dxa" w:w="2160"/>
          </w:tcPr>
          <w:p>
            <w:pPr>
              <w:spacing w:after="0"/>
            </w:pPr>
            <w:r/>
            <w:r>
              <w:rPr>
                <w:b w:val="0"/>
              </w:rPr>
              <w:t>ProKred.com</w:t>
            </w:r>
          </w:p>
        </w:tc>
        <w:tc>
          <w:tcPr>
            <w:tcW w:type="dxa" w:w="4320"/>
          </w:tcPr>
          <w:p>
            <w:pPr>
              <w:spacing w:after="0"/>
            </w:pPr>
            <w:r/>
            <w:r>
              <w:rPr>
                <w:b w:val="0"/>
              </w:rPr>
              <w:t>Secure candidate-side credential/document profile and submission packet workflow. Helps candidates collect, manage, share and track documentation with visibility.</w:t>
            </w:r>
          </w:p>
        </w:tc>
        <w:tc>
          <w:tcPr>
            <w:tcW w:type="dxa" w:w="4032"/>
          </w:tcPr>
          <w:p>
            <w:pPr>
              <w:spacing w:after="0"/>
            </w:pPr>
            <w:r/>
            <w:r>
              <w:rPr>
                <w:b w:val="0"/>
              </w:rPr>
              <w:t>Explain ProKred as a secure candidate-friendly SaaS platform, not as a forced internal Hire'in form.</w:t>
            </w:r>
          </w:p>
        </w:tc>
      </w:tr>
    </w:tbl>
    <w:p/>
    <w:tbl>
      <w:tblPr>
        <w:tblStyle w:val="TableGrid"/>
        <w:tblW w:type="auto" w:w="0"/>
        <w:jc w:val="center"/>
        <w:tblLook w:firstColumn="1" w:firstRow="1" w:lastColumn="0" w:lastRow="0" w:noHBand="0" w:noVBand="1" w:val="04A0"/>
      </w:tblPr>
      <w:tblGrid>
        <w:gridCol w:w="10512"/>
      </w:tblGrid>
      <w:tr>
        <w:tc>
          <w:tcPr>
            <w:tcW w:type="dxa" w:w="10512"/>
            <w:vAlign w:val="top"/>
            <w:shd w:fill="FFF2CC"/>
          </w:tcPr>
          <w:p>
            <w:r/>
            <w:r>
              <w:rPr>
                <w:b/>
                <w:sz w:val="20"/>
              </w:rPr>
              <w:t>Important Candidate-Side Message for ProKred</w:t>
            </w:r>
          </w:p>
          <w:p>
            <w:r>
              <w:rPr>
                <w:sz w:val="18"/>
              </w:rPr>
              <w:t>ProKred has a candidate-side value proposition. Candidates can use it to maintain a reusable profile, track document readiness, manage credentials, and reduce repeated document sharing. Recruiters may introduce it as a secure, candidate-friendly platform that supports faster and more organized submissions. Recruiters must not claim that ProKred is mandatory unless the specific workflow or client/program requires it and this has been approved by management.</w:t>
            </w:r>
          </w:p>
        </w:tc>
      </w:tr>
    </w:tbl>
    <w:p/>
    <w:tbl>
      <w:tblPr>
        <w:tblStyle w:val="TableGrid"/>
        <w:tblW w:type="auto" w:w="0"/>
        <w:jc w:val="center"/>
        <w:tblLook w:firstColumn="1" w:firstRow="1" w:lastColumn="0" w:lastRow="0" w:noHBand="0" w:noVBand="1" w:val="04A0"/>
      </w:tblPr>
      <w:tblGrid>
        <w:gridCol w:w="5256"/>
        <w:gridCol w:w="5256"/>
      </w:tblGrid>
      <w:tr>
        <w:tc>
          <w:tcPr>
            <w:tcW w:type="dxa" w:w="5256"/>
            <w:vAlign w:val="top"/>
            <w:shd w:fill="1F4E79"/>
          </w:tcPr>
          <w:p>
            <w:pPr>
              <w:spacing w:after="0"/>
            </w:pPr>
            <w:r/>
            <w:r>
              <w:rPr>
                <w:b/>
                <w:color w:val="FFFFFF"/>
              </w:rPr>
              <w:t>Do</w:t>
            </w:r>
          </w:p>
        </w:tc>
        <w:tc>
          <w:tcPr>
            <w:tcW w:type="dxa" w:w="5256"/>
            <w:vAlign w:val="top"/>
            <w:shd w:fill="1F4E79"/>
          </w:tcPr>
          <w:p>
            <w:pPr>
              <w:spacing w:after="0"/>
            </w:pPr>
            <w:r/>
            <w:r>
              <w:rPr>
                <w:b/>
                <w:color w:val="FFFFFF"/>
              </w:rPr>
              <w:t>Do Not</w:t>
            </w:r>
          </w:p>
        </w:tc>
      </w:tr>
      <w:tr>
        <w:tc>
          <w:tcPr>
            <w:tcW w:type="dxa" w:w="5256"/>
          </w:tcPr>
          <w:p>
            <w:pPr>
              <w:spacing w:after="0"/>
            </w:pPr>
            <w:r/>
            <w:r>
              <w:rPr>
                <w:b w:val="0"/>
              </w:rPr>
              <w:t>Say: ProKred helps you securely organize and share your credential documents for submission readiness.</w:t>
            </w:r>
          </w:p>
        </w:tc>
        <w:tc>
          <w:tcPr>
            <w:tcW w:type="dxa" w:w="5256"/>
          </w:tcPr>
          <w:p>
            <w:pPr>
              <w:spacing w:after="0"/>
            </w:pPr>
            <w:r/>
            <w:r>
              <w:rPr>
                <w:b w:val="0"/>
              </w:rPr>
              <w:t>Do not say: This is only Hire'in's internal tool.</w:t>
            </w:r>
          </w:p>
        </w:tc>
      </w:tr>
      <w:tr>
        <w:tc>
          <w:tcPr>
            <w:tcW w:type="dxa" w:w="5256"/>
          </w:tcPr>
          <w:p>
            <w:pPr>
              <w:spacing w:after="0"/>
            </w:pPr>
            <w:r/>
            <w:r>
              <w:rPr>
                <w:b w:val="0"/>
              </w:rPr>
              <w:t>Say: You can use ProKred to make future submissions easier and more visible.</w:t>
            </w:r>
          </w:p>
        </w:tc>
        <w:tc>
          <w:tcPr>
            <w:tcW w:type="dxa" w:w="5256"/>
          </w:tcPr>
          <w:p>
            <w:pPr>
              <w:spacing w:after="0"/>
            </w:pPr>
            <w:r/>
            <w:r>
              <w:rPr>
                <w:b w:val="0"/>
              </w:rPr>
              <w:t>Do not force candidates to upload documents without clear consent.</w:t>
            </w:r>
          </w:p>
        </w:tc>
      </w:tr>
      <w:tr>
        <w:tc>
          <w:tcPr>
            <w:tcW w:type="dxa" w:w="5256"/>
          </w:tcPr>
          <w:p>
            <w:pPr>
              <w:spacing w:after="0"/>
            </w:pPr>
            <w:r/>
            <w:r>
              <w:rPr>
                <w:b w:val="0"/>
              </w:rPr>
              <w:t>Say: KleriQ helps our delivery team clarify requirements and reduce mismatch.</w:t>
            </w:r>
          </w:p>
        </w:tc>
        <w:tc>
          <w:tcPr>
            <w:tcW w:type="dxa" w:w="5256"/>
          </w:tcPr>
          <w:p>
            <w:pPr>
              <w:spacing w:after="0"/>
            </w:pPr>
            <w:r/>
            <w:r>
              <w:rPr>
                <w:b w:val="0"/>
              </w:rPr>
              <w:t>Do not tell clients/candidates AI makes final decisions.</w:t>
            </w:r>
          </w:p>
        </w:tc>
      </w:tr>
      <w:tr>
        <w:tc>
          <w:tcPr>
            <w:tcW w:type="dxa" w:w="5256"/>
          </w:tcPr>
          <w:p>
            <w:pPr>
              <w:spacing w:after="0"/>
            </w:pPr>
            <w:r/>
            <w:r>
              <w:rPr>
                <w:b w:val="0"/>
              </w:rPr>
              <w:t>Keep ProKred and KleriQ branding separate from Hire'in branding when explaining SaaS value.</w:t>
            </w:r>
          </w:p>
        </w:tc>
        <w:tc>
          <w:tcPr>
            <w:tcW w:type="dxa" w:w="5256"/>
          </w:tcPr>
          <w:p>
            <w:pPr>
              <w:spacing w:after="0"/>
            </w:pPr>
            <w:r/>
            <w:r>
              <w:rPr>
                <w:b w:val="0"/>
              </w:rPr>
              <w:t>Do not represent Hire'in as owning candidate data inside third-party SaaS without proper terms.</w:t>
            </w:r>
          </w:p>
        </w:tc>
      </w:tr>
      <w:tr>
        <w:tc>
          <w:tcPr>
            <w:tcW w:type="dxa" w:w="5256"/>
          </w:tcPr>
          <w:p>
            <w:pPr>
              <w:spacing w:after="0"/>
            </w:pPr>
            <w:r/>
            <w:r>
              <w:rPr>
                <w:b w:val="0"/>
              </w:rPr>
              <w:t>Use approved scripts and FAQs only.</w:t>
            </w:r>
          </w:p>
        </w:tc>
        <w:tc>
          <w:tcPr>
            <w:tcW w:type="dxa" w:w="5256"/>
          </w:tcPr>
          <w:p>
            <w:pPr>
              <w:spacing w:after="0"/>
            </w:pPr>
            <w:r/>
            <w:r>
              <w:rPr>
                <w:b w:val="0"/>
              </w:rPr>
              <w:t>Do not improvise privacy, legal or security claims.</w:t>
            </w:r>
          </w:p>
        </w:tc>
      </w:tr>
    </w:tbl>
    <w:p/>
    <w:p>
      <w:pPr>
        <w:pStyle w:val="Heading1"/>
      </w:pPr>
      <w:r>
        <w:t>7. Successive Rollout Plan - Avoid Overwhelming the Team</w:t>
      </w:r>
    </w:p>
    <w:p>
      <w:r>
        <w:t>The team should not receive all SOPs in one meeting. Each wave should answer three questions: why it matters, what changes tomorrow, and how success will be measured.</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728"/>
            <w:vAlign w:val="top"/>
            <w:shd w:fill="1F4E79"/>
          </w:tcPr>
          <w:p>
            <w:pPr>
              <w:spacing w:after="0"/>
            </w:pPr>
            <w:r/>
            <w:r>
              <w:rPr>
                <w:b/>
                <w:color w:val="FFFFFF"/>
              </w:rPr>
              <w:t>Wave</w:t>
            </w:r>
          </w:p>
        </w:tc>
        <w:tc>
          <w:tcPr>
            <w:tcW w:type="dxa" w:w="1008"/>
            <w:vAlign w:val="top"/>
            <w:shd w:fill="1F4E79"/>
          </w:tcPr>
          <w:p>
            <w:pPr>
              <w:spacing w:after="0"/>
            </w:pPr>
            <w:r/>
            <w:r>
              <w:rPr>
                <w:b/>
                <w:color w:val="FFFFFF"/>
              </w:rPr>
              <w:t>Timing</w:t>
            </w:r>
          </w:p>
        </w:tc>
        <w:tc>
          <w:tcPr>
            <w:tcW w:type="dxa" w:w="1656"/>
            <w:vAlign w:val="top"/>
            <w:shd w:fill="1F4E79"/>
          </w:tcPr>
          <w:p>
            <w:pPr>
              <w:spacing w:after="0"/>
            </w:pPr>
            <w:r/>
            <w:r>
              <w:rPr>
                <w:b/>
                <w:color w:val="FFFFFF"/>
              </w:rPr>
              <w:t>Audience</w:t>
            </w:r>
          </w:p>
        </w:tc>
        <w:tc>
          <w:tcPr>
            <w:tcW w:type="dxa" w:w="2160"/>
            <w:vAlign w:val="top"/>
            <w:shd w:fill="1F4E79"/>
          </w:tcPr>
          <w:p>
            <w:pPr>
              <w:spacing w:after="0"/>
            </w:pPr>
            <w:r/>
            <w:r>
              <w:rPr>
                <w:b/>
                <w:color w:val="FFFFFF"/>
              </w:rPr>
              <w:t>SOPs</w:t>
            </w:r>
          </w:p>
        </w:tc>
        <w:tc>
          <w:tcPr>
            <w:tcW w:type="dxa" w:w="3168"/>
            <w:vAlign w:val="top"/>
            <w:shd w:fill="1F4E79"/>
          </w:tcPr>
          <w:p>
            <w:pPr>
              <w:spacing w:after="0"/>
            </w:pPr>
            <w:r/>
            <w:r>
              <w:rPr>
                <w:b/>
                <w:color w:val="FFFFFF"/>
              </w:rPr>
              <w:t>Purpose</w:t>
            </w:r>
          </w:p>
        </w:tc>
        <w:tc>
          <w:tcPr>
            <w:tcW w:type="dxa" w:w="1728"/>
            <w:vAlign w:val="top"/>
            <w:shd w:fill="1F4E79"/>
          </w:tcPr>
          <w:p>
            <w:pPr>
              <w:spacing w:after="0"/>
            </w:pPr>
            <w:r/>
            <w:r>
              <w:rPr>
                <w:b/>
                <w:color w:val="FFFFFF"/>
              </w:rPr>
              <w:t>Enforcement</w:t>
            </w:r>
          </w:p>
        </w:tc>
      </w:tr>
      <w:tr>
        <w:tc>
          <w:tcPr>
            <w:tcW w:type="dxa" w:w="1728"/>
          </w:tcPr>
          <w:p>
            <w:pPr>
              <w:spacing w:after="0"/>
            </w:pPr>
            <w:r/>
            <w:r>
              <w:rPr>
                <w:b w:val="0"/>
              </w:rPr>
              <w:t>Wave 0 - Leadership Alignment</w:t>
            </w:r>
          </w:p>
        </w:tc>
        <w:tc>
          <w:tcPr>
            <w:tcW w:type="dxa" w:w="1008"/>
          </w:tcPr>
          <w:p>
            <w:pPr>
              <w:spacing w:after="0"/>
            </w:pPr>
            <w:r/>
            <w:r>
              <w:rPr>
                <w:b w:val="0"/>
              </w:rPr>
              <w:t>Week 0</w:t>
            </w:r>
          </w:p>
        </w:tc>
        <w:tc>
          <w:tcPr>
            <w:tcW w:type="dxa" w:w="1656"/>
          </w:tcPr>
          <w:p>
            <w:pPr>
              <w:spacing w:after="0"/>
            </w:pPr>
            <w:r/>
            <w:r>
              <w:rPr>
                <w:b w:val="0"/>
              </w:rPr>
              <w:t>CEO, Ops, HR, Department Heads</w:t>
            </w:r>
          </w:p>
        </w:tc>
        <w:tc>
          <w:tcPr>
            <w:tcW w:type="dxa" w:w="2160"/>
          </w:tcPr>
          <w:p>
            <w:pPr>
              <w:spacing w:after="0"/>
            </w:pPr>
            <w:r/>
            <w:r>
              <w:rPr>
                <w:b w:val="0"/>
              </w:rPr>
              <w:t>GOV-001, HR-001, AUDIT-001</w:t>
            </w:r>
          </w:p>
        </w:tc>
        <w:tc>
          <w:tcPr>
            <w:tcW w:type="dxa" w:w="3168"/>
          </w:tcPr>
          <w:p>
            <w:pPr>
              <w:spacing w:after="0"/>
            </w:pPr>
            <w:r/>
            <w:r>
              <w:rPr>
                <w:b w:val="0"/>
              </w:rPr>
              <w:t>Approve rollout model, assign SOP owners, seed app library, decide enforcement dates.</w:t>
            </w:r>
          </w:p>
        </w:tc>
        <w:tc>
          <w:tcPr>
            <w:tcW w:type="dxa" w:w="1728"/>
          </w:tcPr>
          <w:p>
            <w:pPr>
              <w:spacing w:after="0"/>
            </w:pPr>
            <w:r/>
            <w:r>
              <w:rPr>
                <w:b w:val="0"/>
              </w:rPr>
              <w:t>No team-wide enforcement yet.</w:t>
            </w:r>
          </w:p>
        </w:tc>
      </w:tr>
      <w:tr>
        <w:tc>
          <w:tcPr>
            <w:tcW w:type="dxa" w:w="1728"/>
          </w:tcPr>
          <w:p>
            <w:pPr>
              <w:spacing w:after="0"/>
            </w:pPr>
            <w:r/>
            <w:r>
              <w:rPr>
                <w:b w:val="0"/>
              </w:rPr>
              <w:t>Wave 1 - Delivery Control Foundation</w:t>
            </w:r>
          </w:p>
        </w:tc>
        <w:tc>
          <w:tcPr>
            <w:tcW w:type="dxa" w:w="1008"/>
          </w:tcPr>
          <w:p>
            <w:pPr>
              <w:spacing w:after="0"/>
            </w:pPr>
            <w:r/>
            <w:r>
              <w:rPr>
                <w:b w:val="0"/>
              </w:rPr>
              <w:t>Weeks 1-2</w:t>
            </w:r>
          </w:p>
        </w:tc>
        <w:tc>
          <w:tcPr>
            <w:tcW w:type="dxa" w:w="1656"/>
          </w:tcPr>
          <w:p>
            <w:pPr>
              <w:spacing w:after="0"/>
            </w:pPr>
            <w:r/>
            <w:r>
              <w:rPr>
                <w:b w:val="0"/>
              </w:rPr>
              <w:t>TA, Healthcare, IT, Sales, Ops</w:t>
            </w:r>
          </w:p>
        </w:tc>
        <w:tc>
          <w:tcPr>
            <w:tcW w:type="dxa" w:w="2160"/>
          </w:tcPr>
          <w:p>
            <w:pPr>
              <w:spacing w:after="0"/>
            </w:pPr>
            <w:r/>
            <w:r>
              <w:rPr>
                <w:b w:val="0"/>
              </w:rPr>
              <w:t>REQ-001, TA-001, TA-003, OPS-001, SALES-001</w:t>
            </w:r>
          </w:p>
        </w:tc>
        <w:tc>
          <w:tcPr>
            <w:tcW w:type="dxa" w:w="3168"/>
          </w:tcPr>
          <w:p>
            <w:pPr>
              <w:spacing w:after="0"/>
            </w:pPr>
            <w:r/>
            <w:r>
              <w:rPr>
                <w:b w:val="0"/>
              </w:rPr>
              <w:t>Stop sourcing chaos: intake clarity, rate alignment, submission QC, approved tool access.</w:t>
            </w:r>
          </w:p>
        </w:tc>
        <w:tc>
          <w:tcPr>
            <w:tcW w:type="dxa" w:w="1728"/>
          </w:tcPr>
          <w:p>
            <w:pPr>
              <w:spacing w:after="0"/>
            </w:pPr>
            <w:r/>
            <w:r>
              <w:rPr>
                <w:b w:val="0"/>
              </w:rPr>
              <w:t>Soft enforcement with coaching.</w:t>
            </w:r>
          </w:p>
        </w:tc>
      </w:tr>
      <w:tr>
        <w:tc>
          <w:tcPr>
            <w:tcW w:type="dxa" w:w="1728"/>
          </w:tcPr>
          <w:p>
            <w:pPr>
              <w:spacing w:after="0"/>
            </w:pPr>
            <w:r/>
            <w:r>
              <w:rPr>
                <w:b w:val="0"/>
              </w:rPr>
              <w:t>Wave 2 - Candidate &amp; Submission Experience</w:t>
            </w:r>
          </w:p>
        </w:tc>
        <w:tc>
          <w:tcPr>
            <w:tcW w:type="dxa" w:w="1008"/>
          </w:tcPr>
          <w:p>
            <w:pPr>
              <w:spacing w:after="0"/>
            </w:pPr>
            <w:r/>
            <w:r>
              <w:rPr>
                <w:b w:val="0"/>
              </w:rPr>
              <w:t>Weeks 3-4</w:t>
            </w:r>
          </w:p>
        </w:tc>
        <w:tc>
          <w:tcPr>
            <w:tcW w:type="dxa" w:w="1656"/>
          </w:tcPr>
          <w:p>
            <w:pPr>
              <w:spacing w:after="0"/>
            </w:pPr>
            <w:r/>
            <w:r>
              <w:rPr>
                <w:b w:val="0"/>
              </w:rPr>
              <w:t>Recruiters, Leads, Healthcare, IT, Candidate-facing teams</w:t>
            </w:r>
          </w:p>
        </w:tc>
        <w:tc>
          <w:tcPr>
            <w:tcW w:type="dxa" w:w="2160"/>
          </w:tcPr>
          <w:p>
            <w:pPr>
              <w:spacing w:after="0"/>
            </w:pPr>
            <w:r/>
            <w:r>
              <w:rPr>
                <w:b w:val="0"/>
              </w:rPr>
              <w:t>TA-002, TA-004, HC-001, CX-001, PLAT-001</w:t>
            </w:r>
          </w:p>
        </w:tc>
        <w:tc>
          <w:tcPr>
            <w:tcW w:type="dxa" w:w="3168"/>
          </w:tcPr>
          <w:p>
            <w:pPr>
              <w:spacing w:after="0"/>
            </w:pPr>
            <w:r/>
            <w:r>
              <w:rPr>
                <w:b w:val="0"/>
              </w:rPr>
              <w:t>Improve candidate communication, ProKred adoption, credential readiness, interview-to-start follow-through.</w:t>
            </w:r>
          </w:p>
        </w:tc>
        <w:tc>
          <w:tcPr>
            <w:tcW w:type="dxa" w:w="1728"/>
          </w:tcPr>
          <w:p>
            <w:pPr>
              <w:spacing w:after="0"/>
            </w:pPr>
            <w:r/>
            <w:r>
              <w:rPr>
                <w:b w:val="0"/>
              </w:rPr>
              <w:t>Start measured audits.</w:t>
            </w:r>
          </w:p>
        </w:tc>
      </w:tr>
      <w:tr>
        <w:tc>
          <w:tcPr>
            <w:tcW w:type="dxa" w:w="1728"/>
          </w:tcPr>
          <w:p>
            <w:pPr>
              <w:spacing w:after="0"/>
            </w:pPr>
            <w:r/>
            <w:r>
              <w:rPr>
                <w:b w:val="0"/>
              </w:rPr>
              <w:t>Wave 3 - Growth, Marketing &amp; BD</w:t>
            </w:r>
          </w:p>
        </w:tc>
        <w:tc>
          <w:tcPr>
            <w:tcW w:type="dxa" w:w="1008"/>
          </w:tcPr>
          <w:p>
            <w:pPr>
              <w:spacing w:after="0"/>
            </w:pPr>
            <w:r/>
            <w:r>
              <w:rPr>
                <w:b w:val="0"/>
              </w:rPr>
              <w:t>Weeks 5-6</w:t>
            </w:r>
          </w:p>
        </w:tc>
        <w:tc>
          <w:tcPr>
            <w:tcW w:type="dxa" w:w="1656"/>
          </w:tcPr>
          <w:p>
            <w:pPr>
              <w:spacing w:after="0"/>
            </w:pPr>
            <w:r/>
            <w:r>
              <w:rPr>
                <w:b w:val="0"/>
              </w:rPr>
              <w:t>Marketing, Sales, BD, Managers</w:t>
            </w:r>
          </w:p>
        </w:tc>
        <w:tc>
          <w:tcPr>
            <w:tcW w:type="dxa" w:w="2160"/>
          </w:tcPr>
          <w:p>
            <w:pPr>
              <w:spacing w:after="0"/>
            </w:pPr>
            <w:r/>
            <w:r>
              <w:rPr>
                <w:b w:val="0"/>
              </w:rPr>
              <w:t>MKT-001, BD-001, ENG-001</w:t>
            </w:r>
          </w:p>
        </w:tc>
        <w:tc>
          <w:tcPr>
            <w:tcW w:type="dxa" w:w="3168"/>
          </w:tcPr>
          <w:p>
            <w:pPr>
              <w:spacing w:after="0"/>
            </w:pPr>
            <w:r/>
            <w:r>
              <w:rPr>
                <w:b w:val="0"/>
              </w:rPr>
              <w:t>Create consistent market message, content engine, lead generation and vertical delivery standards.</w:t>
            </w:r>
          </w:p>
        </w:tc>
        <w:tc>
          <w:tcPr>
            <w:tcW w:type="dxa" w:w="1728"/>
          </w:tcPr>
          <w:p>
            <w:pPr>
              <w:spacing w:after="0"/>
            </w:pPr>
            <w:r/>
            <w:r>
              <w:rPr>
                <w:b w:val="0"/>
              </w:rPr>
              <w:t>Role-based implementation only.</w:t>
            </w:r>
          </w:p>
        </w:tc>
      </w:tr>
      <w:tr>
        <w:tc>
          <w:tcPr>
            <w:tcW w:type="dxa" w:w="1728"/>
          </w:tcPr>
          <w:p>
            <w:pPr>
              <w:spacing w:after="0"/>
            </w:pPr>
            <w:r/>
            <w:r>
              <w:rPr>
                <w:b w:val="0"/>
              </w:rPr>
              <w:t>Wave 4 - Finance, Legal &amp; Operating Maturity</w:t>
            </w:r>
          </w:p>
        </w:tc>
        <w:tc>
          <w:tcPr>
            <w:tcW w:type="dxa" w:w="1008"/>
          </w:tcPr>
          <w:p>
            <w:pPr>
              <w:spacing w:after="0"/>
            </w:pPr>
            <w:r/>
            <w:r>
              <w:rPr>
                <w:b w:val="0"/>
              </w:rPr>
              <w:t>Weeks 7-8</w:t>
            </w:r>
          </w:p>
        </w:tc>
        <w:tc>
          <w:tcPr>
            <w:tcW w:type="dxa" w:w="1656"/>
          </w:tcPr>
          <w:p>
            <w:pPr>
              <w:spacing w:after="0"/>
            </w:pPr>
            <w:r/>
            <w:r>
              <w:rPr>
                <w:b w:val="0"/>
              </w:rPr>
              <w:t>Finance, Ops, HR, Sales, Managers</w:t>
            </w:r>
          </w:p>
        </w:tc>
        <w:tc>
          <w:tcPr>
            <w:tcW w:type="dxa" w:w="2160"/>
          </w:tcPr>
          <w:p>
            <w:pPr>
              <w:spacing w:after="0"/>
            </w:pPr>
            <w:r/>
            <w:r>
              <w:rPr>
                <w:b w:val="0"/>
              </w:rPr>
              <w:t>LEGAL-001, FIN-001, TRAIN-001, TPL-001</w:t>
            </w:r>
          </w:p>
        </w:tc>
        <w:tc>
          <w:tcPr>
            <w:tcW w:type="dxa" w:w="3168"/>
          </w:tcPr>
          <w:p>
            <w:pPr>
              <w:spacing w:after="0"/>
            </w:pPr>
            <w:r/>
            <w:r>
              <w:rPr>
                <w:b w:val="0"/>
              </w:rPr>
              <w:t>Control billing, contracts, data privacy, compliance, training records and manager templates.</w:t>
            </w:r>
          </w:p>
        </w:tc>
        <w:tc>
          <w:tcPr>
            <w:tcW w:type="dxa" w:w="1728"/>
          </w:tcPr>
          <w:p>
            <w:pPr>
              <w:spacing w:after="0"/>
            </w:pPr>
            <w:r/>
            <w:r>
              <w:rPr>
                <w:b w:val="0"/>
              </w:rPr>
              <w:t>Full audit readiness.</w:t>
            </w:r>
          </w:p>
        </w:tc>
      </w:tr>
      <w:tr>
        <w:tc>
          <w:tcPr>
            <w:tcW w:type="dxa" w:w="1728"/>
          </w:tcPr>
          <w:p>
            <w:pPr>
              <w:spacing w:after="0"/>
            </w:pPr>
            <w:r/>
            <w:r>
              <w:rPr>
                <w:b w:val="0"/>
              </w:rPr>
              <w:t>Wave 5 - Full Integration &amp; MBR</w:t>
            </w:r>
          </w:p>
        </w:tc>
        <w:tc>
          <w:tcPr>
            <w:tcW w:type="dxa" w:w="1008"/>
          </w:tcPr>
          <w:p>
            <w:pPr>
              <w:spacing w:after="0"/>
            </w:pPr>
            <w:r/>
            <w:r>
              <w:rPr>
                <w:b w:val="0"/>
              </w:rPr>
              <w:t>Weeks 9-12</w:t>
            </w:r>
          </w:p>
        </w:tc>
        <w:tc>
          <w:tcPr>
            <w:tcW w:type="dxa" w:w="1656"/>
          </w:tcPr>
          <w:p>
            <w:pPr>
              <w:spacing w:after="0"/>
            </w:pPr>
            <w:r/>
            <w:r>
              <w:rPr>
                <w:b w:val="0"/>
              </w:rPr>
              <w:t>Leadership and all managers</w:t>
            </w:r>
          </w:p>
        </w:tc>
        <w:tc>
          <w:tcPr>
            <w:tcW w:type="dxa" w:w="2160"/>
          </w:tcPr>
          <w:p>
            <w:pPr>
              <w:spacing w:after="0"/>
            </w:pPr>
            <w:r/>
            <w:r>
              <w:rPr>
                <w:b w:val="0"/>
              </w:rPr>
              <w:t>All active SOPs</w:t>
            </w:r>
          </w:p>
        </w:tc>
        <w:tc>
          <w:tcPr>
            <w:tcW w:type="dxa" w:w="3168"/>
          </w:tcPr>
          <w:p>
            <w:pPr>
              <w:spacing w:after="0"/>
            </w:pPr>
            <w:r/>
            <w:r>
              <w:rPr>
                <w:b w:val="0"/>
              </w:rPr>
              <w:t>Connect SOP adoption to KPIs, role scorecards, audits and monthly business review.</w:t>
            </w:r>
          </w:p>
        </w:tc>
        <w:tc>
          <w:tcPr>
            <w:tcW w:type="dxa" w:w="1728"/>
          </w:tcPr>
          <w:p>
            <w:pPr>
              <w:spacing w:after="0"/>
            </w:pPr>
            <w:r/>
            <w:r>
              <w:rPr>
                <w:b w:val="0"/>
              </w:rPr>
              <w:t>Full enforcement begins.</w:t>
            </w:r>
          </w:p>
        </w:tc>
      </w:tr>
    </w:tbl>
    <w:p/>
    <w:p>
      <w:pPr>
        <w:pStyle w:val="Heading1"/>
      </w:pPr>
      <w:r>
        <w:t>8. Team Training Cadence</w:t>
      </w:r>
    </w:p>
    <w:tbl>
      <w:tblPr>
        <w:tblStyle w:val="TableGrid"/>
        <w:tblW w:type="auto" w:w="0"/>
        <w:jc w:val="center"/>
        <w:tblLook w:firstColumn="1" w:firstRow="1" w:lastColumn="0" w:lastRow="0" w:noHBand="0" w:noVBand="1" w:val="04A0"/>
      </w:tblPr>
      <w:tblGrid>
        <w:gridCol w:w="5256"/>
        <w:gridCol w:w="5256"/>
      </w:tblGrid>
      <w:tr>
        <w:tc>
          <w:tcPr>
            <w:tcW w:type="dxa" w:w="3312"/>
            <w:vAlign w:val="top"/>
            <w:shd w:fill="1F4E79"/>
          </w:tcPr>
          <w:p>
            <w:pPr>
              <w:spacing w:after="0"/>
            </w:pPr>
            <w:r/>
            <w:r>
              <w:rPr>
                <w:b/>
                <w:color w:val="FFFFFF"/>
              </w:rPr>
              <w:t>Rule</w:t>
            </w:r>
          </w:p>
        </w:tc>
        <w:tc>
          <w:tcPr>
            <w:tcW w:type="dxa" w:w="7200"/>
            <w:vAlign w:val="top"/>
            <w:shd w:fill="1F4E79"/>
          </w:tcPr>
          <w:p>
            <w:pPr>
              <w:spacing w:after="0"/>
            </w:pPr>
            <w:r/>
            <w:r>
              <w:rPr>
                <w:b/>
                <w:color w:val="FFFFFF"/>
              </w:rPr>
              <w:t>Standard</w:t>
            </w:r>
          </w:p>
        </w:tc>
      </w:tr>
      <w:tr>
        <w:tc>
          <w:tcPr>
            <w:tcW w:type="dxa" w:w="3312"/>
          </w:tcPr>
          <w:p>
            <w:pPr>
              <w:spacing w:after="0"/>
            </w:pPr>
            <w:r/>
            <w:r>
              <w:rPr>
                <w:b w:val="0"/>
              </w:rPr>
              <w:t>Do not launch more than two operational SOPs per week</w:t>
            </w:r>
          </w:p>
        </w:tc>
        <w:tc>
          <w:tcPr>
            <w:tcW w:type="dxa" w:w="7200"/>
          </w:tcPr>
          <w:p>
            <w:pPr>
              <w:spacing w:after="0"/>
            </w:pPr>
            <w:r/>
            <w:r>
              <w:rPr>
                <w:b w:val="0"/>
              </w:rPr>
              <w:t>Team members need time to understand and apply each process.</w:t>
            </w:r>
          </w:p>
        </w:tc>
      </w:tr>
      <w:tr>
        <w:tc>
          <w:tcPr>
            <w:tcW w:type="dxa" w:w="3312"/>
          </w:tcPr>
          <w:p>
            <w:pPr>
              <w:spacing w:after="0"/>
            </w:pPr>
            <w:r/>
            <w:r>
              <w:rPr>
                <w:b w:val="0"/>
              </w:rPr>
              <w:t>Each SOP launch should be 30-45 minutes</w:t>
            </w:r>
          </w:p>
        </w:tc>
        <w:tc>
          <w:tcPr>
            <w:tcW w:type="dxa" w:w="7200"/>
          </w:tcPr>
          <w:p>
            <w:pPr>
              <w:spacing w:after="0"/>
            </w:pPr>
            <w:r/>
            <w:r>
              <w:rPr>
                <w:b w:val="0"/>
              </w:rPr>
              <w:t>Keep training practical: purpose, process, examples, do/don't, checklist, KPI.</w:t>
            </w:r>
          </w:p>
        </w:tc>
      </w:tr>
      <w:tr>
        <w:tc>
          <w:tcPr>
            <w:tcW w:type="dxa" w:w="3312"/>
          </w:tcPr>
          <w:p>
            <w:pPr>
              <w:spacing w:after="0"/>
            </w:pPr>
            <w:r/>
            <w:r>
              <w:rPr>
                <w:b w:val="0"/>
              </w:rPr>
              <w:t>Use role-based training</w:t>
            </w:r>
          </w:p>
        </w:tc>
        <w:tc>
          <w:tcPr>
            <w:tcW w:type="dxa" w:w="7200"/>
          </w:tcPr>
          <w:p>
            <w:pPr>
              <w:spacing w:after="0"/>
            </w:pPr>
            <w:r/>
            <w:r>
              <w:rPr>
                <w:b w:val="0"/>
              </w:rPr>
              <w:t>Recruiters do not need deep Finance training; Finance does not need deep sourcing training.</w:t>
            </w:r>
          </w:p>
        </w:tc>
      </w:tr>
      <w:tr>
        <w:tc>
          <w:tcPr>
            <w:tcW w:type="dxa" w:w="3312"/>
          </w:tcPr>
          <w:p>
            <w:pPr>
              <w:spacing w:after="0"/>
            </w:pPr>
            <w:r/>
            <w:r>
              <w:rPr>
                <w:b w:val="0"/>
              </w:rPr>
              <w:t>Require acknowledgment only after training</w:t>
            </w:r>
          </w:p>
        </w:tc>
        <w:tc>
          <w:tcPr>
            <w:tcW w:type="dxa" w:w="7200"/>
          </w:tcPr>
          <w:p>
            <w:pPr>
              <w:spacing w:after="0"/>
            </w:pPr>
            <w:r/>
            <w:r>
              <w:rPr>
                <w:b w:val="0"/>
              </w:rPr>
              <w:t>Do not ask employees to acknowledge documents they have not been trained on.</w:t>
            </w:r>
          </w:p>
        </w:tc>
      </w:tr>
      <w:tr>
        <w:tc>
          <w:tcPr>
            <w:tcW w:type="dxa" w:w="3312"/>
          </w:tcPr>
          <w:p>
            <w:pPr>
              <w:spacing w:after="0"/>
            </w:pPr>
            <w:r/>
            <w:r>
              <w:rPr>
                <w:b w:val="0"/>
              </w:rPr>
              <w:t>Use live work samples</w:t>
            </w:r>
          </w:p>
        </w:tc>
        <w:tc>
          <w:tcPr>
            <w:tcW w:type="dxa" w:w="7200"/>
          </w:tcPr>
          <w:p>
            <w:pPr>
              <w:spacing w:after="0"/>
            </w:pPr>
            <w:r/>
            <w:r>
              <w:rPr>
                <w:b w:val="0"/>
              </w:rPr>
              <w:t>Certification should include one real intake, one real candidate screen, one real packet, or one real audit sample.</w:t>
            </w:r>
          </w:p>
        </w:tc>
      </w:tr>
      <w:tr>
        <w:tc>
          <w:tcPr>
            <w:tcW w:type="dxa" w:w="3312"/>
          </w:tcPr>
          <w:p>
            <w:pPr>
              <w:spacing w:after="0"/>
            </w:pPr>
            <w:r/>
            <w:r>
              <w:rPr>
                <w:b w:val="0"/>
              </w:rPr>
              <w:t>Refresh after 30-45 days</w:t>
            </w:r>
          </w:p>
        </w:tc>
        <w:tc>
          <w:tcPr>
            <w:tcW w:type="dxa" w:w="7200"/>
          </w:tcPr>
          <w:p>
            <w:pPr>
              <w:spacing w:after="0"/>
            </w:pPr>
            <w:r/>
            <w:r>
              <w:rPr>
                <w:b w:val="0"/>
              </w:rPr>
              <w:t>Update Version 1.1 based on actual adoption gaps, not abstract opinions.</w:t>
            </w:r>
          </w:p>
        </w:tc>
      </w:tr>
    </w:tbl>
    <w:p/>
    <w:p>
      <w:pPr>
        <w:pStyle w:val="Heading1"/>
      </w:pPr>
      <w:r>
        <w:t>9. App-Based SOP Governance and Review Workflow</w:t>
      </w:r>
    </w:p>
    <w:p>
      <w:r>
        <w:t>The SOPs should be managed inside the existing app using the central review, discussion and approval workflow service already available across other features. Do not duplicate workflow logic.</w:t>
      </w:r>
    </w:p>
    <w:tbl>
      <w:tblPr>
        <w:tblStyle w:val="TableGrid"/>
        <w:tblW w:type="auto" w:w="0"/>
        <w:jc w:val="center"/>
        <w:tblLook w:firstColumn="1" w:firstRow="1" w:lastColumn="0" w:lastRow="0" w:noHBand="0" w:noVBand="1" w:val="04A0"/>
      </w:tblPr>
      <w:tblGrid>
        <w:gridCol w:w="10512"/>
      </w:tblGrid>
      <w:tr>
        <w:tc>
          <w:tcPr>
            <w:tcW w:type="dxa" w:w="10512"/>
            <w:vAlign w:val="top"/>
            <w:shd w:fill="EAF3F8"/>
          </w:tcPr>
          <w:p>
            <w:r/>
            <w:r>
              <w:rPr>
                <w:b/>
                <w:sz w:val="20"/>
              </w:rPr>
              <w:t>Developer Rule</w:t>
            </w:r>
          </w:p>
          <w:p>
            <w:r>
              <w:rPr>
                <w:sz w:val="18"/>
              </w:rPr>
              <w:t>Build SOP governance as a new entity type on the central WorkflowService. The app should support entityType = SOP and entityId = sopDocumentId. Review, comments, approval, due dates, audit logs and notifications should reuse the existing workflow service.</w:t>
            </w:r>
          </w:p>
        </w:tc>
      </w:tr>
    </w:tbl>
    <w:p/>
    <w:tbl>
      <w:tblPr>
        <w:tblStyle w:val="TableGrid"/>
        <w:tblW w:type="auto" w:w="0"/>
        <w:jc w:val="center"/>
        <w:tblLook w:firstColumn="1" w:firstRow="1" w:lastColumn="0" w:lastRow="0" w:noHBand="0" w:noVBand="1" w:val="04A0"/>
      </w:tblPr>
      <w:tblGrid>
        <w:gridCol w:w="5256"/>
        <w:gridCol w:w="5256"/>
      </w:tblGrid>
      <w:tr>
        <w:tc>
          <w:tcPr>
            <w:tcW w:type="dxa" w:w="2736"/>
            <w:vAlign w:val="top"/>
            <w:shd w:fill="1F4E79"/>
          </w:tcPr>
          <w:p>
            <w:pPr>
              <w:spacing w:after="0"/>
            </w:pPr>
            <w:r/>
            <w:r>
              <w:rPr>
                <w:b/>
                <w:color w:val="FFFFFF"/>
              </w:rPr>
              <w:t>Lifecycle Status</w:t>
            </w:r>
          </w:p>
        </w:tc>
        <w:tc>
          <w:tcPr>
            <w:tcW w:type="dxa" w:w="7776"/>
            <w:vAlign w:val="top"/>
            <w:shd w:fill="1F4E79"/>
          </w:tcPr>
          <w:p>
            <w:pPr>
              <w:spacing w:after="0"/>
            </w:pPr>
            <w:r/>
            <w:r>
              <w:rPr>
                <w:b/>
                <w:color w:val="FFFFFF"/>
              </w:rPr>
              <w:t>Meaning</w:t>
            </w:r>
          </w:p>
        </w:tc>
      </w:tr>
      <w:tr>
        <w:tc>
          <w:tcPr>
            <w:tcW w:type="dxa" w:w="2736"/>
          </w:tcPr>
          <w:p>
            <w:pPr>
              <w:spacing w:after="0"/>
            </w:pPr>
            <w:r/>
            <w:r>
              <w:rPr>
                <w:b w:val="0"/>
              </w:rPr>
              <w:t>DRAFT</w:t>
            </w:r>
          </w:p>
        </w:tc>
        <w:tc>
          <w:tcPr>
            <w:tcW w:type="dxa" w:w="7776"/>
          </w:tcPr>
          <w:p>
            <w:pPr>
              <w:spacing w:after="0"/>
            </w:pPr>
            <w:r/>
            <w:r>
              <w:rPr>
                <w:b w:val="0"/>
              </w:rPr>
              <w:t>SOP is being drafted or revised.</w:t>
            </w:r>
          </w:p>
        </w:tc>
      </w:tr>
      <w:tr>
        <w:tc>
          <w:tcPr>
            <w:tcW w:type="dxa" w:w="2736"/>
          </w:tcPr>
          <w:p>
            <w:pPr>
              <w:spacing w:after="0"/>
            </w:pPr>
            <w:r/>
            <w:r>
              <w:rPr>
                <w:b w:val="0"/>
              </w:rPr>
              <w:t>IN_REVIEW</w:t>
            </w:r>
          </w:p>
        </w:tc>
        <w:tc>
          <w:tcPr>
            <w:tcW w:type="dxa" w:w="7776"/>
          </w:tcPr>
          <w:p>
            <w:pPr>
              <w:spacing w:after="0"/>
            </w:pPr>
            <w:r/>
            <w:r>
              <w:rPr>
                <w:b w:val="0"/>
              </w:rPr>
              <w:t>Reviewers have been assigned.</w:t>
            </w:r>
          </w:p>
        </w:tc>
      </w:tr>
      <w:tr>
        <w:tc>
          <w:tcPr>
            <w:tcW w:type="dxa" w:w="2736"/>
          </w:tcPr>
          <w:p>
            <w:pPr>
              <w:spacing w:after="0"/>
            </w:pPr>
            <w:r/>
            <w:r>
              <w:rPr>
                <w:b w:val="0"/>
              </w:rPr>
              <w:t>CHANGES_REQUESTED</w:t>
            </w:r>
          </w:p>
        </w:tc>
        <w:tc>
          <w:tcPr>
            <w:tcW w:type="dxa" w:w="7776"/>
          </w:tcPr>
          <w:p>
            <w:pPr>
              <w:spacing w:after="0"/>
            </w:pPr>
            <w:r/>
            <w:r>
              <w:rPr>
                <w:b w:val="0"/>
              </w:rPr>
              <w:t>Reviewers requested required change.</w:t>
            </w:r>
          </w:p>
        </w:tc>
      </w:tr>
      <w:tr>
        <w:tc>
          <w:tcPr>
            <w:tcW w:type="dxa" w:w="2736"/>
          </w:tcPr>
          <w:p>
            <w:pPr>
              <w:spacing w:after="0"/>
            </w:pPr>
            <w:r/>
            <w:r>
              <w:rPr>
                <w:b w:val="0"/>
              </w:rPr>
              <w:t>APPROVED</w:t>
            </w:r>
          </w:p>
        </w:tc>
        <w:tc>
          <w:tcPr>
            <w:tcW w:type="dxa" w:w="7776"/>
          </w:tcPr>
          <w:p>
            <w:pPr>
              <w:spacing w:after="0"/>
            </w:pPr>
            <w:r/>
            <w:r>
              <w:rPr>
                <w:b w:val="0"/>
              </w:rPr>
              <w:t>Approver has approved the SOP.</w:t>
            </w:r>
          </w:p>
        </w:tc>
      </w:tr>
      <w:tr>
        <w:tc>
          <w:tcPr>
            <w:tcW w:type="dxa" w:w="2736"/>
          </w:tcPr>
          <w:p>
            <w:pPr>
              <w:spacing w:after="0"/>
            </w:pPr>
            <w:r/>
            <w:r>
              <w:rPr>
                <w:b w:val="0"/>
              </w:rPr>
              <w:t>PUBLISHED</w:t>
            </w:r>
          </w:p>
        </w:tc>
        <w:tc>
          <w:tcPr>
            <w:tcW w:type="dxa" w:w="7776"/>
          </w:tcPr>
          <w:p>
            <w:pPr>
              <w:spacing w:after="0"/>
            </w:pPr>
            <w:r/>
            <w:r>
              <w:rPr>
                <w:b w:val="0"/>
              </w:rPr>
              <w:t>SOP is published to the library.</w:t>
            </w:r>
          </w:p>
        </w:tc>
      </w:tr>
      <w:tr>
        <w:tc>
          <w:tcPr>
            <w:tcW w:type="dxa" w:w="2736"/>
          </w:tcPr>
          <w:p>
            <w:pPr>
              <w:spacing w:after="0"/>
            </w:pPr>
            <w:r/>
            <w:r>
              <w:rPr>
                <w:b w:val="0"/>
              </w:rPr>
              <w:t>TRAINING_ASSIGNED</w:t>
            </w:r>
          </w:p>
        </w:tc>
        <w:tc>
          <w:tcPr>
            <w:tcW w:type="dxa" w:w="7776"/>
          </w:tcPr>
          <w:p>
            <w:pPr>
              <w:spacing w:after="0"/>
            </w:pPr>
            <w:r/>
            <w:r>
              <w:rPr>
                <w:b w:val="0"/>
              </w:rPr>
              <w:t>Training assigned to impacted roles.</w:t>
            </w:r>
          </w:p>
        </w:tc>
      </w:tr>
      <w:tr>
        <w:tc>
          <w:tcPr>
            <w:tcW w:type="dxa" w:w="2736"/>
          </w:tcPr>
          <w:p>
            <w:pPr>
              <w:spacing w:after="0"/>
            </w:pPr>
            <w:r/>
            <w:r>
              <w:rPr>
                <w:b w:val="0"/>
              </w:rPr>
              <w:t>ACKNOWLEDGED</w:t>
            </w:r>
          </w:p>
        </w:tc>
        <w:tc>
          <w:tcPr>
            <w:tcW w:type="dxa" w:w="7776"/>
          </w:tcPr>
          <w:p>
            <w:pPr>
              <w:spacing w:after="0"/>
            </w:pPr>
            <w:r/>
            <w:r>
              <w:rPr>
                <w:b w:val="0"/>
              </w:rPr>
              <w:t>Employees acknowledged assigned SOP version.</w:t>
            </w:r>
          </w:p>
        </w:tc>
      </w:tr>
      <w:tr>
        <w:tc>
          <w:tcPr>
            <w:tcW w:type="dxa" w:w="2736"/>
          </w:tcPr>
          <w:p>
            <w:pPr>
              <w:spacing w:after="0"/>
            </w:pPr>
            <w:r/>
            <w:r>
              <w:rPr>
                <w:b w:val="0"/>
              </w:rPr>
              <w:t>ACTIVE</w:t>
            </w:r>
          </w:p>
        </w:tc>
        <w:tc>
          <w:tcPr>
            <w:tcW w:type="dxa" w:w="7776"/>
          </w:tcPr>
          <w:p>
            <w:pPr>
              <w:spacing w:after="0"/>
            </w:pPr>
            <w:r/>
            <w:r>
              <w:rPr>
                <w:b w:val="0"/>
              </w:rPr>
              <w:t>SOP is enforceable.</w:t>
            </w:r>
          </w:p>
        </w:tc>
      </w:tr>
      <w:tr>
        <w:tc>
          <w:tcPr>
            <w:tcW w:type="dxa" w:w="2736"/>
          </w:tcPr>
          <w:p>
            <w:pPr>
              <w:spacing w:after="0"/>
            </w:pPr>
            <w:r/>
            <w:r>
              <w:rPr>
                <w:b w:val="0"/>
              </w:rPr>
              <w:t>UNDER_REVISION</w:t>
            </w:r>
          </w:p>
        </w:tc>
        <w:tc>
          <w:tcPr>
            <w:tcW w:type="dxa" w:w="7776"/>
          </w:tcPr>
          <w:p>
            <w:pPr>
              <w:spacing w:after="0"/>
            </w:pPr>
            <w:r/>
            <w:r>
              <w:rPr>
                <w:b w:val="0"/>
              </w:rPr>
              <w:t>Active SOP is being updated.</w:t>
            </w:r>
          </w:p>
        </w:tc>
      </w:tr>
      <w:tr>
        <w:tc>
          <w:tcPr>
            <w:tcW w:type="dxa" w:w="2736"/>
          </w:tcPr>
          <w:p>
            <w:pPr>
              <w:spacing w:after="0"/>
            </w:pPr>
            <w:r/>
            <w:r>
              <w:rPr>
                <w:b w:val="0"/>
              </w:rPr>
              <w:t>RETIRED</w:t>
            </w:r>
          </w:p>
        </w:tc>
        <w:tc>
          <w:tcPr>
            <w:tcW w:type="dxa" w:w="7776"/>
          </w:tcPr>
          <w:p>
            <w:pPr>
              <w:spacing w:after="0"/>
            </w:pPr>
            <w:r/>
            <w:r>
              <w:rPr>
                <w:b w:val="0"/>
              </w:rPr>
              <w:t>SOP is no longer active.</w:t>
            </w:r>
          </w:p>
        </w:tc>
      </w:tr>
    </w:tbl>
    <w:p/>
    <w:tbl>
      <w:tblPr>
        <w:tblStyle w:val="TableGrid"/>
        <w:tblW w:type="auto" w:w="0"/>
        <w:jc w:val="center"/>
        <w:tblLook w:firstColumn="1" w:firstRow="1" w:lastColumn="0" w:lastRow="0" w:noHBand="0" w:noVBand="1" w:val="04A0"/>
      </w:tblPr>
      <w:tblGrid>
        <w:gridCol w:w="5256"/>
        <w:gridCol w:w="5256"/>
      </w:tblGrid>
      <w:tr>
        <w:tc>
          <w:tcPr>
            <w:tcW w:type="dxa" w:w="2880"/>
            <w:vAlign w:val="top"/>
            <w:shd w:fill="1F4E79"/>
          </w:tcPr>
          <w:p>
            <w:pPr>
              <w:spacing w:after="0"/>
            </w:pPr>
            <w:r/>
            <w:r>
              <w:rPr>
                <w:b/>
                <w:color w:val="FFFFFF"/>
              </w:rPr>
              <w:t>Reviewer Action</w:t>
            </w:r>
          </w:p>
        </w:tc>
        <w:tc>
          <w:tcPr>
            <w:tcW w:type="dxa" w:w="7632"/>
            <w:vAlign w:val="top"/>
            <w:shd w:fill="1F4E79"/>
          </w:tcPr>
          <w:p>
            <w:pPr>
              <w:spacing w:after="0"/>
            </w:pPr>
            <w:r/>
            <w:r>
              <w:rPr>
                <w:b/>
                <w:color w:val="FFFFFF"/>
              </w:rPr>
              <w:t>Meaning</w:t>
            </w:r>
          </w:p>
        </w:tc>
      </w:tr>
      <w:tr>
        <w:tc>
          <w:tcPr>
            <w:tcW w:type="dxa" w:w="2880"/>
          </w:tcPr>
          <w:p>
            <w:pPr>
              <w:spacing w:after="0"/>
            </w:pPr>
            <w:r/>
            <w:r>
              <w:rPr>
                <w:b w:val="0"/>
              </w:rPr>
              <w:t>Comment</w:t>
            </w:r>
          </w:p>
        </w:tc>
        <w:tc>
          <w:tcPr>
            <w:tcW w:type="dxa" w:w="7632"/>
          </w:tcPr>
          <w:p>
            <w:pPr>
              <w:spacing w:after="0"/>
            </w:pPr>
            <w:r/>
            <w:r>
              <w:rPr>
                <w:b w:val="0"/>
              </w:rPr>
              <w:t>General feedback or clarification.</w:t>
            </w:r>
          </w:p>
        </w:tc>
      </w:tr>
      <w:tr>
        <w:tc>
          <w:tcPr>
            <w:tcW w:type="dxa" w:w="2880"/>
          </w:tcPr>
          <w:p>
            <w:pPr>
              <w:spacing w:after="0"/>
            </w:pPr>
            <w:r/>
            <w:r>
              <w:rPr>
                <w:b w:val="0"/>
              </w:rPr>
              <w:t>Mark Reviewed</w:t>
            </w:r>
          </w:p>
        </w:tc>
        <w:tc>
          <w:tcPr>
            <w:tcW w:type="dxa" w:w="7632"/>
          </w:tcPr>
          <w:p>
            <w:pPr>
              <w:spacing w:after="0"/>
            </w:pPr>
            <w:r/>
            <w:r>
              <w:rPr>
                <w:b w:val="0"/>
              </w:rPr>
              <w:t>Reviewer has no blocker.</w:t>
            </w:r>
          </w:p>
        </w:tc>
      </w:tr>
      <w:tr>
        <w:tc>
          <w:tcPr>
            <w:tcW w:type="dxa" w:w="2880"/>
          </w:tcPr>
          <w:p>
            <w:pPr>
              <w:spacing w:after="0"/>
            </w:pPr>
            <w:r/>
            <w:r>
              <w:rPr>
                <w:b w:val="0"/>
              </w:rPr>
              <w:t>Approve</w:t>
            </w:r>
          </w:p>
        </w:tc>
        <w:tc>
          <w:tcPr>
            <w:tcW w:type="dxa" w:w="7632"/>
          </w:tcPr>
          <w:p>
            <w:pPr>
              <w:spacing w:after="0"/>
            </w:pPr>
            <w:r/>
            <w:r>
              <w:rPr>
                <w:b w:val="0"/>
              </w:rPr>
              <w:t>Reviewer approves the SOP.</w:t>
            </w:r>
          </w:p>
        </w:tc>
      </w:tr>
      <w:tr>
        <w:tc>
          <w:tcPr>
            <w:tcW w:type="dxa" w:w="2880"/>
          </w:tcPr>
          <w:p>
            <w:pPr>
              <w:spacing w:after="0"/>
            </w:pPr>
            <w:r/>
            <w:r>
              <w:rPr>
                <w:b w:val="0"/>
              </w:rPr>
              <w:t>Approve with Comments</w:t>
            </w:r>
          </w:p>
        </w:tc>
        <w:tc>
          <w:tcPr>
            <w:tcW w:type="dxa" w:w="7632"/>
          </w:tcPr>
          <w:p>
            <w:pPr>
              <w:spacing w:after="0"/>
            </w:pPr>
            <w:r/>
            <w:r>
              <w:rPr>
                <w:b w:val="0"/>
              </w:rPr>
              <w:t>SOP can proceed; comments may be handled in future version.</w:t>
            </w:r>
          </w:p>
        </w:tc>
      </w:tr>
      <w:tr>
        <w:tc>
          <w:tcPr>
            <w:tcW w:type="dxa" w:w="2880"/>
          </w:tcPr>
          <w:p>
            <w:pPr>
              <w:spacing w:after="0"/>
            </w:pPr>
            <w:r/>
            <w:r>
              <w:rPr>
                <w:b w:val="0"/>
              </w:rPr>
              <w:t>Request Changes</w:t>
            </w:r>
          </w:p>
        </w:tc>
        <w:tc>
          <w:tcPr>
            <w:tcW w:type="dxa" w:w="7632"/>
          </w:tcPr>
          <w:p>
            <w:pPr>
              <w:spacing w:after="0"/>
            </w:pPr>
            <w:r/>
            <w:r>
              <w:rPr>
                <w:b w:val="0"/>
              </w:rPr>
              <w:t>Must be corrected before publish.</w:t>
            </w:r>
          </w:p>
        </w:tc>
      </w:tr>
      <w:tr>
        <w:tc>
          <w:tcPr>
            <w:tcW w:type="dxa" w:w="2880"/>
          </w:tcPr>
          <w:p>
            <w:pPr>
              <w:spacing w:after="0"/>
            </w:pPr>
            <w:r/>
            <w:r>
              <w:rPr>
                <w:b w:val="0"/>
              </w:rPr>
              <w:t>Reject</w:t>
            </w:r>
          </w:p>
        </w:tc>
        <w:tc>
          <w:tcPr>
            <w:tcW w:type="dxa" w:w="7632"/>
          </w:tcPr>
          <w:p>
            <w:pPr>
              <w:spacing w:after="0"/>
            </w:pPr>
            <w:r/>
            <w:r>
              <w:rPr>
                <w:b w:val="0"/>
              </w:rPr>
              <w:t>Major issue requiring CEO/Ops decision.</w:t>
            </w:r>
          </w:p>
        </w:tc>
      </w:tr>
      <w:tr>
        <w:tc>
          <w:tcPr>
            <w:tcW w:type="dxa" w:w="2880"/>
          </w:tcPr>
          <w:p>
            <w:pPr>
              <w:spacing w:after="0"/>
            </w:pPr>
            <w:r/>
            <w:r>
              <w:rPr>
                <w:b w:val="0"/>
              </w:rPr>
              <w:t>No Response / No Objection</w:t>
            </w:r>
          </w:p>
        </w:tc>
        <w:tc>
          <w:tcPr>
            <w:tcW w:type="dxa" w:w="7632"/>
          </w:tcPr>
          <w:p>
            <w:pPr>
              <w:spacing w:after="0"/>
            </w:pPr>
            <w:r/>
            <w:r>
              <w:rPr>
                <w:b w:val="0"/>
              </w:rPr>
              <w:t>Reviewer did not respond by due date; CEO may proceed.</w:t>
            </w:r>
          </w:p>
        </w:tc>
      </w:tr>
    </w:tbl>
    <w:p/>
    <w:p>
      <w:pPr>
        <w:pStyle w:val="Heading1"/>
      </w:pPr>
      <w:r>
        <w:t>10. Development Requirements Summary</w:t>
      </w:r>
    </w:p>
    <w:tbl>
      <w:tblPr>
        <w:tblStyle w:val="TableGrid"/>
        <w:tblW w:type="auto" w:w="0"/>
        <w:jc w:val="center"/>
        <w:tblLook w:firstColumn="1" w:firstRow="1" w:lastColumn="0" w:lastRow="0" w:noHBand="0" w:noVBand="1" w:val="04A0"/>
      </w:tblPr>
      <w:tblGrid>
        <w:gridCol w:w="5256"/>
        <w:gridCol w:w="5256"/>
      </w:tblGrid>
      <w:tr>
        <w:tc>
          <w:tcPr>
            <w:tcW w:type="dxa" w:w="3024"/>
            <w:vAlign w:val="top"/>
            <w:shd w:fill="1F4E79"/>
          </w:tcPr>
          <w:p>
            <w:pPr>
              <w:spacing w:after="0"/>
            </w:pPr>
            <w:r/>
            <w:r>
              <w:rPr>
                <w:b/>
                <w:color w:val="FFFFFF"/>
              </w:rPr>
              <w:t>Build Area</w:t>
            </w:r>
          </w:p>
        </w:tc>
        <w:tc>
          <w:tcPr>
            <w:tcW w:type="dxa" w:w="7488"/>
            <w:vAlign w:val="top"/>
            <w:shd w:fill="1F4E79"/>
          </w:tcPr>
          <w:p>
            <w:pPr>
              <w:spacing w:after="0"/>
            </w:pPr>
            <w:r/>
            <w:r>
              <w:rPr>
                <w:b/>
                <w:color w:val="FFFFFF"/>
              </w:rPr>
              <w:t>Requirement</w:t>
            </w:r>
          </w:p>
        </w:tc>
      </w:tr>
      <w:tr>
        <w:tc>
          <w:tcPr>
            <w:tcW w:type="dxa" w:w="3024"/>
          </w:tcPr>
          <w:p>
            <w:pPr>
              <w:spacing w:after="0"/>
            </w:pPr>
            <w:r/>
            <w:r>
              <w:rPr>
                <w:b w:val="0"/>
              </w:rPr>
              <w:t>SOP Library</w:t>
            </w:r>
          </w:p>
        </w:tc>
        <w:tc>
          <w:tcPr>
            <w:tcW w:type="dxa" w:w="7488"/>
          </w:tcPr>
          <w:p>
            <w:pPr>
              <w:spacing w:after="0"/>
            </w:pPr>
            <w:r/>
            <w:r>
              <w:rPr>
                <w:b w:val="0"/>
              </w:rPr>
              <w:t>Create searchable library by code, title, category, owner, status, version and effective date.</w:t>
            </w:r>
          </w:p>
        </w:tc>
      </w:tr>
      <w:tr>
        <w:tc>
          <w:tcPr>
            <w:tcW w:type="dxa" w:w="3024"/>
          </w:tcPr>
          <w:p>
            <w:pPr>
              <w:spacing w:after="0"/>
            </w:pPr>
            <w:r/>
            <w:r>
              <w:rPr>
                <w:b w:val="0"/>
              </w:rPr>
              <w:t>SOP Version Control</w:t>
            </w:r>
          </w:p>
        </w:tc>
        <w:tc>
          <w:tcPr>
            <w:tcW w:type="dxa" w:w="7488"/>
          </w:tcPr>
          <w:p>
            <w:pPr>
              <w:spacing w:after="0"/>
            </w:pPr>
            <w:r/>
            <w:r>
              <w:rPr>
                <w:b w:val="0"/>
              </w:rPr>
              <w:t>Published versions are locked; edits create a new version.</w:t>
            </w:r>
          </w:p>
        </w:tc>
      </w:tr>
      <w:tr>
        <w:tc>
          <w:tcPr>
            <w:tcW w:type="dxa" w:w="3024"/>
          </w:tcPr>
          <w:p>
            <w:pPr>
              <w:spacing w:after="0"/>
            </w:pPr>
            <w:r/>
            <w:r>
              <w:rPr>
                <w:b w:val="0"/>
              </w:rPr>
              <w:t>Central Workflow Reuse</w:t>
            </w:r>
          </w:p>
        </w:tc>
        <w:tc>
          <w:tcPr>
            <w:tcW w:type="dxa" w:w="7488"/>
          </w:tcPr>
          <w:p>
            <w:pPr>
              <w:spacing w:after="0"/>
            </w:pPr>
            <w:r/>
            <w:r>
              <w:rPr>
                <w:b w:val="0"/>
              </w:rPr>
              <w:t>Use existing workflow service for review, discussion, approval, due date and audit.</w:t>
            </w:r>
          </w:p>
        </w:tc>
      </w:tr>
      <w:tr>
        <w:tc>
          <w:tcPr>
            <w:tcW w:type="dxa" w:w="3024"/>
          </w:tcPr>
          <w:p>
            <w:pPr>
              <w:spacing w:after="0"/>
            </w:pPr>
            <w:r/>
            <w:r>
              <w:rPr>
                <w:b w:val="0"/>
              </w:rPr>
              <w:t>Training Mapping</w:t>
            </w:r>
          </w:p>
        </w:tc>
        <w:tc>
          <w:tcPr>
            <w:tcW w:type="dxa" w:w="7488"/>
          </w:tcPr>
          <w:p>
            <w:pPr>
              <w:spacing w:after="0"/>
            </w:pPr>
            <w:r/>
            <w:r>
              <w:rPr>
                <w:b w:val="0"/>
              </w:rPr>
              <w:t>Map SOPs to role, department and required training.</w:t>
            </w:r>
          </w:p>
        </w:tc>
      </w:tr>
      <w:tr>
        <w:tc>
          <w:tcPr>
            <w:tcW w:type="dxa" w:w="3024"/>
          </w:tcPr>
          <w:p>
            <w:pPr>
              <w:spacing w:after="0"/>
            </w:pPr>
            <w:r/>
            <w:r>
              <w:rPr>
                <w:b w:val="0"/>
              </w:rPr>
              <w:t>Acknowledgments</w:t>
            </w:r>
          </w:p>
        </w:tc>
        <w:tc>
          <w:tcPr>
            <w:tcW w:type="dxa" w:w="7488"/>
          </w:tcPr>
          <w:p>
            <w:pPr>
              <w:spacing w:after="0"/>
            </w:pPr>
            <w:r/>
            <w:r>
              <w:rPr>
                <w:b w:val="0"/>
              </w:rPr>
              <w:t>Employee acknowledges the specific SOP version after training.</w:t>
            </w:r>
          </w:p>
        </w:tc>
      </w:tr>
      <w:tr>
        <w:tc>
          <w:tcPr>
            <w:tcW w:type="dxa" w:w="3024"/>
          </w:tcPr>
          <w:p>
            <w:pPr>
              <w:spacing w:after="0"/>
            </w:pPr>
            <w:r/>
            <w:r>
              <w:rPr>
                <w:b w:val="0"/>
              </w:rPr>
              <w:t>Manager View</w:t>
            </w:r>
          </w:p>
        </w:tc>
        <w:tc>
          <w:tcPr>
            <w:tcW w:type="dxa" w:w="7488"/>
          </w:tcPr>
          <w:p>
            <w:pPr>
              <w:spacing w:after="0"/>
            </w:pPr>
            <w:r/>
            <w:r>
              <w:rPr>
                <w:b w:val="0"/>
              </w:rPr>
              <w:t>Managers see team training, acknowledgment and overdue items.</w:t>
            </w:r>
          </w:p>
        </w:tc>
      </w:tr>
      <w:tr>
        <w:tc>
          <w:tcPr>
            <w:tcW w:type="dxa" w:w="3024"/>
          </w:tcPr>
          <w:p>
            <w:pPr>
              <w:spacing w:after="0"/>
            </w:pPr>
            <w:r/>
            <w:r>
              <w:rPr>
                <w:b w:val="0"/>
              </w:rPr>
              <w:t>SOP-to-KPI Mapping</w:t>
            </w:r>
          </w:p>
        </w:tc>
        <w:tc>
          <w:tcPr>
            <w:tcW w:type="dxa" w:w="7488"/>
          </w:tcPr>
          <w:p>
            <w:pPr>
              <w:spacing w:after="0"/>
            </w:pPr>
            <w:r/>
            <w:r>
              <w:rPr>
                <w:b w:val="0"/>
              </w:rPr>
              <w:t>Connect SOPs to measurable KPIs and role scorecards.</w:t>
            </w:r>
          </w:p>
        </w:tc>
      </w:tr>
      <w:tr>
        <w:tc>
          <w:tcPr>
            <w:tcW w:type="dxa" w:w="3024"/>
          </w:tcPr>
          <w:p>
            <w:pPr>
              <w:spacing w:after="0"/>
            </w:pPr>
            <w:r/>
            <w:r>
              <w:rPr>
                <w:b w:val="0"/>
              </w:rPr>
              <w:t>Audit Findings</w:t>
            </w:r>
          </w:p>
        </w:tc>
        <w:tc>
          <w:tcPr>
            <w:tcW w:type="dxa" w:w="7488"/>
          </w:tcPr>
          <w:p>
            <w:pPr>
              <w:spacing w:after="0"/>
            </w:pPr>
            <w:r/>
            <w:r>
              <w:rPr>
                <w:b w:val="0"/>
              </w:rPr>
              <w:t>Create findings, assign corrective action, due date and status.</w:t>
            </w:r>
          </w:p>
        </w:tc>
      </w:tr>
      <w:tr>
        <w:tc>
          <w:tcPr>
            <w:tcW w:type="dxa" w:w="3024"/>
          </w:tcPr>
          <w:p>
            <w:pPr>
              <w:spacing w:after="0"/>
            </w:pPr>
            <w:r/>
            <w:r>
              <w:rPr>
                <w:b w:val="0"/>
              </w:rPr>
              <w:t>Dashboards</w:t>
            </w:r>
          </w:p>
        </w:tc>
        <w:tc>
          <w:tcPr>
            <w:tcW w:type="dxa" w:w="7488"/>
          </w:tcPr>
          <w:p>
            <w:pPr>
              <w:spacing w:after="0"/>
            </w:pPr>
            <w:r/>
            <w:r>
              <w:rPr>
                <w:b w:val="0"/>
              </w:rPr>
              <w:t>CEO/Ops see adoption, overdue reviews, pending training, acknowledgment gaps and audit findings.</w:t>
            </w:r>
          </w:p>
        </w:tc>
      </w:tr>
    </w:tbl>
    <w:p/>
    <w:tbl>
      <w:tblPr>
        <w:tblStyle w:val="TableGrid"/>
        <w:tblW w:type="auto" w:w="0"/>
        <w:jc w:val="center"/>
        <w:tblLook w:firstColumn="1" w:firstRow="1" w:lastColumn="0" w:lastRow="0" w:noHBand="0" w:noVBand="1" w:val="04A0"/>
      </w:tblPr>
      <w:tblGrid>
        <w:gridCol w:w="10512"/>
      </w:tblGrid>
      <w:tr>
        <w:tc>
          <w:tcPr>
            <w:tcW w:type="dxa" w:w="10512"/>
            <w:vAlign w:val="top"/>
            <w:shd w:fill="E2F0D9"/>
          </w:tcPr>
          <w:p>
            <w:r/>
            <w:r>
              <w:rPr>
                <w:b/>
                <w:sz w:val="20"/>
              </w:rPr>
              <w:t>Developer / Replit Implementation Brief</w:t>
            </w:r>
          </w:p>
          <w:p>
            <w:r>
              <w:rPr>
                <w:sz w:val="18"/>
              </w:rPr>
              <w:t>Build a Process Governance Center for Hire'in Solutions inside the existing HireHR / multi-portal app. Do not create a separate SOP-only workflow engine. Reuse the existing review, discussion, approval, notification, audit, RBAC and ticket/approval patterns already present in the application. Add SOP as a supported workflow entity type. Build SOP library, version control, review routing, discussion, approval, training assignment, employee acknowledgment, SOP-to-KPI mapping and audit finding tracking. Published SOPs must be locked, and revisions must create new versions. CEO/Super Admin must be able to publish after reviewer due dates pass. Managers must see team training and acknowledgment completion. Employees must see only assigned published SOPs and required training.</w:t>
            </w:r>
          </w:p>
        </w:tc>
      </w:tr>
    </w:tbl>
    <w:p/>
    <w:p>
      <w:pPr>
        <w:pStyle w:val="Heading1"/>
      </w:pPr>
      <w:r>
        <w:t>11. How to Make People Follow Without Overwhelming Them</w:t>
      </w:r>
    </w:p>
    <w:tbl>
      <w:tblPr>
        <w:tblStyle w:val="TableGrid"/>
        <w:tblW w:type="auto" w:w="0"/>
        <w:jc w:val="center"/>
        <w:tblLook w:firstColumn="1" w:firstRow="1" w:lastColumn="0" w:lastRow="0" w:noHBand="0" w:noVBand="1" w:val="04A0"/>
      </w:tblPr>
      <w:tblGrid>
        <w:gridCol w:w="5256"/>
        <w:gridCol w:w="5256"/>
      </w:tblGrid>
      <w:tr>
        <w:tc>
          <w:tcPr>
            <w:tcW w:type="dxa" w:w="3168"/>
            <w:vAlign w:val="top"/>
            <w:shd w:fill="1F4E79"/>
          </w:tcPr>
          <w:p>
            <w:pPr>
              <w:spacing w:after="0"/>
            </w:pPr>
            <w:r/>
            <w:r>
              <w:rPr>
                <w:b/>
                <w:color w:val="FFFFFF"/>
              </w:rPr>
              <w:t>Risk</w:t>
            </w:r>
          </w:p>
        </w:tc>
        <w:tc>
          <w:tcPr>
            <w:tcW w:type="dxa" w:w="7344"/>
            <w:vAlign w:val="top"/>
            <w:shd w:fill="1F4E79"/>
          </w:tcPr>
          <w:p>
            <w:pPr>
              <w:spacing w:after="0"/>
            </w:pPr>
            <w:r/>
            <w:r>
              <w:rPr>
                <w:b/>
                <w:color w:val="FFFFFF"/>
              </w:rPr>
              <w:t>Control</w:t>
            </w:r>
          </w:p>
        </w:tc>
      </w:tr>
      <w:tr>
        <w:tc>
          <w:tcPr>
            <w:tcW w:type="dxa" w:w="3168"/>
          </w:tcPr>
          <w:p>
            <w:pPr>
              <w:spacing w:after="0"/>
            </w:pPr>
            <w:r/>
            <w:r>
              <w:rPr>
                <w:b w:val="0"/>
              </w:rPr>
              <w:t>People see SOPs as paperwork</w:t>
            </w:r>
          </w:p>
        </w:tc>
        <w:tc>
          <w:tcPr>
            <w:tcW w:type="dxa" w:w="7344"/>
          </w:tcPr>
          <w:p>
            <w:pPr>
              <w:spacing w:after="0"/>
            </w:pPr>
            <w:r/>
            <w:r>
              <w:rPr>
                <w:b w:val="0"/>
              </w:rPr>
              <w:t>Start every launch with the value: less chaos, fewer rejections, better candidate trust, faster fills.</w:t>
            </w:r>
          </w:p>
        </w:tc>
      </w:tr>
      <w:tr>
        <w:tc>
          <w:tcPr>
            <w:tcW w:type="dxa" w:w="3168"/>
          </w:tcPr>
          <w:p>
            <w:pPr>
              <w:spacing w:after="0"/>
            </w:pPr>
            <w:r/>
            <w:r>
              <w:rPr>
                <w:b w:val="0"/>
              </w:rPr>
              <w:t>Managers delay review</w:t>
            </w:r>
          </w:p>
        </w:tc>
        <w:tc>
          <w:tcPr>
            <w:tcW w:type="dxa" w:w="7344"/>
          </w:tcPr>
          <w:p>
            <w:pPr>
              <w:spacing w:after="0"/>
            </w:pPr>
            <w:r/>
            <w:r>
              <w:rPr>
                <w:b w:val="0"/>
              </w:rPr>
              <w:t>Use 5-business-day review SLA and no-response/no-objection status.</w:t>
            </w:r>
          </w:p>
        </w:tc>
      </w:tr>
      <w:tr>
        <w:tc>
          <w:tcPr>
            <w:tcW w:type="dxa" w:w="3168"/>
          </w:tcPr>
          <w:p>
            <w:pPr>
              <w:spacing w:after="0"/>
            </w:pPr>
            <w:r/>
            <w:r>
              <w:rPr>
                <w:b w:val="0"/>
              </w:rPr>
              <w:t>Recruiters ignore documents</w:t>
            </w:r>
          </w:p>
        </w:tc>
        <w:tc>
          <w:tcPr>
            <w:tcW w:type="dxa" w:w="7344"/>
          </w:tcPr>
          <w:p>
            <w:pPr>
              <w:spacing w:after="0"/>
            </w:pPr>
            <w:r/>
            <w:r>
              <w:rPr>
                <w:b w:val="0"/>
              </w:rPr>
              <w:t>Convert SOPs into daily checklists and ATS-required fields.</w:t>
            </w:r>
          </w:p>
        </w:tc>
      </w:tr>
      <w:tr>
        <w:tc>
          <w:tcPr>
            <w:tcW w:type="dxa" w:w="3168"/>
          </w:tcPr>
          <w:p>
            <w:pPr>
              <w:spacing w:after="0"/>
            </w:pPr>
            <w:r/>
            <w:r>
              <w:rPr>
                <w:b w:val="0"/>
              </w:rPr>
              <w:t>Too many SOPs at once</w:t>
            </w:r>
          </w:p>
        </w:tc>
        <w:tc>
          <w:tcPr>
            <w:tcW w:type="dxa" w:w="7344"/>
          </w:tcPr>
          <w:p>
            <w:pPr>
              <w:spacing w:after="0"/>
            </w:pPr>
            <w:r/>
            <w:r>
              <w:rPr>
                <w:b w:val="0"/>
              </w:rPr>
              <w:t>Launch in waves and role-specific training.</w:t>
            </w:r>
          </w:p>
        </w:tc>
      </w:tr>
      <w:tr>
        <w:tc>
          <w:tcPr>
            <w:tcW w:type="dxa" w:w="3168"/>
          </w:tcPr>
          <w:p>
            <w:pPr>
              <w:spacing w:after="0"/>
            </w:pPr>
            <w:r/>
            <w:r>
              <w:rPr>
                <w:b w:val="0"/>
              </w:rPr>
              <w:t>No enforcement</w:t>
            </w:r>
          </w:p>
        </w:tc>
        <w:tc>
          <w:tcPr>
            <w:tcW w:type="dxa" w:w="7344"/>
          </w:tcPr>
          <w:p>
            <w:pPr>
              <w:spacing w:after="0"/>
            </w:pPr>
            <w:r/>
            <w:r>
              <w:rPr>
                <w:b w:val="0"/>
              </w:rPr>
              <w:t>Start soft audits by Week 3 and full enforcement after training and acknowledgment.</w:t>
            </w:r>
          </w:p>
        </w:tc>
      </w:tr>
      <w:tr>
        <w:tc>
          <w:tcPr>
            <w:tcW w:type="dxa" w:w="3168"/>
          </w:tcPr>
          <w:p>
            <w:pPr>
              <w:spacing w:after="0"/>
            </w:pPr>
            <w:r/>
            <w:r>
              <w:rPr>
                <w:b w:val="0"/>
              </w:rPr>
              <w:t>Fear of punishment</w:t>
            </w:r>
          </w:p>
        </w:tc>
        <w:tc>
          <w:tcPr>
            <w:tcW w:type="dxa" w:w="7344"/>
          </w:tcPr>
          <w:p>
            <w:pPr>
              <w:spacing w:after="0"/>
            </w:pPr>
            <w:r/>
            <w:r>
              <w:rPr>
                <w:b w:val="0"/>
              </w:rPr>
              <w:t>Position first 30 days as coaching; repeated gaps move to performance action.</w:t>
            </w:r>
          </w:p>
        </w:tc>
      </w:tr>
      <w:tr>
        <w:tc>
          <w:tcPr>
            <w:tcW w:type="dxa" w:w="3168"/>
          </w:tcPr>
          <w:p>
            <w:pPr>
              <w:spacing w:after="0"/>
            </w:pPr>
            <w:r/>
            <w:r>
              <w:rPr>
                <w:b w:val="0"/>
              </w:rPr>
              <w:t>Tools misunderstood</w:t>
            </w:r>
          </w:p>
        </w:tc>
        <w:tc>
          <w:tcPr>
            <w:tcW w:type="dxa" w:w="7344"/>
          </w:tcPr>
          <w:p>
            <w:pPr>
              <w:spacing w:after="0"/>
            </w:pPr>
            <w:r/>
            <w:r>
              <w:rPr>
                <w:b w:val="0"/>
              </w:rPr>
              <w:t>Train clear positioning for KleriQ and ProKred as independent SaaS platforms used by Hire'in.</w:t>
            </w:r>
          </w:p>
        </w:tc>
      </w:tr>
      <w:tr>
        <w:tc>
          <w:tcPr>
            <w:tcW w:type="dxa" w:w="3168"/>
          </w:tcPr>
          <w:p>
            <w:pPr>
              <w:spacing w:after="0"/>
            </w:pPr>
            <w:r/>
            <w:r>
              <w:rPr>
                <w:b w:val="0"/>
              </w:rPr>
              <w:t>No business impact</w:t>
            </w:r>
          </w:p>
        </w:tc>
        <w:tc>
          <w:tcPr>
            <w:tcW w:type="dxa" w:w="7344"/>
          </w:tcPr>
          <w:p>
            <w:pPr>
              <w:spacing w:after="0"/>
            </w:pPr>
            <w:r/>
            <w:r>
              <w:rPr>
                <w:b w:val="0"/>
              </w:rPr>
              <w:t>Tie SOPs to submission quality, interview ratio, start ratio, aging, compliance, margin and candidate feedback.</w:t>
            </w:r>
          </w:p>
        </w:tc>
      </w:tr>
    </w:tbl>
    <w:p/>
    <w:p>
      <w:pPr>
        <w:pStyle w:val="Heading1"/>
      </w:pPr>
      <w:r>
        <w:t>12. SOP-by-SOP Launch Matrix</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1800"/>
            <w:vAlign w:val="top"/>
            <w:shd w:fill="1F4E79"/>
          </w:tcPr>
          <w:p>
            <w:pPr>
              <w:spacing w:after="0"/>
            </w:pPr>
            <w:r/>
            <w:r>
              <w:rPr>
                <w:b/>
                <w:color w:val="FFFFFF"/>
              </w:rPr>
              <w:t>SOP Code</w:t>
            </w:r>
          </w:p>
        </w:tc>
        <w:tc>
          <w:tcPr>
            <w:tcW w:type="dxa" w:w="3816"/>
            <w:vAlign w:val="top"/>
            <w:shd w:fill="1F4E79"/>
          </w:tcPr>
          <w:p>
            <w:pPr>
              <w:spacing w:after="0"/>
            </w:pPr>
            <w:r/>
            <w:r>
              <w:rPr>
                <w:b/>
                <w:color w:val="FFFFFF"/>
              </w:rPr>
              <w:t>Title</w:t>
            </w:r>
          </w:p>
        </w:tc>
        <w:tc>
          <w:tcPr>
            <w:tcW w:type="dxa" w:w="1080"/>
            <w:vAlign w:val="top"/>
            <w:shd w:fill="1F4E79"/>
          </w:tcPr>
          <w:p>
            <w:pPr>
              <w:spacing w:after="0"/>
            </w:pPr>
            <w:r/>
            <w:r>
              <w:rPr>
                <w:b/>
                <w:color w:val="FFFFFF"/>
              </w:rPr>
              <w:t>Launch Wave</w:t>
            </w:r>
          </w:p>
        </w:tc>
        <w:tc>
          <w:tcPr>
            <w:tcW w:type="dxa" w:w="2232"/>
            <w:vAlign w:val="top"/>
            <w:shd w:fill="1F4E79"/>
          </w:tcPr>
          <w:p>
            <w:pPr>
              <w:spacing w:after="0"/>
            </w:pPr>
            <w:r/>
            <w:r>
              <w:rPr>
                <w:b/>
                <w:color w:val="FFFFFF"/>
              </w:rPr>
              <w:t>Training Method</w:t>
            </w:r>
          </w:p>
        </w:tc>
        <w:tc>
          <w:tcPr>
            <w:tcW w:type="dxa" w:w="2088"/>
            <w:vAlign w:val="top"/>
            <w:shd w:fill="1F4E79"/>
          </w:tcPr>
          <w:p>
            <w:pPr>
              <w:spacing w:after="0"/>
            </w:pPr>
            <w:r/>
            <w:r>
              <w:rPr>
                <w:b/>
                <w:color w:val="FFFFFF"/>
              </w:rPr>
              <w:t>Success Measure</w:t>
            </w:r>
          </w:p>
        </w:tc>
      </w:tr>
      <w:tr>
        <w:tc>
          <w:tcPr>
            <w:tcW w:type="dxa" w:w="1800"/>
          </w:tcPr>
          <w:p>
            <w:pPr>
              <w:spacing w:after="0"/>
            </w:pPr>
            <w:r/>
            <w:r>
              <w:rPr>
                <w:b w:val="0"/>
              </w:rPr>
              <w:t>HIS-SOP-GOV-001</w:t>
            </w:r>
          </w:p>
        </w:tc>
        <w:tc>
          <w:tcPr>
            <w:tcW w:type="dxa" w:w="3816"/>
          </w:tcPr>
          <w:p>
            <w:pPr>
              <w:spacing w:after="0"/>
            </w:pPr>
            <w:r/>
            <w:r>
              <w:rPr>
                <w:b w:val="0"/>
              </w:rPr>
              <w:t>SOP Governance, Document Control &amp; Change Management</w:t>
            </w:r>
          </w:p>
        </w:tc>
        <w:tc>
          <w:tcPr>
            <w:tcW w:type="dxa" w:w="1080"/>
          </w:tcPr>
          <w:p>
            <w:pPr>
              <w:spacing w:after="0"/>
            </w:pPr>
            <w:r/>
            <w:r>
              <w:rPr>
                <w:b w:val="0"/>
              </w:rPr>
              <w:t>Wave 0</w:t>
            </w:r>
          </w:p>
        </w:tc>
        <w:tc>
          <w:tcPr>
            <w:tcW w:type="dxa" w:w="2232"/>
          </w:tcPr>
          <w:p>
            <w:pPr>
              <w:spacing w:after="0"/>
            </w:pPr>
            <w:r/>
            <w:r>
              <w:rPr>
                <w:b w:val="0"/>
              </w:rPr>
              <w:t>Role-based micro-training + acknowledgment</w:t>
            </w:r>
          </w:p>
        </w:tc>
        <w:tc>
          <w:tcPr>
            <w:tcW w:type="dxa" w:w="2088"/>
          </w:tcPr>
          <w:p>
            <w:pPr>
              <w:spacing w:after="0"/>
            </w:pPr>
            <w:r/>
            <w:r>
              <w:rPr>
                <w:b w:val="0"/>
              </w:rPr>
              <w:t>Adoption/audit score; role-specific KPI mapping</w:t>
            </w:r>
          </w:p>
        </w:tc>
      </w:tr>
      <w:tr>
        <w:tc>
          <w:tcPr>
            <w:tcW w:type="dxa" w:w="1800"/>
          </w:tcPr>
          <w:p>
            <w:pPr>
              <w:spacing w:after="0"/>
            </w:pPr>
            <w:r/>
            <w:r>
              <w:rPr>
                <w:b w:val="0"/>
              </w:rPr>
              <w:t>HIS-SOP-REQ-001</w:t>
            </w:r>
          </w:p>
        </w:tc>
        <w:tc>
          <w:tcPr>
            <w:tcW w:type="dxa" w:w="3816"/>
          </w:tcPr>
          <w:p>
            <w:pPr>
              <w:spacing w:after="0"/>
            </w:pPr>
            <w:r/>
            <w:r>
              <w:rPr>
                <w:b w:val="0"/>
              </w:rPr>
              <w:t>AI-Driven Requirement Synthesis, Hiring Manager Alignment &amp; Execution Brief</w:t>
            </w:r>
          </w:p>
        </w:tc>
        <w:tc>
          <w:tcPr>
            <w:tcW w:type="dxa" w:w="1080"/>
          </w:tcPr>
          <w:p>
            <w:pPr>
              <w:spacing w:after="0"/>
            </w:pPr>
            <w:r/>
            <w:r>
              <w:rPr>
                <w:b w:val="0"/>
              </w:rPr>
              <w:t>Wave 1</w:t>
            </w:r>
          </w:p>
        </w:tc>
        <w:tc>
          <w:tcPr>
            <w:tcW w:type="dxa" w:w="2232"/>
          </w:tcPr>
          <w:p>
            <w:pPr>
              <w:spacing w:after="0"/>
            </w:pPr>
            <w:r/>
            <w:r>
              <w:rPr>
                <w:b w:val="0"/>
              </w:rPr>
              <w:t>Role-based micro-training + acknowledgment</w:t>
            </w:r>
          </w:p>
        </w:tc>
        <w:tc>
          <w:tcPr>
            <w:tcW w:type="dxa" w:w="2088"/>
          </w:tcPr>
          <w:p>
            <w:pPr>
              <w:spacing w:after="0"/>
            </w:pPr>
            <w:r/>
            <w:r>
              <w:rPr>
                <w:b w:val="0"/>
              </w:rPr>
              <w:t>Adoption/audit score; role-specific KPI mapping</w:t>
            </w:r>
          </w:p>
        </w:tc>
      </w:tr>
      <w:tr>
        <w:tc>
          <w:tcPr>
            <w:tcW w:type="dxa" w:w="1800"/>
          </w:tcPr>
          <w:p>
            <w:pPr>
              <w:spacing w:after="0"/>
            </w:pPr>
            <w:r/>
            <w:r>
              <w:rPr>
                <w:b w:val="0"/>
              </w:rPr>
              <w:t>HIS-SOP-TA-001</w:t>
            </w:r>
          </w:p>
        </w:tc>
        <w:tc>
          <w:tcPr>
            <w:tcW w:type="dxa" w:w="3816"/>
          </w:tcPr>
          <w:p>
            <w:pPr>
              <w:spacing w:after="0"/>
            </w:pPr>
            <w:r/>
            <w:r>
              <w:rPr>
                <w:b w:val="0"/>
              </w:rPr>
              <w:t>Requisition Intake, Rate Alignment &amp; Delivery Kickoff</w:t>
            </w:r>
          </w:p>
        </w:tc>
        <w:tc>
          <w:tcPr>
            <w:tcW w:type="dxa" w:w="1080"/>
          </w:tcPr>
          <w:p>
            <w:pPr>
              <w:spacing w:after="0"/>
            </w:pPr>
            <w:r/>
            <w:r>
              <w:rPr>
                <w:b w:val="0"/>
              </w:rPr>
              <w:t>Wave 1</w:t>
            </w:r>
          </w:p>
        </w:tc>
        <w:tc>
          <w:tcPr>
            <w:tcW w:type="dxa" w:w="2232"/>
          </w:tcPr>
          <w:p>
            <w:pPr>
              <w:spacing w:after="0"/>
            </w:pPr>
            <w:r/>
            <w:r>
              <w:rPr>
                <w:b w:val="0"/>
              </w:rPr>
              <w:t>Role-based micro-training + acknowledgment</w:t>
            </w:r>
          </w:p>
        </w:tc>
        <w:tc>
          <w:tcPr>
            <w:tcW w:type="dxa" w:w="2088"/>
          </w:tcPr>
          <w:p>
            <w:pPr>
              <w:spacing w:after="0"/>
            </w:pPr>
            <w:r/>
            <w:r>
              <w:rPr>
                <w:b w:val="0"/>
              </w:rPr>
              <w:t>Adoption/audit score; role-specific KPI mapping</w:t>
            </w:r>
          </w:p>
        </w:tc>
      </w:tr>
      <w:tr>
        <w:tc>
          <w:tcPr>
            <w:tcW w:type="dxa" w:w="1800"/>
          </w:tcPr>
          <w:p>
            <w:pPr>
              <w:spacing w:after="0"/>
            </w:pPr>
            <w:r/>
            <w:r>
              <w:rPr>
                <w:b w:val="0"/>
              </w:rPr>
              <w:t>HIS-SOP-TA-002</w:t>
            </w:r>
          </w:p>
        </w:tc>
        <w:tc>
          <w:tcPr>
            <w:tcW w:type="dxa" w:w="3816"/>
          </w:tcPr>
          <w:p>
            <w:pPr>
              <w:spacing w:after="0"/>
            </w:pPr>
            <w:r/>
            <w:r>
              <w:rPr>
                <w:b w:val="0"/>
              </w:rPr>
              <w:t>Sourcing, Outreach, Candidate Ownership &amp; Consent</w:t>
            </w:r>
          </w:p>
        </w:tc>
        <w:tc>
          <w:tcPr>
            <w:tcW w:type="dxa" w:w="1080"/>
          </w:tcPr>
          <w:p>
            <w:pPr>
              <w:spacing w:after="0"/>
            </w:pPr>
            <w:r/>
            <w:r>
              <w:rPr>
                <w:b w:val="0"/>
              </w:rPr>
              <w:t>Wave 2</w:t>
            </w:r>
          </w:p>
        </w:tc>
        <w:tc>
          <w:tcPr>
            <w:tcW w:type="dxa" w:w="2232"/>
          </w:tcPr>
          <w:p>
            <w:pPr>
              <w:spacing w:after="0"/>
            </w:pPr>
            <w:r/>
            <w:r>
              <w:rPr>
                <w:b w:val="0"/>
              </w:rPr>
              <w:t>Role-based micro-training + acknowledgment</w:t>
            </w:r>
          </w:p>
        </w:tc>
        <w:tc>
          <w:tcPr>
            <w:tcW w:type="dxa" w:w="2088"/>
          </w:tcPr>
          <w:p>
            <w:pPr>
              <w:spacing w:after="0"/>
            </w:pPr>
            <w:r/>
            <w:r>
              <w:rPr>
                <w:b w:val="0"/>
              </w:rPr>
              <w:t>Adoption/audit score; role-specific KPI mapping</w:t>
            </w:r>
          </w:p>
        </w:tc>
      </w:tr>
      <w:tr>
        <w:tc>
          <w:tcPr>
            <w:tcW w:type="dxa" w:w="1800"/>
          </w:tcPr>
          <w:p>
            <w:pPr>
              <w:spacing w:after="0"/>
            </w:pPr>
            <w:r/>
            <w:r>
              <w:rPr>
                <w:b w:val="0"/>
              </w:rPr>
              <w:t>HIS-SOP-TA-003</w:t>
            </w:r>
          </w:p>
        </w:tc>
        <w:tc>
          <w:tcPr>
            <w:tcW w:type="dxa" w:w="3816"/>
          </w:tcPr>
          <w:p>
            <w:pPr>
              <w:spacing w:after="0"/>
            </w:pPr>
            <w:r/>
            <w:r>
              <w:rPr>
                <w:b w:val="0"/>
              </w:rPr>
              <w:t>Screening, Qualification &amp; Submission QC</w:t>
            </w:r>
          </w:p>
        </w:tc>
        <w:tc>
          <w:tcPr>
            <w:tcW w:type="dxa" w:w="1080"/>
          </w:tcPr>
          <w:p>
            <w:pPr>
              <w:spacing w:after="0"/>
            </w:pPr>
            <w:r/>
            <w:r>
              <w:rPr>
                <w:b w:val="0"/>
              </w:rPr>
              <w:t>Wave 1</w:t>
            </w:r>
          </w:p>
        </w:tc>
        <w:tc>
          <w:tcPr>
            <w:tcW w:type="dxa" w:w="2232"/>
          </w:tcPr>
          <w:p>
            <w:pPr>
              <w:spacing w:after="0"/>
            </w:pPr>
            <w:r/>
            <w:r>
              <w:rPr>
                <w:b w:val="0"/>
              </w:rPr>
              <w:t>Role-based micro-training + acknowledgment</w:t>
            </w:r>
          </w:p>
        </w:tc>
        <w:tc>
          <w:tcPr>
            <w:tcW w:type="dxa" w:w="2088"/>
          </w:tcPr>
          <w:p>
            <w:pPr>
              <w:spacing w:after="0"/>
            </w:pPr>
            <w:r/>
            <w:r>
              <w:rPr>
                <w:b w:val="0"/>
              </w:rPr>
              <w:t>Adoption/audit score; role-specific KPI mapping</w:t>
            </w:r>
          </w:p>
        </w:tc>
      </w:tr>
      <w:tr>
        <w:tc>
          <w:tcPr>
            <w:tcW w:type="dxa" w:w="1800"/>
          </w:tcPr>
          <w:p>
            <w:pPr>
              <w:spacing w:after="0"/>
            </w:pPr>
            <w:r/>
            <w:r>
              <w:rPr>
                <w:b w:val="0"/>
              </w:rPr>
              <w:t>HIS-SOP-TA-004</w:t>
            </w:r>
          </w:p>
        </w:tc>
        <w:tc>
          <w:tcPr>
            <w:tcW w:type="dxa" w:w="3816"/>
          </w:tcPr>
          <w:p>
            <w:pPr>
              <w:spacing w:after="0"/>
            </w:pPr>
            <w:r/>
            <w:r>
              <w:rPr>
                <w:b w:val="0"/>
              </w:rPr>
              <w:t>Interview, Offer, Start &amp; Retention Follow-Through</w:t>
            </w:r>
          </w:p>
        </w:tc>
        <w:tc>
          <w:tcPr>
            <w:tcW w:type="dxa" w:w="1080"/>
          </w:tcPr>
          <w:p>
            <w:pPr>
              <w:spacing w:after="0"/>
            </w:pPr>
            <w:r/>
            <w:r>
              <w:rPr>
                <w:b w:val="0"/>
              </w:rPr>
              <w:t>Wave 2</w:t>
            </w:r>
          </w:p>
        </w:tc>
        <w:tc>
          <w:tcPr>
            <w:tcW w:type="dxa" w:w="2232"/>
          </w:tcPr>
          <w:p>
            <w:pPr>
              <w:spacing w:after="0"/>
            </w:pPr>
            <w:r/>
            <w:r>
              <w:rPr>
                <w:b w:val="0"/>
              </w:rPr>
              <w:t>Role-based micro-training + acknowledgment</w:t>
            </w:r>
          </w:p>
        </w:tc>
        <w:tc>
          <w:tcPr>
            <w:tcW w:type="dxa" w:w="2088"/>
          </w:tcPr>
          <w:p>
            <w:pPr>
              <w:spacing w:after="0"/>
            </w:pPr>
            <w:r/>
            <w:r>
              <w:rPr>
                <w:b w:val="0"/>
              </w:rPr>
              <w:t>Adoption/audit score; role-specific KPI mapping</w:t>
            </w:r>
          </w:p>
        </w:tc>
      </w:tr>
      <w:tr>
        <w:tc>
          <w:tcPr>
            <w:tcW w:type="dxa" w:w="1800"/>
          </w:tcPr>
          <w:p>
            <w:pPr>
              <w:spacing w:after="0"/>
            </w:pPr>
            <w:r/>
            <w:r>
              <w:rPr>
                <w:b w:val="0"/>
              </w:rPr>
              <w:t>HIS-SOP-HC-001</w:t>
            </w:r>
          </w:p>
        </w:tc>
        <w:tc>
          <w:tcPr>
            <w:tcW w:type="dxa" w:w="3816"/>
          </w:tcPr>
          <w:p>
            <w:pPr>
              <w:spacing w:after="0"/>
            </w:pPr>
            <w:r/>
            <w:r>
              <w:rPr>
                <w:b w:val="0"/>
              </w:rPr>
              <w:t>Healthcare Credential Packet &amp; Compliance Readiness</w:t>
            </w:r>
          </w:p>
        </w:tc>
        <w:tc>
          <w:tcPr>
            <w:tcW w:type="dxa" w:w="1080"/>
          </w:tcPr>
          <w:p>
            <w:pPr>
              <w:spacing w:after="0"/>
            </w:pPr>
            <w:r/>
            <w:r>
              <w:rPr>
                <w:b w:val="0"/>
              </w:rPr>
              <w:t>Wave 2</w:t>
            </w:r>
          </w:p>
        </w:tc>
        <w:tc>
          <w:tcPr>
            <w:tcW w:type="dxa" w:w="2232"/>
          </w:tcPr>
          <w:p>
            <w:pPr>
              <w:spacing w:after="0"/>
            </w:pPr>
            <w:r/>
            <w:r>
              <w:rPr>
                <w:b w:val="0"/>
              </w:rPr>
              <w:t>Role-based micro-training + acknowledgment</w:t>
            </w:r>
          </w:p>
        </w:tc>
        <w:tc>
          <w:tcPr>
            <w:tcW w:type="dxa" w:w="2088"/>
          </w:tcPr>
          <w:p>
            <w:pPr>
              <w:spacing w:after="0"/>
            </w:pPr>
            <w:r/>
            <w:r>
              <w:rPr>
                <w:b w:val="0"/>
              </w:rPr>
              <w:t>Adoption/audit score; role-specific KPI mapping</w:t>
            </w:r>
          </w:p>
        </w:tc>
      </w:tr>
      <w:tr>
        <w:tc>
          <w:tcPr>
            <w:tcW w:type="dxa" w:w="1800"/>
          </w:tcPr>
          <w:p>
            <w:pPr>
              <w:spacing w:after="0"/>
            </w:pPr>
            <w:r/>
            <w:r>
              <w:rPr>
                <w:b w:val="0"/>
              </w:rPr>
              <w:t>HIS-SOP-IT-001</w:t>
            </w:r>
          </w:p>
        </w:tc>
        <w:tc>
          <w:tcPr>
            <w:tcW w:type="dxa" w:w="3816"/>
          </w:tcPr>
          <w:p>
            <w:pPr>
              <w:spacing w:after="0"/>
            </w:pPr>
            <w:r/>
            <w:r>
              <w:rPr>
                <w:b w:val="0"/>
              </w:rPr>
              <w:t>IT Staffing Delivery, Technical Screening &amp; Submission Governance</w:t>
            </w:r>
          </w:p>
        </w:tc>
        <w:tc>
          <w:tcPr>
            <w:tcW w:type="dxa" w:w="1080"/>
          </w:tcPr>
          <w:p>
            <w:pPr>
              <w:spacing w:after="0"/>
            </w:pPr>
            <w:r/>
            <w:r>
              <w:rPr>
                <w:b w:val="0"/>
              </w:rPr>
              <w:t>Wave 2</w:t>
            </w:r>
          </w:p>
        </w:tc>
        <w:tc>
          <w:tcPr>
            <w:tcW w:type="dxa" w:w="2232"/>
          </w:tcPr>
          <w:p>
            <w:pPr>
              <w:spacing w:after="0"/>
            </w:pPr>
            <w:r/>
            <w:r>
              <w:rPr>
                <w:b w:val="0"/>
              </w:rPr>
              <w:t>Role-based micro-training + acknowledgment</w:t>
            </w:r>
          </w:p>
        </w:tc>
        <w:tc>
          <w:tcPr>
            <w:tcW w:type="dxa" w:w="2088"/>
          </w:tcPr>
          <w:p>
            <w:pPr>
              <w:spacing w:after="0"/>
            </w:pPr>
            <w:r/>
            <w:r>
              <w:rPr>
                <w:b w:val="0"/>
              </w:rPr>
              <w:t>Adoption/audit score; role-specific KPI mapping</w:t>
            </w:r>
          </w:p>
        </w:tc>
      </w:tr>
      <w:tr>
        <w:tc>
          <w:tcPr>
            <w:tcW w:type="dxa" w:w="1800"/>
          </w:tcPr>
          <w:p>
            <w:pPr>
              <w:spacing w:after="0"/>
            </w:pPr>
            <w:r/>
            <w:r>
              <w:rPr>
                <w:b w:val="0"/>
              </w:rPr>
              <w:t>HIS-SOP-ENG-001</w:t>
            </w:r>
          </w:p>
        </w:tc>
        <w:tc>
          <w:tcPr>
            <w:tcW w:type="dxa" w:w="3816"/>
          </w:tcPr>
          <w:p>
            <w:pPr>
              <w:spacing w:after="0"/>
            </w:pPr>
            <w:r/>
            <w:r>
              <w:rPr>
                <w:b w:val="0"/>
              </w:rPr>
              <w:t>Engineering &amp; Professional Services Delivery Standards</w:t>
            </w:r>
          </w:p>
        </w:tc>
        <w:tc>
          <w:tcPr>
            <w:tcW w:type="dxa" w:w="1080"/>
          </w:tcPr>
          <w:p>
            <w:pPr>
              <w:spacing w:after="0"/>
            </w:pPr>
            <w:r/>
            <w:r>
              <w:rPr>
                <w:b w:val="0"/>
              </w:rPr>
              <w:t>Wave 3</w:t>
            </w:r>
          </w:p>
        </w:tc>
        <w:tc>
          <w:tcPr>
            <w:tcW w:type="dxa" w:w="2232"/>
          </w:tcPr>
          <w:p>
            <w:pPr>
              <w:spacing w:after="0"/>
            </w:pPr>
            <w:r/>
            <w:r>
              <w:rPr>
                <w:b w:val="0"/>
              </w:rPr>
              <w:t>Role-based micro-training + acknowledgment</w:t>
            </w:r>
          </w:p>
        </w:tc>
        <w:tc>
          <w:tcPr>
            <w:tcW w:type="dxa" w:w="2088"/>
          </w:tcPr>
          <w:p>
            <w:pPr>
              <w:spacing w:after="0"/>
            </w:pPr>
            <w:r/>
            <w:r>
              <w:rPr>
                <w:b w:val="0"/>
              </w:rPr>
              <w:t>Adoption/audit score; role-specific KPI mapping</w:t>
            </w:r>
          </w:p>
        </w:tc>
      </w:tr>
      <w:tr>
        <w:tc>
          <w:tcPr>
            <w:tcW w:type="dxa" w:w="1800"/>
          </w:tcPr>
          <w:p>
            <w:pPr>
              <w:spacing w:after="0"/>
            </w:pPr>
            <w:r/>
            <w:r>
              <w:rPr>
                <w:b w:val="0"/>
              </w:rPr>
              <w:t>HIS-SOP-SALES-001</w:t>
            </w:r>
          </w:p>
        </w:tc>
        <w:tc>
          <w:tcPr>
            <w:tcW w:type="dxa" w:w="3816"/>
          </w:tcPr>
          <w:p>
            <w:pPr>
              <w:spacing w:after="0"/>
            </w:pPr>
            <w:r/>
            <w:r>
              <w:rPr>
                <w:b w:val="0"/>
              </w:rPr>
              <w:t>Client, MSP/VMS, Rate Governance &amp; Escalation</w:t>
            </w:r>
          </w:p>
        </w:tc>
        <w:tc>
          <w:tcPr>
            <w:tcW w:type="dxa" w:w="1080"/>
          </w:tcPr>
          <w:p>
            <w:pPr>
              <w:spacing w:after="0"/>
            </w:pPr>
            <w:r/>
            <w:r>
              <w:rPr>
                <w:b w:val="0"/>
              </w:rPr>
              <w:t>Wave 1</w:t>
            </w:r>
          </w:p>
        </w:tc>
        <w:tc>
          <w:tcPr>
            <w:tcW w:type="dxa" w:w="2232"/>
          </w:tcPr>
          <w:p>
            <w:pPr>
              <w:spacing w:after="0"/>
            </w:pPr>
            <w:r/>
            <w:r>
              <w:rPr>
                <w:b w:val="0"/>
              </w:rPr>
              <w:t>Role-based micro-training + acknowledgment</w:t>
            </w:r>
          </w:p>
        </w:tc>
        <w:tc>
          <w:tcPr>
            <w:tcW w:type="dxa" w:w="2088"/>
          </w:tcPr>
          <w:p>
            <w:pPr>
              <w:spacing w:after="0"/>
            </w:pPr>
            <w:r/>
            <w:r>
              <w:rPr>
                <w:b w:val="0"/>
              </w:rPr>
              <w:t>Adoption/audit score; role-specific KPI mapping</w:t>
            </w:r>
          </w:p>
        </w:tc>
      </w:tr>
      <w:tr>
        <w:tc>
          <w:tcPr>
            <w:tcW w:type="dxa" w:w="1800"/>
          </w:tcPr>
          <w:p>
            <w:pPr>
              <w:spacing w:after="0"/>
            </w:pPr>
            <w:r/>
            <w:r>
              <w:rPr>
                <w:b w:val="0"/>
              </w:rPr>
              <w:t>HIS-SOP-BD-001</w:t>
            </w:r>
          </w:p>
        </w:tc>
        <w:tc>
          <w:tcPr>
            <w:tcW w:type="dxa" w:w="3816"/>
          </w:tcPr>
          <w:p>
            <w:pPr>
              <w:spacing w:after="0"/>
            </w:pPr>
            <w:r/>
            <w:r>
              <w:rPr>
                <w:b w:val="0"/>
              </w:rPr>
              <w:t>New Client Acquisition, Proposals, RFPs &amp; Client Onboarding</w:t>
            </w:r>
          </w:p>
        </w:tc>
        <w:tc>
          <w:tcPr>
            <w:tcW w:type="dxa" w:w="1080"/>
          </w:tcPr>
          <w:p>
            <w:pPr>
              <w:spacing w:after="0"/>
            </w:pPr>
            <w:r/>
            <w:r>
              <w:rPr>
                <w:b w:val="0"/>
              </w:rPr>
              <w:t>Wave 3</w:t>
            </w:r>
          </w:p>
        </w:tc>
        <w:tc>
          <w:tcPr>
            <w:tcW w:type="dxa" w:w="2232"/>
          </w:tcPr>
          <w:p>
            <w:pPr>
              <w:spacing w:after="0"/>
            </w:pPr>
            <w:r/>
            <w:r>
              <w:rPr>
                <w:b w:val="0"/>
              </w:rPr>
              <w:t>Role-based micro-training + acknowledgment</w:t>
            </w:r>
          </w:p>
        </w:tc>
        <w:tc>
          <w:tcPr>
            <w:tcW w:type="dxa" w:w="2088"/>
          </w:tcPr>
          <w:p>
            <w:pPr>
              <w:spacing w:after="0"/>
            </w:pPr>
            <w:r/>
            <w:r>
              <w:rPr>
                <w:b w:val="0"/>
              </w:rPr>
              <w:t>Adoption/audit score; role-specific KPI mapping</w:t>
            </w:r>
          </w:p>
        </w:tc>
      </w:tr>
      <w:tr>
        <w:tc>
          <w:tcPr>
            <w:tcW w:type="dxa" w:w="1800"/>
          </w:tcPr>
          <w:p>
            <w:pPr>
              <w:spacing w:after="0"/>
            </w:pPr>
            <w:r/>
            <w:r>
              <w:rPr>
                <w:b w:val="0"/>
              </w:rPr>
              <w:t>HIS-SOP-MKT-001</w:t>
            </w:r>
          </w:p>
        </w:tc>
        <w:tc>
          <w:tcPr>
            <w:tcW w:type="dxa" w:w="3816"/>
          </w:tcPr>
          <w:p>
            <w:pPr>
              <w:spacing w:after="0"/>
            </w:pPr>
            <w:r/>
            <w:r>
              <w:rPr>
                <w:b w:val="0"/>
              </w:rPr>
              <w:t>Employer Brand, Digital Marketing &amp; Lead Generation</w:t>
            </w:r>
          </w:p>
        </w:tc>
        <w:tc>
          <w:tcPr>
            <w:tcW w:type="dxa" w:w="1080"/>
          </w:tcPr>
          <w:p>
            <w:pPr>
              <w:spacing w:after="0"/>
            </w:pPr>
            <w:r/>
            <w:r>
              <w:rPr>
                <w:b w:val="0"/>
              </w:rPr>
              <w:t>Wave 3</w:t>
            </w:r>
          </w:p>
        </w:tc>
        <w:tc>
          <w:tcPr>
            <w:tcW w:type="dxa" w:w="2232"/>
          </w:tcPr>
          <w:p>
            <w:pPr>
              <w:spacing w:after="0"/>
            </w:pPr>
            <w:r/>
            <w:r>
              <w:rPr>
                <w:b w:val="0"/>
              </w:rPr>
              <w:t>Role-based micro-training + acknowledgment</w:t>
            </w:r>
          </w:p>
        </w:tc>
        <w:tc>
          <w:tcPr>
            <w:tcW w:type="dxa" w:w="2088"/>
          </w:tcPr>
          <w:p>
            <w:pPr>
              <w:spacing w:after="0"/>
            </w:pPr>
            <w:r/>
            <w:r>
              <w:rPr>
                <w:b w:val="0"/>
              </w:rPr>
              <w:t>Adoption/audit score; role-specific KPI mapping</w:t>
            </w:r>
          </w:p>
        </w:tc>
      </w:tr>
      <w:tr>
        <w:tc>
          <w:tcPr>
            <w:tcW w:type="dxa" w:w="1800"/>
          </w:tcPr>
          <w:p>
            <w:pPr>
              <w:spacing w:after="0"/>
            </w:pPr>
            <w:r/>
            <w:r>
              <w:rPr>
                <w:b w:val="0"/>
              </w:rPr>
              <w:t>HIS-SOP-CX-001</w:t>
            </w:r>
          </w:p>
        </w:tc>
        <w:tc>
          <w:tcPr>
            <w:tcW w:type="dxa" w:w="3816"/>
          </w:tcPr>
          <w:p>
            <w:pPr>
              <w:spacing w:after="0"/>
            </w:pPr>
            <w:r/>
            <w:r>
              <w:rPr>
                <w:b w:val="0"/>
              </w:rPr>
              <w:t>Candidate Experience, Communication SLA &amp; Re-Engagement</w:t>
            </w:r>
          </w:p>
        </w:tc>
        <w:tc>
          <w:tcPr>
            <w:tcW w:type="dxa" w:w="1080"/>
          </w:tcPr>
          <w:p>
            <w:pPr>
              <w:spacing w:after="0"/>
            </w:pPr>
            <w:r/>
            <w:r>
              <w:rPr>
                <w:b w:val="0"/>
              </w:rPr>
              <w:t>Wave 2</w:t>
            </w:r>
          </w:p>
        </w:tc>
        <w:tc>
          <w:tcPr>
            <w:tcW w:type="dxa" w:w="2232"/>
          </w:tcPr>
          <w:p>
            <w:pPr>
              <w:spacing w:after="0"/>
            </w:pPr>
            <w:r/>
            <w:r>
              <w:rPr>
                <w:b w:val="0"/>
              </w:rPr>
              <w:t>Role-based micro-training + acknowledgment</w:t>
            </w:r>
          </w:p>
        </w:tc>
        <w:tc>
          <w:tcPr>
            <w:tcW w:type="dxa" w:w="2088"/>
          </w:tcPr>
          <w:p>
            <w:pPr>
              <w:spacing w:after="0"/>
            </w:pPr>
            <w:r/>
            <w:r>
              <w:rPr>
                <w:b w:val="0"/>
              </w:rPr>
              <w:t>Adoption/audit score; role-specific KPI mapping</w:t>
            </w:r>
          </w:p>
        </w:tc>
      </w:tr>
      <w:tr>
        <w:tc>
          <w:tcPr>
            <w:tcW w:type="dxa" w:w="1800"/>
          </w:tcPr>
          <w:p>
            <w:pPr>
              <w:spacing w:after="0"/>
            </w:pPr>
            <w:r/>
            <w:r>
              <w:rPr>
                <w:b w:val="0"/>
              </w:rPr>
              <w:t>HIS-SOP-PLAT-001</w:t>
            </w:r>
          </w:p>
        </w:tc>
        <w:tc>
          <w:tcPr>
            <w:tcW w:type="dxa" w:w="3816"/>
          </w:tcPr>
          <w:p>
            <w:pPr>
              <w:spacing w:after="0"/>
            </w:pPr>
            <w:r/>
            <w:r>
              <w:rPr>
                <w:b w:val="0"/>
              </w:rPr>
              <w:t>Independent SaaS Platform Usage - KleriQ.ai and ProKred.com</w:t>
            </w:r>
          </w:p>
        </w:tc>
        <w:tc>
          <w:tcPr>
            <w:tcW w:type="dxa" w:w="1080"/>
          </w:tcPr>
          <w:p>
            <w:pPr>
              <w:spacing w:after="0"/>
            </w:pPr>
            <w:r/>
            <w:r>
              <w:rPr>
                <w:b w:val="0"/>
              </w:rPr>
              <w:t>Wave 2</w:t>
            </w:r>
          </w:p>
        </w:tc>
        <w:tc>
          <w:tcPr>
            <w:tcW w:type="dxa" w:w="2232"/>
          </w:tcPr>
          <w:p>
            <w:pPr>
              <w:spacing w:after="0"/>
            </w:pPr>
            <w:r/>
            <w:r>
              <w:rPr>
                <w:b w:val="0"/>
              </w:rPr>
              <w:t>Role-based micro-training + acknowledgment</w:t>
            </w:r>
          </w:p>
        </w:tc>
        <w:tc>
          <w:tcPr>
            <w:tcW w:type="dxa" w:w="2088"/>
          </w:tcPr>
          <w:p>
            <w:pPr>
              <w:spacing w:after="0"/>
            </w:pPr>
            <w:r/>
            <w:r>
              <w:rPr>
                <w:b w:val="0"/>
              </w:rPr>
              <w:t>Adoption/audit score; role-specific KPI mapping</w:t>
            </w:r>
          </w:p>
        </w:tc>
      </w:tr>
      <w:tr>
        <w:tc>
          <w:tcPr>
            <w:tcW w:type="dxa" w:w="1800"/>
          </w:tcPr>
          <w:p>
            <w:pPr>
              <w:spacing w:after="0"/>
            </w:pPr>
            <w:r/>
            <w:r>
              <w:rPr>
                <w:b w:val="0"/>
              </w:rPr>
              <w:t>HIS-SOP-LEGAL-001</w:t>
            </w:r>
          </w:p>
        </w:tc>
        <w:tc>
          <w:tcPr>
            <w:tcW w:type="dxa" w:w="3816"/>
          </w:tcPr>
          <w:p>
            <w:pPr>
              <w:spacing w:after="0"/>
            </w:pPr>
            <w:r/>
            <w:r>
              <w:rPr>
                <w:b w:val="0"/>
              </w:rPr>
              <w:t>Contracts, Data Privacy, EEOC &amp; Immigration Compliance</w:t>
            </w:r>
          </w:p>
        </w:tc>
        <w:tc>
          <w:tcPr>
            <w:tcW w:type="dxa" w:w="1080"/>
          </w:tcPr>
          <w:p>
            <w:pPr>
              <w:spacing w:after="0"/>
            </w:pPr>
            <w:r/>
            <w:r>
              <w:rPr>
                <w:b w:val="0"/>
              </w:rPr>
              <w:t>Wave 4</w:t>
            </w:r>
          </w:p>
        </w:tc>
        <w:tc>
          <w:tcPr>
            <w:tcW w:type="dxa" w:w="2232"/>
          </w:tcPr>
          <w:p>
            <w:pPr>
              <w:spacing w:after="0"/>
            </w:pPr>
            <w:r/>
            <w:r>
              <w:rPr>
                <w:b w:val="0"/>
              </w:rPr>
              <w:t>Role-based micro-training + acknowledgment</w:t>
            </w:r>
          </w:p>
        </w:tc>
        <w:tc>
          <w:tcPr>
            <w:tcW w:type="dxa" w:w="2088"/>
          </w:tcPr>
          <w:p>
            <w:pPr>
              <w:spacing w:after="0"/>
            </w:pPr>
            <w:r/>
            <w:r>
              <w:rPr>
                <w:b w:val="0"/>
              </w:rPr>
              <w:t>Adoption/audit score; role-specific KPI mapping</w:t>
            </w:r>
          </w:p>
        </w:tc>
      </w:tr>
      <w:tr>
        <w:tc>
          <w:tcPr>
            <w:tcW w:type="dxa" w:w="1800"/>
          </w:tcPr>
          <w:p>
            <w:pPr>
              <w:spacing w:after="0"/>
            </w:pPr>
            <w:r/>
            <w:r>
              <w:rPr>
                <w:b w:val="0"/>
              </w:rPr>
              <w:t>HIS-SOP-FIN-001</w:t>
            </w:r>
          </w:p>
        </w:tc>
        <w:tc>
          <w:tcPr>
            <w:tcW w:type="dxa" w:w="3816"/>
          </w:tcPr>
          <w:p>
            <w:pPr>
              <w:spacing w:after="0"/>
            </w:pPr>
            <w:r/>
            <w:r>
              <w:rPr>
                <w:b w:val="0"/>
              </w:rPr>
              <w:t>Invoicing, Contractor Payroll, AR/AP &amp; Margin Governance</w:t>
            </w:r>
          </w:p>
        </w:tc>
        <w:tc>
          <w:tcPr>
            <w:tcW w:type="dxa" w:w="1080"/>
          </w:tcPr>
          <w:p>
            <w:pPr>
              <w:spacing w:after="0"/>
            </w:pPr>
            <w:r/>
            <w:r>
              <w:rPr>
                <w:b w:val="0"/>
              </w:rPr>
              <w:t>Wave 4</w:t>
            </w:r>
          </w:p>
        </w:tc>
        <w:tc>
          <w:tcPr>
            <w:tcW w:type="dxa" w:w="2232"/>
          </w:tcPr>
          <w:p>
            <w:pPr>
              <w:spacing w:after="0"/>
            </w:pPr>
            <w:r/>
            <w:r>
              <w:rPr>
                <w:b w:val="0"/>
              </w:rPr>
              <w:t>Role-based micro-training + acknowledgment</w:t>
            </w:r>
          </w:p>
        </w:tc>
        <w:tc>
          <w:tcPr>
            <w:tcW w:type="dxa" w:w="2088"/>
          </w:tcPr>
          <w:p>
            <w:pPr>
              <w:spacing w:after="0"/>
            </w:pPr>
            <w:r/>
            <w:r>
              <w:rPr>
                <w:b w:val="0"/>
              </w:rPr>
              <w:t>Adoption/audit score; role-specific KPI mapping</w:t>
            </w:r>
          </w:p>
        </w:tc>
      </w:tr>
      <w:tr>
        <w:tc>
          <w:tcPr>
            <w:tcW w:type="dxa" w:w="1800"/>
          </w:tcPr>
          <w:p>
            <w:pPr>
              <w:spacing w:after="0"/>
            </w:pPr>
            <w:r/>
            <w:r>
              <w:rPr>
                <w:b w:val="0"/>
              </w:rPr>
              <w:t>HIS-SOP-OPS-001</w:t>
            </w:r>
          </w:p>
        </w:tc>
        <w:tc>
          <w:tcPr>
            <w:tcW w:type="dxa" w:w="3816"/>
          </w:tcPr>
          <w:p>
            <w:pPr>
              <w:spacing w:after="0"/>
            </w:pPr>
            <w:r/>
            <w:r>
              <w:rPr>
                <w:b w:val="0"/>
              </w:rPr>
              <w:t>Tool Access, Credential Control &amp; Deprovisioning</w:t>
            </w:r>
          </w:p>
        </w:tc>
        <w:tc>
          <w:tcPr>
            <w:tcW w:type="dxa" w:w="1080"/>
          </w:tcPr>
          <w:p>
            <w:pPr>
              <w:spacing w:after="0"/>
            </w:pPr>
            <w:r/>
            <w:r>
              <w:rPr>
                <w:b w:val="0"/>
              </w:rPr>
              <w:t>Wave 1</w:t>
            </w:r>
          </w:p>
        </w:tc>
        <w:tc>
          <w:tcPr>
            <w:tcW w:type="dxa" w:w="2232"/>
          </w:tcPr>
          <w:p>
            <w:pPr>
              <w:spacing w:after="0"/>
            </w:pPr>
            <w:r/>
            <w:r>
              <w:rPr>
                <w:b w:val="0"/>
              </w:rPr>
              <w:t>Role-based micro-training + acknowledgment</w:t>
            </w:r>
          </w:p>
        </w:tc>
        <w:tc>
          <w:tcPr>
            <w:tcW w:type="dxa" w:w="2088"/>
          </w:tcPr>
          <w:p>
            <w:pPr>
              <w:spacing w:after="0"/>
            </w:pPr>
            <w:r/>
            <w:r>
              <w:rPr>
                <w:b w:val="0"/>
              </w:rPr>
              <w:t>Adoption/audit score; role-specific KPI mapping</w:t>
            </w:r>
          </w:p>
        </w:tc>
      </w:tr>
      <w:tr>
        <w:tc>
          <w:tcPr>
            <w:tcW w:type="dxa" w:w="1800"/>
          </w:tcPr>
          <w:p>
            <w:pPr>
              <w:spacing w:after="0"/>
            </w:pPr>
            <w:r/>
            <w:r>
              <w:rPr>
                <w:b w:val="0"/>
              </w:rPr>
              <w:t>HIS-SOP-HR-001</w:t>
            </w:r>
          </w:p>
        </w:tc>
        <w:tc>
          <w:tcPr>
            <w:tcW w:type="dxa" w:w="3816"/>
          </w:tcPr>
          <w:p>
            <w:pPr>
              <w:spacing w:after="0"/>
            </w:pPr>
            <w:r/>
            <w:r>
              <w:rPr>
                <w:b w:val="0"/>
              </w:rPr>
              <w:t>Training, Acknowledgment, Goals &amp; Performance Linkage</w:t>
            </w:r>
          </w:p>
        </w:tc>
        <w:tc>
          <w:tcPr>
            <w:tcW w:type="dxa" w:w="1080"/>
          </w:tcPr>
          <w:p>
            <w:pPr>
              <w:spacing w:after="0"/>
            </w:pPr>
            <w:r/>
            <w:r>
              <w:rPr>
                <w:b w:val="0"/>
              </w:rPr>
              <w:t>Wave 0</w:t>
            </w:r>
          </w:p>
        </w:tc>
        <w:tc>
          <w:tcPr>
            <w:tcW w:type="dxa" w:w="2232"/>
          </w:tcPr>
          <w:p>
            <w:pPr>
              <w:spacing w:after="0"/>
            </w:pPr>
            <w:r/>
            <w:r>
              <w:rPr>
                <w:b w:val="0"/>
              </w:rPr>
              <w:t>Role-based micro-training + acknowledgment</w:t>
            </w:r>
          </w:p>
        </w:tc>
        <w:tc>
          <w:tcPr>
            <w:tcW w:type="dxa" w:w="2088"/>
          </w:tcPr>
          <w:p>
            <w:pPr>
              <w:spacing w:after="0"/>
            </w:pPr>
            <w:r/>
            <w:r>
              <w:rPr>
                <w:b w:val="0"/>
              </w:rPr>
              <w:t>Adoption/audit score; role-specific KPI mapping</w:t>
            </w:r>
          </w:p>
        </w:tc>
      </w:tr>
      <w:tr>
        <w:tc>
          <w:tcPr>
            <w:tcW w:type="dxa" w:w="1800"/>
          </w:tcPr>
          <w:p>
            <w:pPr>
              <w:spacing w:after="0"/>
            </w:pPr>
            <w:r/>
            <w:r>
              <w:rPr>
                <w:b w:val="0"/>
              </w:rPr>
              <w:t>HIS-SOP-AUDIT-001</w:t>
            </w:r>
          </w:p>
        </w:tc>
        <w:tc>
          <w:tcPr>
            <w:tcW w:type="dxa" w:w="3816"/>
          </w:tcPr>
          <w:p>
            <w:pPr>
              <w:spacing w:after="0"/>
            </w:pPr>
            <w:r/>
            <w:r>
              <w:rPr>
                <w:b w:val="0"/>
              </w:rPr>
              <w:t>KPI Dashboard, Weekly Audit &amp; Monthly Business Review</w:t>
            </w:r>
          </w:p>
        </w:tc>
        <w:tc>
          <w:tcPr>
            <w:tcW w:type="dxa" w:w="1080"/>
          </w:tcPr>
          <w:p>
            <w:pPr>
              <w:spacing w:after="0"/>
            </w:pPr>
            <w:r/>
            <w:r>
              <w:rPr>
                <w:b w:val="0"/>
              </w:rPr>
              <w:t>Wave 0</w:t>
            </w:r>
          </w:p>
        </w:tc>
        <w:tc>
          <w:tcPr>
            <w:tcW w:type="dxa" w:w="2232"/>
          </w:tcPr>
          <w:p>
            <w:pPr>
              <w:spacing w:after="0"/>
            </w:pPr>
            <w:r/>
            <w:r>
              <w:rPr>
                <w:b w:val="0"/>
              </w:rPr>
              <w:t>Role-based micro-training + acknowledgment</w:t>
            </w:r>
          </w:p>
        </w:tc>
        <w:tc>
          <w:tcPr>
            <w:tcW w:type="dxa" w:w="2088"/>
          </w:tcPr>
          <w:p>
            <w:pPr>
              <w:spacing w:after="0"/>
            </w:pPr>
            <w:r/>
            <w:r>
              <w:rPr>
                <w:b w:val="0"/>
              </w:rPr>
              <w:t>Adoption/audit score; role-specific KPI mapping</w:t>
            </w:r>
          </w:p>
        </w:tc>
      </w:tr>
      <w:tr>
        <w:tc>
          <w:tcPr>
            <w:tcW w:type="dxa" w:w="1800"/>
          </w:tcPr>
          <w:p>
            <w:pPr>
              <w:spacing w:after="0"/>
            </w:pPr>
            <w:r/>
            <w:r>
              <w:rPr>
                <w:b w:val="0"/>
              </w:rPr>
              <w:t>HIS-TRAIN-001</w:t>
            </w:r>
          </w:p>
        </w:tc>
        <w:tc>
          <w:tcPr>
            <w:tcW w:type="dxa" w:w="3816"/>
          </w:tcPr>
          <w:p>
            <w:pPr>
              <w:spacing w:after="0"/>
            </w:pPr>
            <w:r/>
            <w:r>
              <w:rPr>
                <w:b w:val="0"/>
              </w:rPr>
              <w:t>Role-Based Training Curriculum &amp; Certification Plan</w:t>
            </w:r>
          </w:p>
        </w:tc>
        <w:tc>
          <w:tcPr>
            <w:tcW w:type="dxa" w:w="1080"/>
          </w:tcPr>
          <w:p>
            <w:pPr>
              <w:spacing w:after="0"/>
            </w:pPr>
            <w:r/>
            <w:r>
              <w:rPr>
                <w:b w:val="0"/>
              </w:rPr>
              <w:t>Wave 4</w:t>
            </w:r>
          </w:p>
        </w:tc>
        <w:tc>
          <w:tcPr>
            <w:tcW w:type="dxa" w:w="2232"/>
          </w:tcPr>
          <w:p>
            <w:pPr>
              <w:spacing w:after="0"/>
            </w:pPr>
            <w:r/>
            <w:r>
              <w:rPr>
                <w:b w:val="0"/>
              </w:rPr>
              <w:t>Role-based micro-training + acknowledgment</w:t>
            </w:r>
          </w:p>
        </w:tc>
        <w:tc>
          <w:tcPr>
            <w:tcW w:type="dxa" w:w="2088"/>
          </w:tcPr>
          <w:p>
            <w:pPr>
              <w:spacing w:after="0"/>
            </w:pPr>
            <w:r/>
            <w:r>
              <w:rPr>
                <w:b w:val="0"/>
              </w:rPr>
              <w:t>Adoption/audit score; role-specific KPI mapping</w:t>
            </w:r>
          </w:p>
        </w:tc>
      </w:tr>
      <w:tr>
        <w:tc>
          <w:tcPr>
            <w:tcW w:type="dxa" w:w="1800"/>
          </w:tcPr>
          <w:p>
            <w:pPr>
              <w:spacing w:after="0"/>
            </w:pPr>
            <w:r/>
            <w:r>
              <w:rPr>
                <w:b w:val="0"/>
              </w:rPr>
              <w:t>HIS-TPL-001</w:t>
            </w:r>
          </w:p>
        </w:tc>
        <w:tc>
          <w:tcPr>
            <w:tcW w:type="dxa" w:w="3816"/>
          </w:tcPr>
          <w:p>
            <w:pPr>
              <w:spacing w:after="0"/>
            </w:pPr>
            <w:r/>
            <w:r>
              <w:rPr>
                <w:b w:val="0"/>
              </w:rPr>
              <w:t>Manager Acknowledgment, Audit Checklists &amp; Field Templates</w:t>
            </w:r>
          </w:p>
        </w:tc>
        <w:tc>
          <w:tcPr>
            <w:tcW w:type="dxa" w:w="1080"/>
          </w:tcPr>
          <w:p>
            <w:pPr>
              <w:spacing w:after="0"/>
            </w:pPr>
            <w:r/>
            <w:r>
              <w:rPr>
                <w:b w:val="0"/>
              </w:rPr>
              <w:t>Wave 4</w:t>
            </w:r>
          </w:p>
        </w:tc>
        <w:tc>
          <w:tcPr>
            <w:tcW w:type="dxa" w:w="2232"/>
          </w:tcPr>
          <w:p>
            <w:pPr>
              <w:spacing w:after="0"/>
            </w:pPr>
            <w:r/>
            <w:r>
              <w:rPr>
                <w:b w:val="0"/>
              </w:rPr>
              <w:t>Role-based micro-training + acknowledgment</w:t>
            </w:r>
          </w:p>
        </w:tc>
        <w:tc>
          <w:tcPr>
            <w:tcW w:type="dxa" w:w="2088"/>
          </w:tcPr>
          <w:p>
            <w:pPr>
              <w:spacing w:after="0"/>
            </w:pPr>
            <w:r/>
            <w:r>
              <w:rPr>
                <w:b w:val="0"/>
              </w:rPr>
              <w:t>Adoption/audit score; role-specific KPI mapping</w:t>
            </w:r>
          </w:p>
        </w:tc>
      </w:tr>
    </w:tbl>
    <w:p/>
    <w:p>
      <w:pPr>
        <w:pStyle w:val="Heading1"/>
      </w:pPr>
      <w:r>
        <w:t>13. Launch Communication to Team</w:t>
      </w:r>
    </w:p>
    <w:tbl>
      <w:tblPr>
        <w:tblStyle w:val="TableGrid"/>
        <w:tblW w:type="auto" w:w="0"/>
        <w:jc w:val="center"/>
        <w:tblLook w:firstColumn="1" w:firstRow="1" w:lastColumn="0" w:lastRow="0" w:noHBand="0" w:noVBand="1" w:val="04A0"/>
      </w:tblPr>
      <w:tblGrid>
        <w:gridCol w:w="10512"/>
      </w:tblGrid>
      <w:tr>
        <w:tc>
          <w:tcPr>
            <w:tcW w:type="dxa" w:w="10512"/>
            <w:vAlign w:val="top"/>
            <w:shd w:fill="FCE4D6"/>
          </w:tcPr>
          <w:p>
            <w:r/>
            <w:r>
              <w:rPr>
                <w:b/>
                <w:sz w:val="20"/>
              </w:rPr>
              <w:t>Suggested Announcement</w:t>
            </w:r>
          </w:p>
          <w:p>
            <w:r>
              <w:rPr>
                <w:sz w:val="18"/>
              </w:rPr>
              <w:t>Team,</w:t>
              <w:br/>
              <w:br/>
              <w:t>We are launching Hire'in's SOP operating framework in phases. This is not being introduced to create paperwork. The purpose is to reduce staffing chaos, improve requirement understanding, protect candidate trust, improve client communication, strengthen credential and document readiness, and help us fill roles faster with better quality.</w:t>
              <w:br/>
              <w:br/>
              <w:t>We will not release everything at once. Each SOP will be introduced with short training, practical examples, checklists and clear expectations. The first phase will focus only on the operating controls that matter most: requirement clarity, rate alignment, submission quality, approved tool usage and communication discipline.</w:t>
              <w:br/>
              <w:br/>
              <w:t>Managers will guide their teams through each phase. Employees will be asked to acknowledge only the SOPs relevant to their role after training. The first 30 days will focus on coaching and adoption. After that, SOP adherence will become part of scorecards, audits and performance expectations.</w:t>
              <w:br/>
              <w:br/>
              <w:t>Our goal is simple: clearer work, stronger candidates, better client trust and more consistent delivery.</w:t>
              <w:br/>
              <w:br/>
              <w:t>- Hire'in Leadership</w:t>
            </w:r>
          </w:p>
        </w:tc>
      </w:tr>
    </w:tbl>
    <w:p/>
    <w:p>
      <w:pPr>
        <w:pStyle w:val="Heading1"/>
      </w:pPr>
      <w:r>
        <w:t>14. Manager Launch Checklist</w:t>
      </w:r>
    </w:p>
    <w:p>
      <w:pPr>
        <w:pStyle w:val="ListBullet"/>
      </w:pPr>
      <w:r>
        <w:t>Attend leadership orientation before launching SOPs to the team.</w:t>
      </w:r>
    </w:p>
    <w:p>
      <w:pPr>
        <w:pStyle w:val="ListBullet"/>
      </w:pPr>
      <w:r>
        <w:t>Review only the SOPs assigned to your department and wave.</w:t>
      </w:r>
    </w:p>
    <w:p>
      <w:pPr>
        <w:pStyle w:val="ListBullet"/>
      </w:pPr>
      <w:r>
        <w:t>Explain the business reason before explaining the process.</w:t>
      </w:r>
    </w:p>
    <w:p>
      <w:pPr>
        <w:pStyle w:val="ListBullet"/>
      </w:pPr>
      <w:r>
        <w:t>Run one live example with the team, not just a slide/training document.</w:t>
      </w:r>
    </w:p>
    <w:p>
      <w:pPr>
        <w:pStyle w:val="ListBullet"/>
      </w:pPr>
      <w:r>
        <w:t>Confirm every impacted employee has completed training and acknowledgment.</w:t>
      </w:r>
    </w:p>
    <w:p>
      <w:pPr>
        <w:pStyle w:val="ListBullet"/>
      </w:pPr>
      <w:r>
        <w:t>Use weekly audits for coaching during the first 30 days.</w:t>
      </w:r>
    </w:p>
    <w:p>
      <w:pPr>
        <w:pStyle w:val="ListBullet"/>
      </w:pPr>
      <w:r>
        <w:t>Escalate real blockers early through the app workflow.</w:t>
      </w:r>
    </w:p>
    <w:p>
      <w:pPr>
        <w:pStyle w:val="ListBullet"/>
      </w:pPr>
      <w:r>
        <w:t>Do not create side processes or unofficial exceptions outside the approved system.</w:t>
      </w:r>
    </w:p>
    <w:p>
      <w:pPr>
        <w:pStyle w:val="ListBullet"/>
      </w:pPr>
      <w:r>
        <w:t>Capture improvement suggestions for Version 1.1 instead of delaying Version 1.0 rollout.</w:t>
      </w:r>
    </w:p>
    <w:p>
      <w:pPr>
        <w:pStyle w:val="Heading1"/>
      </w:pPr>
      <w:r>
        <w:t>15. KPIs to Prove the SOPs Are Valuable</w:t>
      </w:r>
    </w:p>
    <w:tbl>
      <w:tblPr>
        <w:tblStyle w:val="TableGrid"/>
        <w:tblW w:type="auto" w:w="0"/>
        <w:jc w:val="center"/>
        <w:tblLook w:firstColumn="1" w:firstRow="1" w:lastColumn="0" w:lastRow="0" w:noHBand="0" w:noVBand="1" w:val="04A0"/>
      </w:tblPr>
      <w:tblGrid>
        <w:gridCol w:w="3504"/>
        <w:gridCol w:w="3504"/>
        <w:gridCol w:w="3504"/>
      </w:tblGrid>
      <w:tr>
        <w:tc>
          <w:tcPr>
            <w:tcW w:type="dxa" w:w="3168"/>
            <w:vAlign w:val="top"/>
            <w:shd w:fill="1F4E79"/>
          </w:tcPr>
          <w:p>
            <w:pPr>
              <w:spacing w:after="0"/>
            </w:pPr>
            <w:r/>
            <w:r>
              <w:rPr>
                <w:b/>
                <w:color w:val="FFFFFF"/>
              </w:rPr>
              <w:t>KPI</w:t>
            </w:r>
          </w:p>
        </w:tc>
        <w:tc>
          <w:tcPr>
            <w:tcW w:type="dxa" w:w="2736"/>
            <w:vAlign w:val="top"/>
            <w:shd w:fill="1F4E79"/>
          </w:tcPr>
          <w:p>
            <w:pPr>
              <w:spacing w:after="0"/>
            </w:pPr>
            <w:r/>
            <w:r>
              <w:rPr>
                <w:b/>
                <w:color w:val="FFFFFF"/>
              </w:rPr>
              <w:t>Target / Direction</w:t>
            </w:r>
          </w:p>
        </w:tc>
        <w:tc>
          <w:tcPr>
            <w:tcW w:type="dxa" w:w="4608"/>
            <w:vAlign w:val="top"/>
            <w:shd w:fill="1F4E79"/>
          </w:tcPr>
          <w:p>
            <w:pPr>
              <w:spacing w:after="0"/>
            </w:pPr>
            <w:r/>
            <w:r>
              <w:rPr>
                <w:b/>
                <w:color w:val="FFFFFF"/>
              </w:rPr>
              <w:t>Why It Matters</w:t>
            </w:r>
          </w:p>
        </w:tc>
      </w:tr>
      <w:tr>
        <w:tc>
          <w:tcPr>
            <w:tcW w:type="dxa" w:w="3168"/>
          </w:tcPr>
          <w:p>
            <w:pPr>
              <w:spacing w:after="0"/>
            </w:pPr>
            <w:r/>
            <w:r>
              <w:rPr>
                <w:b w:val="0"/>
              </w:rPr>
              <w:t>Intake completeness score</w:t>
            </w:r>
          </w:p>
        </w:tc>
        <w:tc>
          <w:tcPr>
            <w:tcW w:type="dxa" w:w="2736"/>
          </w:tcPr>
          <w:p>
            <w:pPr>
              <w:spacing w:after="0"/>
            </w:pPr>
            <w:r/>
            <w:r>
              <w:rPr>
                <w:b w:val="0"/>
              </w:rPr>
              <w:t>90%+ after Wave 1</w:t>
            </w:r>
          </w:p>
        </w:tc>
        <w:tc>
          <w:tcPr>
            <w:tcW w:type="dxa" w:w="4608"/>
          </w:tcPr>
          <w:p>
            <w:pPr>
              <w:spacing w:after="0"/>
            </w:pPr>
            <w:r/>
            <w:r>
              <w:rPr>
                <w:b w:val="0"/>
              </w:rPr>
              <w:t>Prevents blind sourcing.</w:t>
            </w:r>
          </w:p>
        </w:tc>
      </w:tr>
      <w:tr>
        <w:tc>
          <w:tcPr>
            <w:tcW w:type="dxa" w:w="3168"/>
          </w:tcPr>
          <w:p>
            <w:pPr>
              <w:spacing w:after="0"/>
            </w:pPr>
            <w:r/>
            <w:r>
              <w:rPr>
                <w:b w:val="0"/>
              </w:rPr>
              <w:t>Submission QC pass rate</w:t>
            </w:r>
          </w:p>
        </w:tc>
        <w:tc>
          <w:tcPr>
            <w:tcW w:type="dxa" w:w="2736"/>
          </w:tcPr>
          <w:p>
            <w:pPr>
              <w:spacing w:after="0"/>
            </w:pPr>
            <w:r/>
            <w:r>
              <w:rPr>
                <w:b w:val="0"/>
              </w:rPr>
              <w:t>95%+ after Wave 2</w:t>
            </w:r>
          </w:p>
        </w:tc>
        <w:tc>
          <w:tcPr>
            <w:tcW w:type="dxa" w:w="4608"/>
          </w:tcPr>
          <w:p>
            <w:pPr>
              <w:spacing w:after="0"/>
            </w:pPr>
            <w:r/>
            <w:r>
              <w:rPr>
                <w:b w:val="0"/>
              </w:rPr>
              <w:t>Reduces client rejection and rework.</w:t>
            </w:r>
          </w:p>
        </w:tc>
      </w:tr>
      <w:tr>
        <w:tc>
          <w:tcPr>
            <w:tcW w:type="dxa" w:w="3168"/>
          </w:tcPr>
          <w:p>
            <w:pPr>
              <w:spacing w:after="0"/>
            </w:pPr>
            <w:r/>
            <w:r>
              <w:rPr>
                <w:b w:val="0"/>
              </w:rPr>
              <w:t>ATS same-day update rate</w:t>
            </w:r>
          </w:p>
        </w:tc>
        <w:tc>
          <w:tcPr>
            <w:tcW w:type="dxa" w:w="2736"/>
          </w:tcPr>
          <w:p>
            <w:pPr>
              <w:spacing w:after="0"/>
            </w:pPr>
            <w:r/>
            <w:r>
              <w:rPr>
                <w:b w:val="0"/>
              </w:rPr>
              <w:t>90%+</w:t>
            </w:r>
          </w:p>
        </w:tc>
        <w:tc>
          <w:tcPr>
            <w:tcW w:type="dxa" w:w="4608"/>
          </w:tcPr>
          <w:p>
            <w:pPr>
              <w:spacing w:after="0"/>
            </w:pPr>
            <w:r/>
            <w:r>
              <w:rPr>
                <w:b w:val="0"/>
              </w:rPr>
              <w:t>Improves visibility and manager control.</w:t>
            </w:r>
          </w:p>
        </w:tc>
      </w:tr>
      <w:tr>
        <w:tc>
          <w:tcPr>
            <w:tcW w:type="dxa" w:w="3168"/>
          </w:tcPr>
          <w:p>
            <w:pPr>
              <w:spacing w:after="0"/>
            </w:pPr>
            <w:r/>
            <w:r>
              <w:rPr>
                <w:b w:val="0"/>
              </w:rPr>
              <w:t>Candidate communication SLA adherence</w:t>
            </w:r>
          </w:p>
        </w:tc>
        <w:tc>
          <w:tcPr>
            <w:tcW w:type="dxa" w:w="2736"/>
          </w:tcPr>
          <w:p>
            <w:pPr>
              <w:spacing w:after="0"/>
            </w:pPr>
            <w:r/>
            <w:r>
              <w:rPr>
                <w:b w:val="0"/>
              </w:rPr>
              <w:t>90%+</w:t>
            </w:r>
          </w:p>
        </w:tc>
        <w:tc>
          <w:tcPr>
            <w:tcW w:type="dxa" w:w="4608"/>
          </w:tcPr>
          <w:p>
            <w:pPr>
              <w:spacing w:after="0"/>
            </w:pPr>
            <w:r/>
            <w:r>
              <w:rPr>
                <w:b w:val="0"/>
              </w:rPr>
              <w:t>Improves candidate experience and trust.</w:t>
            </w:r>
          </w:p>
        </w:tc>
      </w:tr>
      <w:tr>
        <w:tc>
          <w:tcPr>
            <w:tcW w:type="dxa" w:w="3168"/>
          </w:tcPr>
          <w:p>
            <w:pPr>
              <w:spacing w:after="0"/>
            </w:pPr>
            <w:r/>
            <w:r>
              <w:rPr>
                <w:b w:val="0"/>
              </w:rPr>
              <w:t>Credential packet completeness</w:t>
            </w:r>
          </w:p>
        </w:tc>
        <w:tc>
          <w:tcPr>
            <w:tcW w:type="dxa" w:w="2736"/>
          </w:tcPr>
          <w:p>
            <w:pPr>
              <w:spacing w:after="0"/>
            </w:pPr>
            <w:r/>
            <w:r>
              <w:rPr>
                <w:b w:val="0"/>
              </w:rPr>
              <w:t>95%+ for healthcare submissions</w:t>
            </w:r>
          </w:p>
        </w:tc>
        <w:tc>
          <w:tcPr>
            <w:tcW w:type="dxa" w:w="4608"/>
          </w:tcPr>
          <w:p>
            <w:pPr>
              <w:spacing w:after="0"/>
            </w:pPr>
            <w:r/>
            <w:r>
              <w:rPr>
                <w:b w:val="0"/>
              </w:rPr>
              <w:t>Supports compliance and faster onboarding.</w:t>
            </w:r>
          </w:p>
        </w:tc>
      </w:tr>
      <w:tr>
        <w:tc>
          <w:tcPr>
            <w:tcW w:type="dxa" w:w="3168"/>
          </w:tcPr>
          <w:p>
            <w:pPr>
              <w:spacing w:after="0"/>
            </w:pPr>
            <w:r/>
            <w:r>
              <w:rPr>
                <w:b w:val="0"/>
              </w:rPr>
              <w:t>ProKred adoption for applicable candidates</w:t>
            </w:r>
          </w:p>
        </w:tc>
        <w:tc>
          <w:tcPr>
            <w:tcW w:type="dxa" w:w="2736"/>
          </w:tcPr>
          <w:p>
            <w:pPr>
              <w:spacing w:after="0"/>
            </w:pPr>
            <w:r/>
            <w:r>
              <w:rPr>
                <w:b w:val="0"/>
              </w:rPr>
              <w:t>Track adoption, not forced usage</w:t>
            </w:r>
          </w:p>
        </w:tc>
        <w:tc>
          <w:tcPr>
            <w:tcW w:type="dxa" w:w="4608"/>
          </w:tcPr>
          <w:p>
            <w:pPr>
              <w:spacing w:after="0"/>
            </w:pPr>
            <w:r/>
            <w:r>
              <w:rPr>
                <w:b w:val="0"/>
              </w:rPr>
              <w:t>Measures candidate-side platform acceptance.</w:t>
            </w:r>
          </w:p>
        </w:tc>
      </w:tr>
      <w:tr>
        <w:tc>
          <w:tcPr>
            <w:tcW w:type="dxa" w:w="3168"/>
          </w:tcPr>
          <w:p>
            <w:pPr>
              <w:spacing w:after="0"/>
            </w:pPr>
            <w:r/>
            <w:r>
              <w:rPr>
                <w:b w:val="0"/>
              </w:rPr>
              <w:t>Rate/margin exception approvals documented</w:t>
            </w:r>
          </w:p>
        </w:tc>
        <w:tc>
          <w:tcPr>
            <w:tcW w:type="dxa" w:w="2736"/>
          </w:tcPr>
          <w:p>
            <w:pPr>
              <w:spacing w:after="0"/>
            </w:pPr>
            <w:r/>
            <w:r>
              <w:rPr>
                <w:b w:val="0"/>
              </w:rPr>
              <w:t>100%</w:t>
            </w:r>
          </w:p>
        </w:tc>
        <w:tc>
          <w:tcPr>
            <w:tcW w:type="dxa" w:w="4608"/>
          </w:tcPr>
          <w:p>
            <w:pPr>
              <w:spacing w:after="0"/>
            </w:pPr>
            <w:r/>
            <w:r>
              <w:rPr>
                <w:b w:val="0"/>
              </w:rPr>
              <w:t>Protects profitability.</w:t>
            </w:r>
          </w:p>
        </w:tc>
      </w:tr>
      <w:tr>
        <w:tc>
          <w:tcPr>
            <w:tcW w:type="dxa" w:w="3168"/>
          </w:tcPr>
          <w:p>
            <w:pPr>
              <w:spacing w:after="0"/>
            </w:pPr>
            <w:r/>
            <w:r>
              <w:rPr>
                <w:b w:val="0"/>
              </w:rPr>
              <w:t>Access removal on exit</w:t>
            </w:r>
          </w:p>
        </w:tc>
        <w:tc>
          <w:tcPr>
            <w:tcW w:type="dxa" w:w="2736"/>
          </w:tcPr>
          <w:p>
            <w:pPr>
              <w:spacing w:after="0"/>
            </w:pPr>
            <w:r/>
            <w:r>
              <w:rPr>
                <w:b w:val="0"/>
              </w:rPr>
              <w:t>Same day</w:t>
            </w:r>
          </w:p>
        </w:tc>
        <w:tc>
          <w:tcPr>
            <w:tcW w:type="dxa" w:w="4608"/>
          </w:tcPr>
          <w:p>
            <w:pPr>
              <w:spacing w:after="0"/>
            </w:pPr>
            <w:r/>
            <w:r>
              <w:rPr>
                <w:b w:val="0"/>
              </w:rPr>
              <w:t>Protects company accounts and data.</w:t>
            </w:r>
          </w:p>
        </w:tc>
      </w:tr>
      <w:tr>
        <w:tc>
          <w:tcPr>
            <w:tcW w:type="dxa" w:w="3168"/>
          </w:tcPr>
          <w:p>
            <w:pPr>
              <w:spacing w:after="0"/>
            </w:pPr>
            <w:r/>
            <w:r>
              <w:rPr>
                <w:b w:val="0"/>
              </w:rPr>
              <w:t>Training completion</w:t>
            </w:r>
          </w:p>
        </w:tc>
        <w:tc>
          <w:tcPr>
            <w:tcW w:type="dxa" w:w="2736"/>
          </w:tcPr>
          <w:p>
            <w:pPr>
              <w:spacing w:after="0"/>
            </w:pPr>
            <w:r/>
            <w:r>
              <w:rPr>
                <w:b w:val="0"/>
              </w:rPr>
              <w:t>95%+ by due date</w:t>
            </w:r>
          </w:p>
        </w:tc>
        <w:tc>
          <w:tcPr>
            <w:tcW w:type="dxa" w:w="4608"/>
          </w:tcPr>
          <w:p>
            <w:pPr>
              <w:spacing w:after="0"/>
            </w:pPr>
            <w:r/>
            <w:r>
              <w:rPr>
                <w:b w:val="0"/>
              </w:rPr>
              <w:t>Ensures employees know expectations.</w:t>
            </w:r>
          </w:p>
        </w:tc>
      </w:tr>
      <w:tr>
        <w:tc>
          <w:tcPr>
            <w:tcW w:type="dxa" w:w="3168"/>
          </w:tcPr>
          <w:p>
            <w:pPr>
              <w:spacing w:after="0"/>
            </w:pPr>
            <w:r/>
            <w:r>
              <w:rPr>
                <w:b w:val="0"/>
              </w:rPr>
              <w:t>Audit findings closed on time</w:t>
            </w:r>
          </w:p>
        </w:tc>
        <w:tc>
          <w:tcPr>
            <w:tcW w:type="dxa" w:w="2736"/>
          </w:tcPr>
          <w:p>
            <w:pPr>
              <w:spacing w:after="0"/>
            </w:pPr>
            <w:r/>
            <w:r>
              <w:rPr>
                <w:b w:val="0"/>
              </w:rPr>
              <w:t>90%+</w:t>
            </w:r>
          </w:p>
        </w:tc>
        <w:tc>
          <w:tcPr>
            <w:tcW w:type="dxa" w:w="4608"/>
          </w:tcPr>
          <w:p>
            <w:pPr>
              <w:spacing w:after="0"/>
            </w:pPr>
            <w:r/>
            <w:r>
              <w:rPr>
                <w:b w:val="0"/>
              </w:rPr>
              <w:t>Turns process gaps into action.</w:t>
            </w:r>
          </w:p>
        </w:tc>
      </w:tr>
    </w:tbl>
    <w:p/>
    <w:p>
      <w:pPr>
        <w:pStyle w:val="Heading1"/>
      </w:pPr>
      <w:r>
        <w:t>16. Source and Standards Alignment</w:t>
      </w:r>
    </w:p>
    <w:p>
      <w:r>
        <w:t>This playbook is aligned with Hire'in internal positioning, healthcare delivery deck themes, current HireHR multi-portal architecture, and selected external staffing/HR/security standards. External standards should be treated as guidance, not legal advice.</w:t>
      </w:r>
    </w:p>
    <w:tbl>
      <w:tblPr>
        <w:tblStyle w:val="TableGrid"/>
        <w:tblW w:type="auto" w:w="0"/>
        <w:jc w:val="center"/>
        <w:tblLook w:firstColumn="1" w:firstRow="1" w:lastColumn="0" w:lastRow="0" w:noHBand="0" w:noVBand="1" w:val="04A0"/>
      </w:tblPr>
      <w:tblGrid>
        <w:gridCol w:w="5256"/>
        <w:gridCol w:w="5256"/>
      </w:tblGrid>
      <w:tr>
        <w:tc>
          <w:tcPr>
            <w:tcW w:type="dxa" w:w="3528"/>
            <w:vAlign w:val="top"/>
            <w:shd w:fill="1F4E79"/>
          </w:tcPr>
          <w:p>
            <w:pPr>
              <w:spacing w:after="0"/>
            </w:pPr>
            <w:r/>
            <w:r>
              <w:rPr>
                <w:b/>
                <w:color w:val="FFFFFF"/>
              </w:rPr>
              <w:t>Source / Standard</w:t>
            </w:r>
          </w:p>
        </w:tc>
        <w:tc>
          <w:tcPr>
            <w:tcW w:type="dxa" w:w="6984"/>
            <w:vAlign w:val="top"/>
            <w:shd w:fill="1F4E79"/>
          </w:tcPr>
          <w:p>
            <w:pPr>
              <w:spacing w:after="0"/>
            </w:pPr>
            <w:r/>
            <w:r>
              <w:rPr>
                <w:b/>
                <w:color w:val="FFFFFF"/>
              </w:rPr>
              <w:t>How It Supports This Playbook</w:t>
            </w:r>
          </w:p>
        </w:tc>
      </w:tr>
      <w:tr>
        <w:tc>
          <w:tcPr>
            <w:tcW w:type="dxa" w:w="3528"/>
          </w:tcPr>
          <w:p>
            <w:pPr>
              <w:spacing w:after="0"/>
            </w:pPr>
            <w:r/>
            <w:r>
              <w:rPr>
                <w:b w:val="0"/>
              </w:rPr>
              <w:t>Hire'in Healthcare Staffing Capability Deck</w:t>
            </w:r>
          </w:p>
        </w:tc>
        <w:tc>
          <w:tcPr>
            <w:tcW w:type="dxa" w:w="6984"/>
          </w:tcPr>
          <w:p>
            <w:pPr>
              <w:spacing w:after="0"/>
            </w:pPr>
            <w:r/>
            <w:r>
              <w:rPr>
                <w:b w:val="0"/>
              </w:rPr>
              <w:t>Supports intake calibration, credential-aware screening, submission QC, MSP/VMS readiness, pipeline visibility and interview-to-start follow-through.</w:t>
            </w:r>
          </w:p>
        </w:tc>
      </w:tr>
      <w:tr>
        <w:tc>
          <w:tcPr>
            <w:tcW w:type="dxa" w:w="3528"/>
          </w:tcPr>
          <w:p>
            <w:pPr>
              <w:spacing w:after="0"/>
            </w:pPr>
            <w:r/>
            <w:r>
              <w:rPr>
                <w:b w:val="0"/>
              </w:rPr>
              <w:t>HireHR Multi-Portal Architecture</w:t>
            </w:r>
          </w:p>
        </w:tc>
        <w:tc>
          <w:tcPr>
            <w:tcW w:type="dxa" w:w="6984"/>
          </w:tcPr>
          <w:p>
            <w:pPr>
              <w:spacing w:after="0"/>
            </w:pPr>
            <w:r/>
            <w:r>
              <w:rPr>
                <w:b w:val="0"/>
              </w:rPr>
              <w:t>Supports centralized auth, RBAC, audit logs and a shared app foundation for SOP workflow and training.</w:t>
            </w:r>
          </w:p>
        </w:tc>
      </w:tr>
      <w:tr>
        <w:tc>
          <w:tcPr>
            <w:tcW w:type="dxa" w:w="3528"/>
          </w:tcPr>
          <w:p>
            <w:pPr>
              <w:spacing w:after="0"/>
            </w:pPr>
            <w:r/>
            <w:r>
              <w:rPr>
                <w:b w:val="0"/>
              </w:rPr>
              <w:t>ASA Code of Ethics</w:t>
            </w:r>
          </w:p>
        </w:tc>
        <w:tc>
          <w:tcPr>
            <w:tcW w:type="dxa" w:w="6984"/>
          </w:tcPr>
          <w:p>
            <w:pPr>
              <w:spacing w:after="0"/>
            </w:pPr>
            <w:r/>
            <w:r>
              <w:rPr>
                <w:b w:val="0"/>
              </w:rPr>
              <w:t>Supports ethical staffing, dignity/respect, lawful conduct and qualified placements.</w:t>
            </w:r>
          </w:p>
        </w:tc>
      </w:tr>
      <w:tr>
        <w:tc>
          <w:tcPr>
            <w:tcW w:type="dxa" w:w="3528"/>
          </w:tcPr>
          <w:p>
            <w:pPr>
              <w:spacing w:after="0"/>
            </w:pPr>
            <w:r/>
            <w:r>
              <w:rPr>
                <w:b w:val="0"/>
              </w:rPr>
              <w:t>ASA Search and Placement Code</w:t>
            </w:r>
          </w:p>
        </w:tc>
        <w:tc>
          <w:tcPr>
            <w:tcW w:type="dxa" w:w="6984"/>
          </w:tcPr>
          <w:p>
            <w:pPr>
              <w:spacing w:after="0"/>
            </w:pPr>
            <w:r/>
            <w:r>
              <w:rPr>
                <w:b w:val="0"/>
              </w:rPr>
              <w:t>Supports candidate confidentiality and client confidentiality.</w:t>
            </w:r>
          </w:p>
        </w:tc>
      </w:tr>
      <w:tr>
        <w:tc>
          <w:tcPr>
            <w:tcW w:type="dxa" w:w="3528"/>
          </w:tcPr>
          <w:p>
            <w:pPr>
              <w:spacing w:after="0"/>
            </w:pPr>
            <w:r/>
            <w:r>
              <w:rPr>
                <w:b w:val="0"/>
              </w:rPr>
              <w:t>SHRM Policy Acknowledgment Guidance</w:t>
            </w:r>
          </w:p>
        </w:tc>
        <w:tc>
          <w:tcPr>
            <w:tcW w:type="dxa" w:w="6984"/>
          </w:tcPr>
          <w:p>
            <w:pPr>
              <w:spacing w:after="0"/>
            </w:pPr>
            <w:r/>
            <w:r>
              <w:rPr>
                <w:b w:val="0"/>
              </w:rPr>
              <w:t>Supports employee acknowledgment of policies/SOPs after publication and training.</w:t>
            </w:r>
          </w:p>
        </w:tc>
      </w:tr>
      <w:tr>
        <w:tc>
          <w:tcPr>
            <w:tcW w:type="dxa" w:w="3528"/>
          </w:tcPr>
          <w:p>
            <w:pPr>
              <w:spacing w:after="0"/>
            </w:pPr>
            <w:r/>
            <w:r>
              <w:rPr>
                <w:b w:val="0"/>
              </w:rPr>
              <w:t>NIST Least Privilege AC-6</w:t>
            </w:r>
          </w:p>
        </w:tc>
        <w:tc>
          <w:tcPr>
            <w:tcW w:type="dxa" w:w="6984"/>
          </w:tcPr>
          <w:p>
            <w:pPr>
              <w:spacing w:after="0"/>
            </w:pPr>
            <w:r/>
            <w:r>
              <w:rPr>
                <w:b w:val="0"/>
              </w:rPr>
              <w:t>Supports role-based access and tool deprovisioning standards.</w:t>
            </w:r>
          </w:p>
        </w:tc>
      </w:tr>
      <w:tr>
        <w:tc>
          <w:tcPr>
            <w:tcW w:type="dxa" w:w="3528"/>
          </w:tcPr>
          <w:p>
            <w:pPr>
              <w:spacing w:after="0"/>
            </w:pPr>
            <w:r/>
            <w:r>
              <w:rPr>
                <w:b w:val="0"/>
              </w:rPr>
              <w:t>EEOC Selection Procedure Guidance</w:t>
            </w:r>
          </w:p>
        </w:tc>
        <w:tc>
          <w:tcPr>
            <w:tcW w:type="dxa" w:w="6984"/>
          </w:tcPr>
          <w:p>
            <w:pPr>
              <w:spacing w:after="0"/>
            </w:pPr>
            <w:r/>
            <w:r>
              <w:rPr>
                <w:b w:val="0"/>
              </w:rPr>
              <w:t>Supports job-related and consistent selection/screening practices.</w:t>
            </w:r>
          </w:p>
        </w:tc>
      </w:tr>
    </w:tbl>
    <w:p/>
    <w:p>
      <w:pPr>
        <w:pStyle w:val="Heading1"/>
      </w:pPr>
      <w:r>
        <w:t>17. CEO Decision Needed</w:t>
      </w:r>
    </w:p>
    <w:p>
      <w:pPr>
        <w:pStyle w:val="ListBullet"/>
      </w:pPr>
      <w:r>
        <w:t>Approve the 21-SOP library as the Version 1.0 baseline.</w:t>
      </w:r>
    </w:p>
    <w:p>
      <w:pPr>
        <w:pStyle w:val="ListBullet"/>
      </w:pPr>
      <w:r>
        <w:t>Approve the wave-based rollout instead of one-time mass rollout.</w:t>
      </w:r>
    </w:p>
    <w:p>
      <w:pPr>
        <w:pStyle w:val="ListBullet"/>
      </w:pPr>
      <w:r>
        <w:t>Confirm KleriQ.ai and ProKred.com positioning as independent SaaS platforms used by Hire'in in pilot/design-partner workflows.</w:t>
      </w:r>
    </w:p>
    <w:p>
      <w:pPr>
        <w:pStyle w:val="ListBullet"/>
      </w:pPr>
      <w:r>
        <w:t>Authorize development team to build SOP governance using the existing central workflow service, not a duplicated SOP approval engine.</w:t>
      </w:r>
    </w:p>
    <w:p>
      <w:pPr>
        <w:pStyle w:val="ListBullet"/>
      </w:pPr>
      <w:r>
        <w:t>Set Wave 1 go-live date and first 30-day coaching window.</w:t>
      </w:r>
    </w:p>
    <w:p>
      <w:pPr>
        <w:pStyle w:val="ListBullet"/>
      </w:pPr>
      <w:r>
        <w:t>Require managers to report adoption weekly using the SOP dashboard once built.</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Hire'in Solutions - Internal Operating Document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