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eastAsia="Aptos Display"/>
          <w:b/>
          <w:color w:val="1F4E79"/>
          <w:sz w:val="36"/>
        </w:rPr>
        <w:t>90-Day Healthcare Recruiting Growth Review Plan</w:t>
      </w:r>
    </w:p>
    <w:p>
      <w:pPr>
        <w:jc w:val="center"/>
      </w:pPr>
      <w:r>
        <w:rPr>
          <w:b/>
          <w:color w:val="595959"/>
          <w:sz w:val="21"/>
        </w:rPr>
        <w:t>Senior / Foundation Team Member Review Framework</w:t>
      </w:r>
    </w:p>
    <w:tbl>
      <w:tblPr>
        <w:tblStyle w:val="TableGrid"/>
        <w:tblW w:type="auto" w:w="0"/>
        <w:tblLook w:firstColumn="1" w:firstRow="1" w:lastColumn="0" w:lastRow="0" w:noHBand="0" w:noVBand="1" w:val="04A0"/>
      </w:tblPr>
      <w:tblGrid>
        <w:gridCol w:w="10656"/>
      </w:tblGrid>
      <w:tr>
        <w:tc>
          <w:tcPr>
            <w:tcW w:type="dxa" w:w="10656"/>
            <w:shd w:fill="EAF2F8"/>
          </w:tcPr>
          <w:p>
            <w:pPr>
              <w:spacing w:after="0"/>
            </w:pPr>
            <w:r/>
            <w:r>
              <w:rPr>
                <w:rFonts w:ascii="Aptos" w:hAnsi="Aptos" w:eastAsia="Aptos"/>
                <w:b w:val="0"/>
                <w:sz w:val="17"/>
              </w:rPr>
              <w:t>Purpose: This document defines the next 90-day growth review for a high-performing healthcare recruiter. It is not a probation plan or disciplinary document. It is a structured review to evaluate readiness for the next compensation band and senior-level ownership.</w:t>
            </w:r>
          </w:p>
        </w:tc>
      </w:tr>
    </w:tbl>
    <w:p/>
    <w:tbl>
      <w:tblPr>
        <w:tblStyle w:val="TableGrid"/>
        <w:tblW w:type="auto" w:w="0"/>
        <w:jc w:val="center"/>
        <w:tblLayout w:type="autofit"/>
        <w:tblLook w:firstColumn="1" w:firstRow="1" w:lastColumn="0" w:lastRow="0" w:noHBand="0" w:noVBand="1" w:val="04A0"/>
      </w:tblPr>
      <w:tblGrid>
        <w:gridCol w:w="5328"/>
        <w:gridCol w:w="5328"/>
      </w:tblGrid>
      <w:tr>
        <w:tc>
          <w:tcPr>
            <w:tcW w:type="dxa" w:w="2448"/>
            <w:shd w:fill="1F4E79"/>
            <w:vAlign w:val="center"/>
            <w:tcMar>
              <w:top w:w="80" w:type="dxa"/>
              <w:left w:w="80" w:type="dxa"/>
              <w:bottom w:w="80" w:type="dxa"/>
              <w:right w:w="80" w:type="dxa"/>
            </w:tcMar>
            <w:shd w:fill="1F4E79"/>
          </w:tcPr>
          <w:p>
            <w:pPr>
              <w:spacing w:after="0"/>
            </w:pPr>
            <w:r>
              <w:rPr>
                <w:b/>
                <w:color w:val="FFFFFF"/>
              </w:rPr>
            </w:r>
            <w:r>
              <w:rPr>
                <w:rFonts w:ascii="Aptos" w:hAnsi="Aptos" w:eastAsia="Aptos"/>
                <w:b/>
                <w:color w:val="FFFFFF"/>
                <w:sz w:val="16"/>
              </w:rPr>
              <w:t>Item</w:t>
            </w:r>
          </w:p>
        </w:tc>
        <w:tc>
          <w:tcPr>
            <w:tcW w:type="dxa" w:w="8352"/>
            <w:shd w:fill="1F4E79"/>
            <w:vAlign w:val="center"/>
            <w:tcMar>
              <w:top w:w="80" w:type="dxa"/>
              <w:left w:w="80" w:type="dxa"/>
              <w:bottom w:w="80" w:type="dxa"/>
              <w:right w:w="80" w:type="dxa"/>
            </w:tcMar>
            <w:shd w:fill="1F4E79"/>
          </w:tcPr>
          <w:p>
            <w:pPr>
              <w:spacing w:after="0"/>
            </w:pPr>
            <w:r>
              <w:rPr>
                <w:b/>
                <w:color w:val="FFFFFF"/>
              </w:rPr>
            </w:r>
            <w:r>
              <w:rPr>
                <w:rFonts w:ascii="Aptos" w:hAnsi="Aptos" w:eastAsia="Aptos"/>
                <w:b/>
                <w:color w:val="FFFFFF"/>
                <w:sz w:val="16"/>
              </w:rPr>
              <w:t>Decision / Expectation</w:t>
            </w:r>
          </w:p>
        </w:tc>
      </w:tr>
      <w:tr>
        <w:tc>
          <w:tcPr>
            <w:tcW w:type="dxa" w:w="2448"/>
            <w:vAlign w:val="center"/>
            <w:tcMar>
              <w:top w:w="80" w:type="dxa"/>
              <w:left w:w="80" w:type="dxa"/>
              <w:bottom w:w="80" w:type="dxa"/>
              <w:right w:w="80" w:type="dxa"/>
            </w:tcMar>
          </w:tcPr>
          <w:p>
            <w:pPr>
              <w:spacing w:after="0"/>
            </w:pPr>
            <w:r/>
            <w:r>
              <w:rPr>
                <w:rFonts w:ascii="Aptos" w:hAnsi="Aptos" w:eastAsia="Aptos"/>
                <w:b w:val="0"/>
                <w:sz w:val="16"/>
              </w:rPr>
              <w:t>Current approved salary revision</w:t>
            </w:r>
          </w:p>
        </w:tc>
        <w:tc>
          <w:tcPr>
            <w:tcW w:type="dxa" w:w="8352"/>
            <w:vAlign w:val="center"/>
            <w:tcMar>
              <w:top w:w="80" w:type="dxa"/>
              <w:left w:w="80" w:type="dxa"/>
              <w:bottom w:w="80" w:type="dxa"/>
              <w:right w:w="80" w:type="dxa"/>
            </w:tcMar>
          </w:tcPr>
          <w:p>
            <w:pPr>
              <w:spacing w:after="0"/>
            </w:pPr>
            <w:r/>
            <w:r>
              <w:rPr>
                <w:rFonts w:ascii="Aptos" w:hAnsi="Aptos" w:eastAsia="Aptos"/>
                <w:b w:val="0"/>
                <w:sz w:val="16"/>
              </w:rPr>
              <w:t>Fixed salary revised to ₹50,000/month effective immediately.</w:t>
            </w:r>
          </w:p>
        </w:tc>
      </w:tr>
      <w:tr>
        <w:tc>
          <w:tcPr>
            <w:tcW w:type="dxa" w:w="2448"/>
            <w:vAlign w:val="center"/>
            <w:tcMar>
              <w:top w:w="80" w:type="dxa"/>
              <w:left w:w="80" w:type="dxa"/>
              <w:bottom w:w="80" w:type="dxa"/>
              <w:right w:w="80" w:type="dxa"/>
            </w:tcMar>
          </w:tcPr>
          <w:p>
            <w:pPr>
              <w:spacing w:after="0"/>
            </w:pPr>
            <w:r/>
            <w:r>
              <w:rPr>
                <w:rFonts w:ascii="Aptos" w:hAnsi="Aptos" w:eastAsia="Aptos"/>
                <w:b w:val="0"/>
                <w:sz w:val="16"/>
              </w:rPr>
              <w:t>Review period</w:t>
            </w:r>
          </w:p>
        </w:tc>
        <w:tc>
          <w:tcPr>
            <w:tcW w:type="dxa" w:w="8352"/>
            <w:vAlign w:val="center"/>
            <w:tcMar>
              <w:top w:w="80" w:type="dxa"/>
              <w:left w:w="80" w:type="dxa"/>
              <w:bottom w:w="80" w:type="dxa"/>
              <w:right w:w="80" w:type="dxa"/>
            </w:tcMar>
          </w:tcPr>
          <w:p>
            <w:pPr>
              <w:spacing w:after="0"/>
            </w:pPr>
            <w:r/>
            <w:r>
              <w:rPr>
                <w:rFonts w:ascii="Aptos" w:hAnsi="Aptos" w:eastAsia="Aptos"/>
                <w:b w:val="0"/>
                <w:sz w:val="16"/>
              </w:rPr>
              <w:t>90 calendar days from restart/effective date.</w:t>
            </w:r>
          </w:p>
        </w:tc>
      </w:tr>
      <w:tr>
        <w:tc>
          <w:tcPr>
            <w:tcW w:type="dxa" w:w="2448"/>
            <w:vAlign w:val="center"/>
            <w:tcMar>
              <w:top w:w="80" w:type="dxa"/>
              <w:left w:w="80" w:type="dxa"/>
              <w:bottom w:w="80" w:type="dxa"/>
              <w:right w:w="80" w:type="dxa"/>
            </w:tcMar>
          </w:tcPr>
          <w:p>
            <w:pPr>
              <w:spacing w:after="0"/>
            </w:pPr>
            <w:r/>
            <w:r>
              <w:rPr>
                <w:rFonts w:ascii="Aptos" w:hAnsi="Aptos" w:eastAsia="Aptos"/>
                <w:b w:val="0"/>
                <w:sz w:val="16"/>
              </w:rPr>
              <w:t>Review type</w:t>
            </w:r>
          </w:p>
        </w:tc>
        <w:tc>
          <w:tcPr>
            <w:tcW w:type="dxa" w:w="8352"/>
            <w:vAlign w:val="center"/>
            <w:tcMar>
              <w:top w:w="80" w:type="dxa"/>
              <w:left w:w="80" w:type="dxa"/>
              <w:bottom w:w="80" w:type="dxa"/>
              <w:right w:w="80" w:type="dxa"/>
            </w:tcMar>
          </w:tcPr>
          <w:p>
            <w:pPr>
              <w:spacing w:after="0"/>
            </w:pPr>
            <w:r/>
            <w:r>
              <w:rPr>
                <w:rFonts w:ascii="Aptos" w:hAnsi="Aptos" w:eastAsia="Aptos"/>
                <w:b w:val="0"/>
                <w:sz w:val="16"/>
              </w:rPr>
              <w:t>Structured growth review; not an automatic salary increase.</w:t>
            </w:r>
          </w:p>
        </w:tc>
      </w:tr>
      <w:tr>
        <w:tc>
          <w:tcPr>
            <w:tcW w:type="dxa" w:w="2448"/>
            <w:vAlign w:val="center"/>
            <w:tcMar>
              <w:top w:w="80" w:type="dxa"/>
              <w:left w:w="80" w:type="dxa"/>
              <w:bottom w:w="80" w:type="dxa"/>
              <w:right w:w="80" w:type="dxa"/>
            </w:tcMar>
          </w:tcPr>
          <w:p>
            <w:pPr>
              <w:spacing w:after="0"/>
            </w:pPr>
            <w:r/>
            <w:r>
              <w:rPr>
                <w:rFonts w:ascii="Aptos" w:hAnsi="Aptos" w:eastAsia="Aptos"/>
                <w:b w:val="0"/>
                <w:sz w:val="16"/>
              </w:rPr>
              <w:t>Potential next band</w:t>
            </w:r>
          </w:p>
        </w:tc>
        <w:tc>
          <w:tcPr>
            <w:tcW w:type="dxa" w:w="8352"/>
            <w:vAlign w:val="center"/>
            <w:tcMar>
              <w:top w:w="80" w:type="dxa"/>
              <w:left w:w="80" w:type="dxa"/>
              <w:bottom w:w="80" w:type="dxa"/>
              <w:right w:w="80" w:type="dxa"/>
            </w:tcMar>
          </w:tcPr>
          <w:p>
            <w:pPr>
              <w:spacing w:after="0"/>
            </w:pPr>
            <w:r/>
            <w:r>
              <w:rPr>
                <w:rFonts w:ascii="Aptos" w:hAnsi="Aptos" w:eastAsia="Aptos"/>
                <w:b w:val="0"/>
                <w:sz w:val="16"/>
              </w:rPr>
              <w:t>₹55,000–₹60,000 may be reviewed first if performance, ownership, and desk economics support it. ₹65,000 is reserved for consistent senior/lead-level ownership.</w:t>
            </w:r>
          </w:p>
        </w:tc>
      </w:tr>
      <w:tr>
        <w:tc>
          <w:tcPr>
            <w:tcW w:type="dxa" w:w="2448"/>
            <w:vAlign w:val="center"/>
            <w:tcMar>
              <w:top w:w="80" w:type="dxa"/>
              <w:left w:w="80" w:type="dxa"/>
              <w:bottom w:w="80" w:type="dxa"/>
              <w:right w:w="80" w:type="dxa"/>
            </w:tcMar>
          </w:tcPr>
          <w:p>
            <w:pPr>
              <w:spacing w:after="0"/>
            </w:pPr>
            <w:r/>
            <w:r>
              <w:rPr>
                <w:rFonts w:ascii="Aptos" w:hAnsi="Aptos" w:eastAsia="Aptos"/>
                <w:b w:val="0"/>
                <w:sz w:val="16"/>
              </w:rPr>
              <w:t>Primary review lens</w:t>
            </w:r>
          </w:p>
        </w:tc>
        <w:tc>
          <w:tcPr>
            <w:tcW w:type="dxa" w:w="8352"/>
            <w:vAlign w:val="center"/>
            <w:tcMar>
              <w:top w:w="80" w:type="dxa"/>
              <w:left w:w="80" w:type="dxa"/>
              <w:bottom w:w="80" w:type="dxa"/>
              <w:right w:w="80" w:type="dxa"/>
            </w:tcMar>
          </w:tcPr>
          <w:p>
            <w:pPr>
              <w:spacing w:after="0"/>
            </w:pPr>
            <w:r/>
            <w:r>
              <w:rPr>
                <w:rFonts w:ascii="Aptos" w:hAnsi="Aptos" w:eastAsia="Aptos"/>
                <w:b w:val="0"/>
                <w:sz w:val="16"/>
              </w:rPr>
              <w:t>Retained placements, quality, conversion, communication, sourcer coordination, confidentiality, and full healthcare desk economics.</w:t>
            </w:r>
          </w:p>
        </w:tc>
      </w:tr>
    </w:tbl>
    <w:p/>
    <w:p>
      <w:pPr>
        <w:pStyle w:val="Heading1"/>
      </w:pPr>
      <w:r>
        <w:t>Current Performance Context</w:t>
      </w:r>
    </w:p>
    <w:tbl>
      <w:tblPr>
        <w:tblStyle w:val="TableGrid"/>
        <w:tblW w:type="auto" w:w="0"/>
        <w:jc w:val="center"/>
        <w:tblLayout w:type="autofit"/>
        <w:tblLook w:firstColumn="1" w:firstRow="1" w:lastColumn="0" w:lastRow="0" w:noHBand="0" w:noVBand="1" w:val="04A0"/>
      </w:tblPr>
      <w:tblGrid>
        <w:gridCol w:w="3552"/>
        <w:gridCol w:w="3552"/>
        <w:gridCol w:w="3552"/>
      </w:tblGrid>
      <w:tr>
        <w:tc>
          <w:tcPr>
            <w:tcW w:type="dxa" w:w="2088"/>
            <w:shd w:fill="1F4E79"/>
            <w:vAlign w:val="center"/>
            <w:tcMar>
              <w:top w:w="80" w:type="dxa"/>
              <w:left w:w="80" w:type="dxa"/>
              <w:bottom w:w="80" w:type="dxa"/>
              <w:right w:w="80" w:type="dxa"/>
            </w:tcMar>
            <w:shd w:fill="1F4E79"/>
          </w:tcPr>
          <w:p>
            <w:pPr>
              <w:spacing w:after="0"/>
            </w:pPr>
            <w:r>
              <w:rPr>
                <w:b/>
                <w:color w:val="FFFFFF"/>
              </w:rPr>
            </w:r>
            <w:r>
              <w:rPr>
                <w:rFonts w:ascii="Aptos" w:hAnsi="Aptos" w:eastAsia="Aptos"/>
                <w:b/>
                <w:color w:val="FFFFFF"/>
                <w:sz w:val="16"/>
              </w:rPr>
              <w:t>Metric</w:t>
            </w:r>
          </w:p>
        </w:tc>
        <w:tc>
          <w:tcPr>
            <w:tcW w:type="dxa" w:w="4032"/>
            <w:shd w:fill="1F4E79"/>
            <w:vAlign w:val="center"/>
            <w:tcMar>
              <w:top w:w="80" w:type="dxa"/>
              <w:left w:w="80" w:type="dxa"/>
              <w:bottom w:w="80" w:type="dxa"/>
              <w:right w:w="80" w:type="dxa"/>
            </w:tcMar>
            <w:shd w:fill="1F4E79"/>
          </w:tcPr>
          <w:p>
            <w:pPr>
              <w:spacing w:after="0"/>
            </w:pPr>
            <w:r>
              <w:rPr>
                <w:b/>
                <w:color w:val="FFFFFF"/>
              </w:rPr>
            </w:r>
            <w:r>
              <w:rPr>
                <w:rFonts w:ascii="Aptos" w:hAnsi="Aptos" w:eastAsia="Aptos"/>
                <w:b/>
                <w:color w:val="FFFFFF"/>
                <w:sz w:val="16"/>
              </w:rPr>
              <w:t>Current Context</w:t>
            </w:r>
          </w:p>
        </w:tc>
        <w:tc>
          <w:tcPr>
            <w:tcW w:type="dxa" w:w="4680"/>
            <w:shd w:fill="1F4E79"/>
            <w:vAlign w:val="center"/>
            <w:tcMar>
              <w:top w:w="80" w:type="dxa"/>
              <w:left w:w="80" w:type="dxa"/>
              <w:bottom w:w="80" w:type="dxa"/>
              <w:right w:w="80" w:type="dxa"/>
            </w:tcMar>
            <w:shd w:fill="1F4E79"/>
          </w:tcPr>
          <w:p>
            <w:pPr>
              <w:spacing w:after="0"/>
            </w:pPr>
            <w:r>
              <w:rPr>
                <w:b/>
                <w:color w:val="FFFFFF"/>
              </w:rPr>
            </w:r>
            <w:r>
              <w:rPr>
                <w:rFonts w:ascii="Aptos" w:hAnsi="Aptos" w:eastAsia="Aptos"/>
                <w:b/>
                <w:color w:val="FFFFFF"/>
                <w:sz w:val="16"/>
              </w:rPr>
              <w:t>CEO / Review Interpretation</w:t>
            </w:r>
          </w:p>
        </w:tc>
      </w:tr>
      <w:tr>
        <w:tc>
          <w:tcPr>
            <w:tcW w:type="dxa" w:w="2088"/>
            <w:vAlign w:val="center"/>
            <w:tcMar>
              <w:top w:w="80" w:type="dxa"/>
              <w:left w:w="80" w:type="dxa"/>
              <w:bottom w:w="80" w:type="dxa"/>
              <w:right w:w="80" w:type="dxa"/>
            </w:tcMar>
          </w:tcPr>
          <w:p>
            <w:pPr>
              <w:spacing w:after="0"/>
            </w:pPr>
            <w:r/>
            <w:r>
              <w:rPr>
                <w:rFonts w:ascii="Aptos" w:hAnsi="Aptos" w:eastAsia="Aptos"/>
                <w:b w:val="0"/>
                <w:sz w:val="16"/>
              </w:rPr>
              <w:t>Pipeline</w:t>
            </w:r>
          </w:p>
        </w:tc>
        <w:tc>
          <w:tcPr>
            <w:tcW w:type="dxa" w:w="4032"/>
            <w:vAlign w:val="center"/>
            <w:tcMar>
              <w:top w:w="80" w:type="dxa"/>
              <w:left w:w="80" w:type="dxa"/>
              <w:bottom w:w="80" w:type="dxa"/>
              <w:right w:w="80" w:type="dxa"/>
            </w:tcMar>
          </w:tcPr>
          <w:p>
            <w:pPr>
              <w:spacing w:after="0"/>
            </w:pPr>
            <w:r/>
            <w:r>
              <w:rPr>
                <w:rFonts w:ascii="Aptos" w:hAnsi="Aptos" w:eastAsia="Aptos"/>
                <w:b w:val="0"/>
                <w:sz w:val="16"/>
              </w:rPr>
              <w:t>32 live/active candidates</w:t>
            </w:r>
          </w:p>
        </w:tc>
        <w:tc>
          <w:tcPr>
            <w:tcW w:type="dxa" w:w="4680"/>
            <w:vAlign w:val="center"/>
            <w:tcMar>
              <w:top w:w="80" w:type="dxa"/>
              <w:left w:w="80" w:type="dxa"/>
              <w:bottom w:w="80" w:type="dxa"/>
              <w:right w:w="80" w:type="dxa"/>
            </w:tcMar>
          </w:tcPr>
          <w:p>
            <w:pPr>
              <w:spacing w:after="0"/>
            </w:pPr>
            <w:r/>
            <w:r>
              <w:rPr>
                <w:rFonts w:ascii="Aptos" w:hAnsi="Aptos" w:eastAsia="Aptos"/>
                <w:b w:val="0"/>
                <w:sz w:val="16"/>
              </w:rPr>
              <w:t>Pipeline is not cold-start; conversion is expected in the first 30 days.</w:t>
            </w:r>
          </w:p>
        </w:tc>
      </w:tr>
      <w:tr>
        <w:tc>
          <w:tcPr>
            <w:tcW w:type="dxa" w:w="2088"/>
            <w:vAlign w:val="center"/>
            <w:tcMar>
              <w:top w:w="80" w:type="dxa"/>
              <w:left w:w="80" w:type="dxa"/>
              <w:bottom w:w="80" w:type="dxa"/>
              <w:right w:w="80" w:type="dxa"/>
            </w:tcMar>
          </w:tcPr>
          <w:p>
            <w:pPr>
              <w:spacing w:after="0"/>
            </w:pPr>
            <w:r/>
            <w:r>
              <w:rPr>
                <w:rFonts w:ascii="Aptos" w:hAnsi="Aptos" w:eastAsia="Aptos"/>
                <w:b w:val="0"/>
                <w:sz w:val="16"/>
              </w:rPr>
              <w:t>Submissions</w:t>
            </w:r>
          </w:p>
        </w:tc>
        <w:tc>
          <w:tcPr>
            <w:tcW w:type="dxa" w:w="4032"/>
            <w:vAlign w:val="center"/>
            <w:tcMar>
              <w:top w:w="80" w:type="dxa"/>
              <w:left w:w="80" w:type="dxa"/>
              <w:bottom w:w="80" w:type="dxa"/>
              <w:right w:w="80" w:type="dxa"/>
            </w:tcMar>
          </w:tcPr>
          <w:p>
            <w:pPr>
              <w:spacing w:after="0"/>
            </w:pPr>
            <w:r/>
            <w:r>
              <w:rPr>
                <w:rFonts w:ascii="Aptos" w:hAnsi="Aptos" w:eastAsia="Aptos"/>
                <w:b w:val="0"/>
                <w:sz w:val="16"/>
              </w:rPr>
              <w:t>58 total submissions</w:t>
            </w:r>
          </w:p>
        </w:tc>
        <w:tc>
          <w:tcPr>
            <w:tcW w:type="dxa" w:w="4680"/>
            <w:vAlign w:val="center"/>
            <w:tcMar>
              <w:top w:w="80" w:type="dxa"/>
              <w:left w:w="80" w:type="dxa"/>
              <w:bottom w:w="80" w:type="dxa"/>
              <w:right w:w="80" w:type="dxa"/>
            </w:tcMar>
          </w:tcPr>
          <w:p>
            <w:pPr>
              <w:spacing w:after="0"/>
            </w:pPr>
            <w:r/>
            <w:r>
              <w:rPr>
                <w:rFonts w:ascii="Aptos" w:hAnsi="Aptos" w:eastAsia="Aptos"/>
                <w:b w:val="0"/>
                <w:sz w:val="16"/>
              </w:rPr>
              <w:t>Strong activity; next phase must show quality and conversion.</w:t>
            </w:r>
          </w:p>
        </w:tc>
      </w:tr>
      <w:tr>
        <w:tc>
          <w:tcPr>
            <w:tcW w:type="dxa" w:w="2088"/>
            <w:vAlign w:val="center"/>
            <w:tcMar>
              <w:top w:w="80" w:type="dxa"/>
              <w:left w:w="80" w:type="dxa"/>
              <w:bottom w:w="80" w:type="dxa"/>
              <w:right w:w="80" w:type="dxa"/>
            </w:tcMar>
          </w:tcPr>
          <w:p>
            <w:pPr>
              <w:spacing w:after="0"/>
            </w:pPr>
            <w:r/>
            <w:r>
              <w:rPr>
                <w:rFonts w:ascii="Aptos" w:hAnsi="Aptos" w:eastAsia="Aptos"/>
                <w:b w:val="0"/>
                <w:sz w:val="16"/>
              </w:rPr>
              <w:t>POs / conversions</w:t>
            </w:r>
          </w:p>
        </w:tc>
        <w:tc>
          <w:tcPr>
            <w:tcW w:type="dxa" w:w="4032"/>
            <w:vAlign w:val="center"/>
            <w:tcMar>
              <w:top w:w="80" w:type="dxa"/>
              <w:left w:w="80" w:type="dxa"/>
              <w:bottom w:w="80" w:type="dxa"/>
              <w:right w:w="80" w:type="dxa"/>
            </w:tcMar>
          </w:tcPr>
          <w:p>
            <w:pPr>
              <w:spacing w:after="0"/>
            </w:pPr>
            <w:r/>
            <w:r>
              <w:rPr>
                <w:rFonts w:ascii="Aptos" w:hAnsi="Aptos" w:eastAsia="Aptos"/>
                <w:b w:val="0"/>
                <w:sz w:val="16"/>
              </w:rPr>
              <w:t>5 POs, with 1 candidate falloff due to candidate/client communication</w:t>
            </w:r>
          </w:p>
        </w:tc>
        <w:tc>
          <w:tcPr>
            <w:tcW w:type="dxa" w:w="4680"/>
            <w:vAlign w:val="center"/>
            <w:tcMar>
              <w:top w:w="80" w:type="dxa"/>
              <w:left w:w="80" w:type="dxa"/>
              <w:bottom w:w="80" w:type="dxa"/>
              <w:right w:w="80" w:type="dxa"/>
            </w:tcMar>
          </w:tcPr>
          <w:p>
            <w:pPr>
              <w:spacing w:after="0"/>
            </w:pPr>
            <w:r/>
            <w:r>
              <w:rPr>
                <w:rFonts w:ascii="Aptos" w:hAnsi="Aptos" w:eastAsia="Aptos"/>
                <w:b w:val="0"/>
                <w:sz w:val="16"/>
              </w:rPr>
              <w:t>Strong contribution, but retained placements and billing stability matter most.</w:t>
            </w:r>
          </w:p>
        </w:tc>
      </w:tr>
      <w:tr>
        <w:tc>
          <w:tcPr>
            <w:tcW w:type="dxa" w:w="2088"/>
            <w:vAlign w:val="center"/>
            <w:tcMar>
              <w:top w:w="80" w:type="dxa"/>
              <w:left w:w="80" w:type="dxa"/>
              <w:bottom w:w="80" w:type="dxa"/>
              <w:right w:w="80" w:type="dxa"/>
            </w:tcMar>
          </w:tcPr>
          <w:p>
            <w:pPr>
              <w:spacing w:after="0"/>
            </w:pPr>
            <w:r/>
            <w:r>
              <w:rPr>
                <w:rFonts w:ascii="Aptos" w:hAnsi="Aptos" w:eastAsia="Aptos"/>
                <w:b w:val="0"/>
                <w:sz w:val="16"/>
              </w:rPr>
              <w:t>Gross margin reference</w:t>
            </w:r>
          </w:p>
        </w:tc>
        <w:tc>
          <w:tcPr>
            <w:tcW w:type="dxa" w:w="4032"/>
            <w:vAlign w:val="center"/>
            <w:tcMar>
              <w:top w:w="80" w:type="dxa"/>
              <w:left w:w="80" w:type="dxa"/>
              <w:bottom w:w="80" w:type="dxa"/>
              <w:right w:w="80" w:type="dxa"/>
            </w:tcMar>
          </w:tcPr>
          <w:p>
            <w:pPr>
              <w:spacing w:after="0"/>
            </w:pPr>
            <w:r/>
            <w:r>
              <w:rPr>
                <w:rFonts w:ascii="Aptos" w:hAnsi="Aptos" w:eastAsia="Aptos"/>
                <w:b w:val="0"/>
                <w:sz w:val="16"/>
              </w:rPr>
              <w:t>Approx. $17.98/hour gross margin before operating costs</w:t>
            </w:r>
          </w:p>
        </w:tc>
        <w:tc>
          <w:tcPr>
            <w:tcW w:type="dxa" w:w="4680"/>
            <w:vAlign w:val="center"/>
            <w:tcMar>
              <w:top w:w="80" w:type="dxa"/>
              <w:left w:w="80" w:type="dxa"/>
              <w:bottom w:w="80" w:type="dxa"/>
              <w:right w:w="80" w:type="dxa"/>
            </w:tcMar>
          </w:tcPr>
          <w:p>
            <w:pPr>
              <w:spacing w:after="0"/>
            </w:pPr>
            <w:r/>
            <w:r>
              <w:rPr>
                <w:rFonts w:ascii="Aptos" w:hAnsi="Aptos" w:eastAsia="Aptos"/>
                <w:b w:val="0"/>
                <w:sz w:val="16"/>
              </w:rPr>
              <w:t>Gross margin is meaningful, but not the same as net company contribution.</w:t>
            </w:r>
          </w:p>
        </w:tc>
      </w:tr>
      <w:tr>
        <w:tc>
          <w:tcPr>
            <w:tcW w:type="dxa" w:w="2088"/>
            <w:vAlign w:val="center"/>
            <w:tcMar>
              <w:top w:w="80" w:type="dxa"/>
              <w:left w:w="80" w:type="dxa"/>
              <w:bottom w:w="80" w:type="dxa"/>
              <w:right w:w="80" w:type="dxa"/>
            </w:tcMar>
          </w:tcPr>
          <w:p>
            <w:pPr>
              <w:spacing w:after="0"/>
            </w:pPr>
            <w:r/>
            <w:r>
              <w:rPr>
                <w:rFonts w:ascii="Aptos" w:hAnsi="Aptos" w:eastAsia="Aptos"/>
                <w:b w:val="0"/>
                <w:sz w:val="16"/>
              </w:rPr>
              <w:t>Team support</w:t>
            </w:r>
          </w:p>
        </w:tc>
        <w:tc>
          <w:tcPr>
            <w:tcW w:type="dxa" w:w="4032"/>
            <w:vAlign w:val="center"/>
            <w:tcMar>
              <w:top w:w="80" w:type="dxa"/>
              <w:left w:w="80" w:type="dxa"/>
              <w:bottom w:w="80" w:type="dxa"/>
              <w:right w:w="80" w:type="dxa"/>
            </w:tcMar>
          </w:tcPr>
          <w:p>
            <w:pPr>
              <w:spacing w:after="0"/>
            </w:pPr>
            <w:r/>
            <w:r>
              <w:rPr>
                <w:rFonts w:ascii="Aptos" w:hAnsi="Aptos" w:eastAsia="Aptos"/>
                <w:b w:val="0"/>
                <w:sz w:val="16"/>
              </w:rPr>
              <w:t>Healthcare desk includes sourcers/juniors, MIS, tools, phone/SMS, and management support</w:t>
            </w:r>
          </w:p>
        </w:tc>
        <w:tc>
          <w:tcPr>
            <w:tcW w:type="dxa" w:w="4680"/>
            <w:vAlign w:val="center"/>
            <w:tcMar>
              <w:top w:w="80" w:type="dxa"/>
              <w:left w:w="80" w:type="dxa"/>
              <w:bottom w:w="80" w:type="dxa"/>
              <w:right w:w="80" w:type="dxa"/>
            </w:tcMar>
          </w:tcPr>
          <w:p>
            <w:pPr>
              <w:spacing w:after="0"/>
            </w:pPr>
            <w:r/>
            <w:r>
              <w:rPr>
                <w:rFonts w:ascii="Aptos" w:hAnsi="Aptos" w:eastAsia="Aptos"/>
                <w:b w:val="0"/>
                <w:sz w:val="16"/>
              </w:rPr>
              <w:t>Output should be reviewed as desk economics, not individual gross margin only.</w:t>
            </w:r>
          </w:p>
        </w:tc>
      </w:tr>
    </w:tbl>
    <w:p/>
    <w:tbl>
      <w:tblPr>
        <w:tblStyle w:val="TableGrid"/>
        <w:tblW w:type="auto" w:w="0"/>
        <w:tblLook w:firstColumn="1" w:firstRow="1" w:lastColumn="0" w:lastRow="0" w:noHBand="0" w:noVBand="1" w:val="04A0"/>
      </w:tblPr>
      <w:tblGrid>
        <w:gridCol w:w="10656"/>
      </w:tblGrid>
      <w:tr>
        <w:tc>
          <w:tcPr>
            <w:tcW w:type="dxa" w:w="10656"/>
            <w:shd w:fill="FFF2CC"/>
          </w:tcPr>
          <w:p>
            <w:pPr>
              <w:spacing w:after="0"/>
            </w:pPr>
            <w:r/>
            <w:r>
              <w:rPr>
                <w:rFonts w:ascii="Aptos" w:hAnsi="Aptos" w:eastAsia="Aptos"/>
                <w:b w:val="0"/>
                <w:sz w:val="17"/>
              </w:rPr>
              <w:t>Business framing: A PO is important, but real business value comes when the candidate starts, stays, bills consistently, and the client relationship remains stable. Gross margin is not the same as net contribution after team cost, tools, operations, payment timing, and falloff risk.</w:t>
            </w:r>
          </w:p>
        </w:tc>
      </w:tr>
    </w:tbl>
    <w:p/>
    <w:p>
      <w:pPr>
        <w:pStyle w:val="Heading1"/>
      </w:pPr>
      <w:r>
        <w:t>90-Day Review Goals</w:t>
      </w:r>
    </w:p>
    <w:tbl>
      <w:tblPr>
        <w:tblStyle w:val="TableGrid"/>
        <w:tblW w:type="auto" w:w="0"/>
        <w:jc w:val="center"/>
        <w:tblLayout w:type="autofit"/>
        <w:tblLook w:firstColumn="1" w:firstRow="1" w:lastColumn="0" w:lastRow="0" w:noHBand="0" w:noVBand="1" w:val="04A0"/>
      </w:tblPr>
      <w:tblGrid>
        <w:gridCol w:w="5328"/>
        <w:gridCol w:w="5328"/>
      </w:tblGrid>
      <w:tr>
        <w:tc>
          <w:tcPr>
            <w:tcW w:type="dxa" w:w="2736"/>
            <w:shd w:fill="1F4E79"/>
            <w:vAlign w:val="center"/>
            <w:tcMar>
              <w:top w:w="80" w:type="dxa"/>
              <w:left w:w="80" w:type="dxa"/>
              <w:bottom w:w="80" w:type="dxa"/>
              <w:right w:w="80" w:type="dxa"/>
            </w:tcMar>
            <w:shd w:fill="1F4E79"/>
          </w:tcPr>
          <w:p>
            <w:pPr>
              <w:spacing w:after="0"/>
            </w:pPr>
            <w:r>
              <w:rPr>
                <w:b/>
                <w:color w:val="FFFFFF"/>
              </w:rPr>
            </w:r>
            <w:r>
              <w:rPr>
                <w:rFonts w:ascii="Aptos" w:hAnsi="Aptos" w:eastAsia="Aptos"/>
                <w:b/>
                <w:color w:val="FFFFFF"/>
                <w:sz w:val="16"/>
              </w:rPr>
              <w:t>Goal Area</w:t>
            </w:r>
          </w:p>
        </w:tc>
        <w:tc>
          <w:tcPr>
            <w:tcW w:type="dxa" w:w="8064"/>
            <w:shd w:fill="1F4E79"/>
            <w:vAlign w:val="center"/>
            <w:tcMar>
              <w:top w:w="80" w:type="dxa"/>
              <w:left w:w="80" w:type="dxa"/>
              <w:bottom w:w="80" w:type="dxa"/>
              <w:right w:w="80" w:type="dxa"/>
            </w:tcMar>
            <w:shd w:fill="1F4E79"/>
          </w:tcPr>
          <w:p>
            <w:pPr>
              <w:spacing w:after="0"/>
            </w:pPr>
            <w:r>
              <w:rPr>
                <w:b/>
                <w:color w:val="FFFFFF"/>
              </w:rPr>
            </w:r>
            <w:r>
              <w:rPr>
                <w:rFonts w:ascii="Aptos" w:hAnsi="Aptos" w:eastAsia="Aptos"/>
                <w:b/>
                <w:color w:val="FFFFFF"/>
                <w:sz w:val="16"/>
              </w:rPr>
              <w:t>90-Day Expectation</w:t>
            </w:r>
          </w:p>
        </w:tc>
      </w:tr>
      <w:tr>
        <w:tc>
          <w:tcPr>
            <w:tcW w:type="dxa" w:w="2736"/>
            <w:vAlign w:val="center"/>
            <w:tcMar>
              <w:top w:w="80" w:type="dxa"/>
              <w:left w:w="80" w:type="dxa"/>
              <w:bottom w:w="80" w:type="dxa"/>
              <w:right w:w="80" w:type="dxa"/>
            </w:tcMar>
          </w:tcPr>
          <w:p>
            <w:pPr>
              <w:spacing w:after="0"/>
            </w:pPr>
            <w:r/>
            <w:r>
              <w:rPr>
                <w:rFonts w:ascii="Aptos" w:hAnsi="Aptos" w:eastAsia="Aptos"/>
                <w:b w:val="0"/>
                <w:sz w:val="16"/>
              </w:rPr>
              <w:t>Conversion from live pipeline</w:t>
            </w:r>
          </w:p>
        </w:tc>
        <w:tc>
          <w:tcPr>
            <w:tcW w:type="dxa" w:w="8064"/>
            <w:vAlign w:val="center"/>
            <w:tcMar>
              <w:top w:w="80" w:type="dxa"/>
              <w:left w:w="80" w:type="dxa"/>
              <w:bottom w:w="80" w:type="dxa"/>
              <w:right w:w="80" w:type="dxa"/>
            </w:tcMar>
          </w:tcPr>
          <w:p>
            <w:pPr>
              <w:spacing w:after="0"/>
            </w:pPr>
            <w:r/>
            <w:r>
              <w:rPr>
                <w:rFonts w:ascii="Aptos" w:hAnsi="Aptos" w:eastAsia="Aptos"/>
                <w:b w:val="0"/>
                <w:sz w:val="16"/>
              </w:rPr>
              <w:t>Because this client/pipeline has been active for months, first 30 days should show conversion movement, not only pipeline activity.</w:t>
            </w:r>
          </w:p>
        </w:tc>
      </w:tr>
      <w:tr>
        <w:tc>
          <w:tcPr>
            <w:tcW w:type="dxa" w:w="2736"/>
            <w:vAlign w:val="center"/>
            <w:tcMar>
              <w:top w:w="80" w:type="dxa"/>
              <w:left w:w="80" w:type="dxa"/>
              <w:bottom w:w="80" w:type="dxa"/>
              <w:right w:w="80" w:type="dxa"/>
            </w:tcMar>
          </w:tcPr>
          <w:p>
            <w:pPr>
              <w:spacing w:after="0"/>
            </w:pPr>
            <w:r/>
            <w:r>
              <w:rPr>
                <w:rFonts w:ascii="Aptos" w:hAnsi="Aptos" w:eastAsia="Aptos"/>
                <w:b w:val="0"/>
                <w:sz w:val="16"/>
              </w:rPr>
              <w:t>Retained placements</w:t>
            </w:r>
          </w:p>
        </w:tc>
        <w:tc>
          <w:tcPr>
            <w:tcW w:type="dxa" w:w="8064"/>
            <w:vAlign w:val="center"/>
            <w:tcMar>
              <w:top w:w="80" w:type="dxa"/>
              <w:left w:w="80" w:type="dxa"/>
              <w:bottom w:w="80" w:type="dxa"/>
              <w:right w:w="80" w:type="dxa"/>
            </w:tcMar>
          </w:tcPr>
          <w:p>
            <w:pPr>
              <w:spacing w:after="0"/>
            </w:pPr>
            <w:r/>
            <w:r>
              <w:rPr>
                <w:rFonts w:ascii="Aptos" w:hAnsi="Aptos" w:eastAsia="Aptos"/>
                <w:b w:val="0"/>
                <w:sz w:val="16"/>
              </w:rPr>
              <w:t>Minimum 3 clean POs/starts in 90 days; strong performance is 4+ clean POs/starts, assuming client demand remains active.</w:t>
            </w:r>
          </w:p>
        </w:tc>
      </w:tr>
      <w:tr>
        <w:tc>
          <w:tcPr>
            <w:tcW w:type="dxa" w:w="2736"/>
            <w:vAlign w:val="center"/>
            <w:tcMar>
              <w:top w:w="80" w:type="dxa"/>
              <w:left w:w="80" w:type="dxa"/>
              <w:bottom w:w="80" w:type="dxa"/>
              <w:right w:w="80" w:type="dxa"/>
            </w:tcMar>
          </w:tcPr>
          <w:p>
            <w:pPr>
              <w:spacing w:after="0"/>
            </w:pPr>
            <w:r/>
            <w:r>
              <w:rPr>
                <w:rFonts w:ascii="Aptos" w:hAnsi="Aptos" w:eastAsia="Aptos"/>
                <w:b w:val="0"/>
                <w:sz w:val="16"/>
              </w:rPr>
              <w:t>Quality submissions</w:t>
            </w:r>
          </w:p>
        </w:tc>
        <w:tc>
          <w:tcPr>
            <w:tcW w:type="dxa" w:w="8064"/>
            <w:vAlign w:val="center"/>
            <w:tcMar>
              <w:top w:w="80" w:type="dxa"/>
              <w:left w:w="80" w:type="dxa"/>
              <w:bottom w:w="80" w:type="dxa"/>
              <w:right w:w="80" w:type="dxa"/>
            </w:tcMar>
          </w:tcPr>
          <w:p>
            <w:pPr>
              <w:spacing w:after="0"/>
            </w:pPr>
            <w:r/>
            <w:r>
              <w:rPr>
                <w:rFonts w:ascii="Aptos" w:hAnsi="Aptos" w:eastAsia="Aptos"/>
                <w:b w:val="0"/>
                <w:sz w:val="16"/>
              </w:rPr>
              <w:t>55–65 quality submissions across 90 days, with fewer weak or uncertain submissions.</w:t>
            </w:r>
          </w:p>
        </w:tc>
      </w:tr>
      <w:tr>
        <w:tc>
          <w:tcPr>
            <w:tcW w:type="dxa" w:w="2736"/>
            <w:vAlign w:val="center"/>
            <w:tcMar>
              <w:top w:w="80" w:type="dxa"/>
              <w:left w:w="80" w:type="dxa"/>
              <w:bottom w:w="80" w:type="dxa"/>
              <w:right w:w="80" w:type="dxa"/>
            </w:tcMar>
          </w:tcPr>
          <w:p>
            <w:pPr>
              <w:spacing w:after="0"/>
            </w:pPr>
            <w:r/>
            <w:r>
              <w:rPr>
                <w:rFonts w:ascii="Aptos" w:hAnsi="Aptos" w:eastAsia="Aptos"/>
                <w:b w:val="0"/>
                <w:sz w:val="16"/>
              </w:rPr>
              <w:t>Candidate follow-up</w:t>
            </w:r>
          </w:p>
        </w:tc>
        <w:tc>
          <w:tcPr>
            <w:tcW w:type="dxa" w:w="8064"/>
            <w:vAlign w:val="center"/>
            <w:tcMar>
              <w:top w:w="80" w:type="dxa"/>
              <w:left w:w="80" w:type="dxa"/>
              <w:bottom w:w="80" w:type="dxa"/>
              <w:right w:w="80" w:type="dxa"/>
            </w:tcMar>
          </w:tcPr>
          <w:p>
            <w:pPr>
              <w:spacing w:after="0"/>
            </w:pPr>
            <w:r/>
            <w:r>
              <w:rPr>
                <w:rFonts w:ascii="Aptos" w:hAnsi="Aptos" w:eastAsia="Aptos"/>
                <w:b w:val="0"/>
                <w:sz w:val="16"/>
              </w:rPr>
              <w:t>All submitted candidates followed up at least 2x/week until decision, start, or closure.</w:t>
            </w:r>
          </w:p>
        </w:tc>
      </w:tr>
      <w:tr>
        <w:tc>
          <w:tcPr>
            <w:tcW w:type="dxa" w:w="2736"/>
            <w:vAlign w:val="center"/>
            <w:tcMar>
              <w:top w:w="80" w:type="dxa"/>
              <w:left w:w="80" w:type="dxa"/>
              <w:bottom w:w="80" w:type="dxa"/>
              <w:right w:w="80" w:type="dxa"/>
            </w:tcMar>
          </w:tcPr>
          <w:p>
            <w:pPr>
              <w:spacing w:after="0"/>
            </w:pPr>
            <w:r/>
            <w:r>
              <w:rPr>
                <w:rFonts w:ascii="Aptos" w:hAnsi="Aptos" w:eastAsia="Aptos"/>
                <w:b w:val="0"/>
                <w:sz w:val="16"/>
              </w:rPr>
              <w:t>Sourcer coordination</w:t>
            </w:r>
          </w:p>
        </w:tc>
        <w:tc>
          <w:tcPr>
            <w:tcW w:type="dxa" w:w="8064"/>
            <w:vAlign w:val="center"/>
            <w:tcMar>
              <w:top w:w="80" w:type="dxa"/>
              <w:left w:w="80" w:type="dxa"/>
              <w:bottom w:w="80" w:type="dxa"/>
              <w:right w:w="80" w:type="dxa"/>
            </w:tcMar>
          </w:tcPr>
          <w:p>
            <w:pPr>
              <w:spacing w:after="0"/>
            </w:pPr>
            <w:r/>
            <w:r>
              <w:rPr>
                <w:rFonts w:ascii="Aptos" w:hAnsi="Aptos" w:eastAsia="Aptos"/>
                <w:b w:val="0"/>
                <w:sz w:val="16"/>
              </w:rPr>
              <w:t>Daily direction for sourcers/juniors and weekly review of output quality.</w:t>
            </w:r>
          </w:p>
        </w:tc>
      </w:tr>
      <w:tr>
        <w:tc>
          <w:tcPr>
            <w:tcW w:type="dxa" w:w="2736"/>
            <w:vAlign w:val="center"/>
            <w:tcMar>
              <w:top w:w="80" w:type="dxa"/>
              <w:left w:w="80" w:type="dxa"/>
              <w:bottom w:w="80" w:type="dxa"/>
              <w:right w:w="80" w:type="dxa"/>
            </w:tcMar>
          </w:tcPr>
          <w:p>
            <w:pPr>
              <w:spacing w:after="0"/>
            </w:pPr>
            <w:r/>
            <w:r>
              <w:rPr>
                <w:rFonts w:ascii="Aptos" w:hAnsi="Aptos" w:eastAsia="Aptos"/>
                <w:b w:val="0"/>
                <w:sz w:val="16"/>
              </w:rPr>
              <w:t>Reporting discipline</w:t>
            </w:r>
          </w:p>
        </w:tc>
        <w:tc>
          <w:tcPr>
            <w:tcW w:type="dxa" w:w="8064"/>
            <w:vAlign w:val="center"/>
            <w:tcMar>
              <w:top w:w="80" w:type="dxa"/>
              <w:left w:w="80" w:type="dxa"/>
              <w:bottom w:w="80" w:type="dxa"/>
              <w:right w:w="80" w:type="dxa"/>
            </w:tcMar>
          </w:tcPr>
          <w:p>
            <w:pPr>
              <w:spacing w:after="0"/>
            </w:pPr>
            <w:r/>
            <w:r>
              <w:rPr>
                <w:rFonts w:ascii="Aptos" w:hAnsi="Aptos" w:eastAsia="Aptos"/>
                <w:b w:val="0"/>
                <w:sz w:val="16"/>
              </w:rPr>
              <w:t>Weekly Friday tracker shared proactively without repeated follow-up.</w:t>
            </w:r>
          </w:p>
        </w:tc>
      </w:tr>
      <w:tr>
        <w:tc>
          <w:tcPr>
            <w:tcW w:type="dxa" w:w="2736"/>
            <w:vAlign w:val="center"/>
            <w:tcMar>
              <w:top w:w="80" w:type="dxa"/>
              <w:left w:w="80" w:type="dxa"/>
              <w:bottom w:w="80" w:type="dxa"/>
              <w:right w:w="80" w:type="dxa"/>
            </w:tcMar>
          </w:tcPr>
          <w:p>
            <w:pPr>
              <w:spacing w:after="0"/>
            </w:pPr>
            <w:r/>
            <w:r>
              <w:rPr>
                <w:rFonts w:ascii="Aptos" w:hAnsi="Aptos" w:eastAsia="Aptos"/>
                <w:b w:val="0"/>
                <w:sz w:val="16"/>
              </w:rPr>
              <w:t>Confidentiality and trust</w:t>
            </w:r>
          </w:p>
        </w:tc>
        <w:tc>
          <w:tcPr>
            <w:tcW w:type="dxa" w:w="8064"/>
            <w:vAlign w:val="center"/>
            <w:tcMar>
              <w:top w:w="80" w:type="dxa"/>
              <w:left w:w="80" w:type="dxa"/>
              <w:bottom w:w="80" w:type="dxa"/>
              <w:right w:w="80" w:type="dxa"/>
            </w:tcMar>
          </w:tcPr>
          <w:p>
            <w:pPr>
              <w:spacing w:after="0"/>
            </w:pPr>
            <w:r/>
            <w:r>
              <w:rPr>
                <w:rFonts w:ascii="Aptos" w:hAnsi="Aptos" w:eastAsia="Aptos"/>
                <w:b w:val="0"/>
                <w:sz w:val="16"/>
              </w:rPr>
              <w:t>Internal tools, client strategy, sourcing processes, company plans, and business discussions stay within the company unless approved.</w:t>
            </w:r>
          </w:p>
        </w:tc>
      </w:tr>
      <w:tr>
        <w:tc>
          <w:tcPr>
            <w:tcW w:type="dxa" w:w="2736"/>
            <w:vAlign w:val="center"/>
            <w:tcMar>
              <w:top w:w="80" w:type="dxa"/>
              <w:left w:w="80" w:type="dxa"/>
              <w:bottom w:w="80" w:type="dxa"/>
              <w:right w:w="80" w:type="dxa"/>
            </w:tcMar>
          </w:tcPr>
          <w:p>
            <w:pPr>
              <w:spacing w:after="0"/>
            </w:pPr>
            <w:r/>
            <w:r>
              <w:rPr>
                <w:rFonts w:ascii="Aptos" w:hAnsi="Aptos" w:eastAsia="Aptos"/>
                <w:b w:val="0"/>
                <w:sz w:val="16"/>
              </w:rPr>
              <w:t>Senior ownership</w:t>
            </w:r>
          </w:p>
        </w:tc>
        <w:tc>
          <w:tcPr>
            <w:tcW w:type="dxa" w:w="8064"/>
            <w:vAlign w:val="center"/>
            <w:tcMar>
              <w:top w:w="80" w:type="dxa"/>
              <w:left w:w="80" w:type="dxa"/>
              <w:bottom w:w="80" w:type="dxa"/>
              <w:right w:w="80" w:type="dxa"/>
            </w:tcMar>
          </w:tcPr>
          <w:p>
            <w:pPr>
              <w:spacing w:after="0"/>
            </w:pPr>
            <w:r/>
            <w:r>
              <w:rPr>
                <w:rFonts w:ascii="Aptos" w:hAnsi="Aptos" w:eastAsia="Aptos"/>
                <w:b w:val="0"/>
                <w:sz w:val="16"/>
              </w:rPr>
              <w:t>Operate beyond individual recruiter activity: take ownership of desk priorities, risks, follow-ups, and outcomes.</w:t>
            </w:r>
          </w:p>
        </w:tc>
      </w:tr>
    </w:tbl>
    <w:p/>
    <w:p>
      <w:pPr>
        <w:pStyle w:val="Heading1"/>
      </w:pPr>
      <w:r>
        <w:t>Milestone Plan</w:t>
      </w:r>
    </w:p>
    <w:p>
      <w:pPr>
        <w:pStyle w:val="Heading2"/>
      </w:pPr>
      <w:r>
        <w:t>Days 1–30: Convert the live pipeline</w:t>
      </w:r>
    </w:p>
    <w:tbl>
      <w:tblPr>
        <w:tblStyle w:val="TableGrid"/>
        <w:tblW w:type="auto" w:w="0"/>
        <w:jc w:val="center"/>
        <w:tblLayout w:type="autofit"/>
        <w:tblLook w:firstColumn="1" w:firstRow="1" w:lastColumn="0" w:lastRow="0" w:noHBand="0" w:noVBand="1" w:val="04A0"/>
      </w:tblPr>
      <w:tblGrid>
        <w:gridCol w:w="3552"/>
        <w:gridCol w:w="3552"/>
        <w:gridCol w:w="3552"/>
      </w:tblGrid>
      <w:tr>
        <w:tc>
          <w:tcPr>
            <w:tcW w:type="dxa" w:w="2088"/>
            <w:shd w:fill="1F4E79"/>
            <w:vAlign w:val="center"/>
            <w:tcMar>
              <w:top w:w="80" w:type="dxa"/>
              <w:left w:w="80" w:type="dxa"/>
              <w:bottom w:w="80" w:type="dxa"/>
              <w:right w:w="80" w:type="dxa"/>
            </w:tcMar>
            <w:shd w:fill="1F4E79"/>
          </w:tcPr>
          <w:p>
            <w:pPr>
              <w:spacing w:after="0"/>
            </w:pPr>
            <w:r>
              <w:rPr>
                <w:b/>
                <w:color w:val="FFFFFF"/>
              </w:rPr>
            </w:r>
            <w:r>
              <w:rPr>
                <w:rFonts w:ascii="Aptos" w:hAnsi="Aptos" w:eastAsia="Aptos"/>
                <w:b/>
                <w:color w:val="FFFFFF"/>
                <w:sz w:val="16"/>
              </w:rPr>
              <w:t>Area</w:t>
            </w:r>
          </w:p>
        </w:tc>
        <w:tc>
          <w:tcPr>
            <w:tcW w:type="dxa" w:w="4320"/>
            <w:shd w:fill="1F4E79"/>
            <w:vAlign w:val="center"/>
            <w:tcMar>
              <w:top w:w="80" w:type="dxa"/>
              <w:left w:w="80" w:type="dxa"/>
              <w:bottom w:w="80" w:type="dxa"/>
              <w:right w:w="80" w:type="dxa"/>
            </w:tcMar>
            <w:shd w:fill="1F4E79"/>
          </w:tcPr>
          <w:p>
            <w:pPr>
              <w:spacing w:after="0"/>
            </w:pPr>
            <w:r>
              <w:rPr>
                <w:b/>
                <w:color w:val="FFFFFF"/>
              </w:rPr>
            </w:r>
            <w:r>
              <w:rPr>
                <w:rFonts w:ascii="Aptos" w:hAnsi="Aptos" w:eastAsia="Aptos"/>
                <w:b/>
                <w:color w:val="FFFFFF"/>
                <w:sz w:val="16"/>
              </w:rPr>
              <w:t>Target / Milestone</w:t>
            </w:r>
          </w:p>
        </w:tc>
        <w:tc>
          <w:tcPr>
            <w:tcW w:type="dxa" w:w="4392"/>
            <w:shd w:fill="1F4E79"/>
            <w:vAlign w:val="center"/>
            <w:tcMar>
              <w:top w:w="80" w:type="dxa"/>
              <w:left w:w="80" w:type="dxa"/>
              <w:bottom w:w="80" w:type="dxa"/>
              <w:right w:w="80" w:type="dxa"/>
            </w:tcMar>
            <w:shd w:fill="1F4E79"/>
          </w:tcPr>
          <w:p>
            <w:pPr>
              <w:spacing w:after="0"/>
            </w:pPr>
            <w:r>
              <w:rPr>
                <w:b/>
                <w:color w:val="FFFFFF"/>
              </w:rPr>
            </w:r>
            <w:r>
              <w:rPr>
                <w:rFonts w:ascii="Aptos" w:hAnsi="Aptos" w:eastAsia="Aptos"/>
                <w:b/>
                <w:color w:val="FFFFFF"/>
                <w:sz w:val="16"/>
              </w:rPr>
              <w:t>Evidence Needed</w:t>
            </w:r>
          </w:p>
        </w:tc>
      </w:tr>
      <w:tr>
        <w:tc>
          <w:tcPr>
            <w:tcW w:type="dxa" w:w="2088"/>
            <w:vAlign w:val="center"/>
            <w:tcMar>
              <w:top w:w="80" w:type="dxa"/>
              <w:left w:w="80" w:type="dxa"/>
              <w:bottom w:w="80" w:type="dxa"/>
              <w:right w:w="80" w:type="dxa"/>
            </w:tcMar>
          </w:tcPr>
          <w:p>
            <w:pPr>
              <w:spacing w:after="0"/>
            </w:pPr>
            <w:r/>
            <w:r>
              <w:rPr>
                <w:rFonts w:ascii="Aptos" w:hAnsi="Aptos" w:eastAsia="Aptos"/>
                <w:b w:val="0"/>
                <w:sz w:val="16"/>
              </w:rPr>
              <w:t>Pipeline cleanup</w:t>
            </w:r>
          </w:p>
        </w:tc>
        <w:tc>
          <w:tcPr>
            <w:tcW w:type="dxa" w:w="4320"/>
            <w:vAlign w:val="center"/>
            <w:tcMar>
              <w:top w:w="80" w:type="dxa"/>
              <w:left w:w="80" w:type="dxa"/>
              <w:bottom w:w="80" w:type="dxa"/>
              <w:right w:w="80" w:type="dxa"/>
            </w:tcMar>
          </w:tcPr>
          <w:p>
            <w:pPr>
              <w:spacing w:after="0"/>
            </w:pPr>
            <w:r/>
            <w:r>
              <w:rPr>
                <w:rFonts w:ascii="Aptos" w:hAnsi="Aptos" w:eastAsia="Aptos"/>
                <w:b w:val="0"/>
                <w:sz w:val="16"/>
              </w:rPr>
              <w:t>Full review and cleanup of existing live pipeline in Week 1</w:t>
            </w:r>
          </w:p>
        </w:tc>
        <w:tc>
          <w:tcPr>
            <w:tcW w:type="dxa" w:w="4392"/>
            <w:vAlign w:val="center"/>
            <w:tcMar>
              <w:top w:w="80" w:type="dxa"/>
              <w:left w:w="80" w:type="dxa"/>
              <w:bottom w:w="80" w:type="dxa"/>
              <w:right w:w="80" w:type="dxa"/>
            </w:tcMar>
          </w:tcPr>
          <w:p>
            <w:pPr>
              <w:spacing w:after="0"/>
            </w:pPr>
            <w:r/>
            <w:r>
              <w:rPr>
                <w:rFonts w:ascii="Aptos" w:hAnsi="Aptos" w:eastAsia="Aptos"/>
                <w:b w:val="0"/>
                <w:sz w:val="16"/>
              </w:rPr>
              <w:t>Updated pipeline sheet with status, next action, and priority.</w:t>
            </w:r>
          </w:p>
        </w:tc>
      </w:tr>
      <w:tr>
        <w:tc>
          <w:tcPr>
            <w:tcW w:type="dxa" w:w="2088"/>
            <w:vAlign w:val="center"/>
            <w:tcMar>
              <w:top w:w="80" w:type="dxa"/>
              <w:left w:w="80" w:type="dxa"/>
              <w:bottom w:w="80" w:type="dxa"/>
              <w:right w:w="80" w:type="dxa"/>
            </w:tcMar>
          </w:tcPr>
          <w:p>
            <w:pPr>
              <w:spacing w:after="0"/>
            </w:pPr>
            <w:r/>
            <w:r>
              <w:rPr>
                <w:rFonts w:ascii="Aptos" w:hAnsi="Aptos" w:eastAsia="Aptos"/>
                <w:b w:val="0"/>
                <w:sz w:val="16"/>
              </w:rPr>
              <w:t>Quality submissions</w:t>
            </w:r>
          </w:p>
        </w:tc>
        <w:tc>
          <w:tcPr>
            <w:tcW w:type="dxa" w:w="4320"/>
            <w:vAlign w:val="center"/>
            <w:tcMar>
              <w:top w:w="80" w:type="dxa"/>
              <w:left w:w="80" w:type="dxa"/>
              <w:bottom w:w="80" w:type="dxa"/>
              <w:right w:w="80" w:type="dxa"/>
            </w:tcMar>
          </w:tcPr>
          <w:p>
            <w:pPr>
              <w:spacing w:after="0"/>
            </w:pPr>
            <w:r/>
            <w:r>
              <w:rPr>
                <w:rFonts w:ascii="Aptos" w:hAnsi="Aptos" w:eastAsia="Aptos"/>
                <w:b w:val="0"/>
                <w:sz w:val="16"/>
              </w:rPr>
              <w:t>18–20 quality submissions</w:t>
            </w:r>
          </w:p>
        </w:tc>
        <w:tc>
          <w:tcPr>
            <w:tcW w:type="dxa" w:w="4392"/>
            <w:vAlign w:val="center"/>
            <w:tcMar>
              <w:top w:w="80" w:type="dxa"/>
              <w:left w:w="80" w:type="dxa"/>
              <w:bottom w:w="80" w:type="dxa"/>
              <w:right w:w="80" w:type="dxa"/>
            </w:tcMar>
          </w:tcPr>
          <w:p>
            <w:pPr>
              <w:spacing w:after="0"/>
            </w:pPr>
            <w:r/>
            <w:r>
              <w:rPr>
                <w:rFonts w:ascii="Aptos" w:hAnsi="Aptos" w:eastAsia="Aptos"/>
                <w:b w:val="0"/>
                <w:sz w:val="16"/>
              </w:rPr>
              <w:t>Submission tracker with candidate verification fields completed.</w:t>
            </w:r>
          </w:p>
        </w:tc>
      </w:tr>
      <w:tr>
        <w:tc>
          <w:tcPr>
            <w:tcW w:type="dxa" w:w="2088"/>
            <w:vAlign w:val="center"/>
            <w:tcMar>
              <w:top w:w="80" w:type="dxa"/>
              <w:left w:w="80" w:type="dxa"/>
              <w:bottom w:w="80" w:type="dxa"/>
              <w:right w:w="80" w:type="dxa"/>
            </w:tcMar>
          </w:tcPr>
          <w:p>
            <w:pPr>
              <w:spacing w:after="0"/>
            </w:pPr>
            <w:r/>
            <w:r>
              <w:rPr>
                <w:rFonts w:ascii="Aptos" w:hAnsi="Aptos" w:eastAsia="Aptos"/>
                <w:b w:val="0"/>
                <w:sz w:val="16"/>
              </w:rPr>
              <w:t>Interviews/client movement</w:t>
            </w:r>
          </w:p>
        </w:tc>
        <w:tc>
          <w:tcPr>
            <w:tcW w:type="dxa" w:w="4320"/>
            <w:vAlign w:val="center"/>
            <w:tcMar>
              <w:top w:w="80" w:type="dxa"/>
              <w:left w:w="80" w:type="dxa"/>
              <w:bottom w:w="80" w:type="dxa"/>
              <w:right w:w="80" w:type="dxa"/>
            </w:tcMar>
          </w:tcPr>
          <w:p>
            <w:pPr>
              <w:spacing w:after="0"/>
            </w:pPr>
            <w:r/>
            <w:r>
              <w:rPr>
                <w:rFonts w:ascii="Aptos" w:hAnsi="Aptos" w:eastAsia="Aptos"/>
                <w:b w:val="0"/>
                <w:sz w:val="16"/>
              </w:rPr>
              <w:t>5–8 interview/client movement events</w:t>
            </w:r>
          </w:p>
        </w:tc>
        <w:tc>
          <w:tcPr>
            <w:tcW w:type="dxa" w:w="4392"/>
            <w:vAlign w:val="center"/>
            <w:tcMar>
              <w:top w:w="80" w:type="dxa"/>
              <w:left w:w="80" w:type="dxa"/>
              <w:bottom w:w="80" w:type="dxa"/>
              <w:right w:w="80" w:type="dxa"/>
            </w:tcMar>
          </w:tcPr>
          <w:p>
            <w:pPr>
              <w:spacing w:after="0"/>
            </w:pPr>
            <w:r/>
            <w:r>
              <w:rPr>
                <w:rFonts w:ascii="Aptos" w:hAnsi="Aptos" w:eastAsia="Aptos"/>
                <w:b w:val="0"/>
                <w:sz w:val="16"/>
              </w:rPr>
              <w:t>Status notes and client/MSP updates.</w:t>
            </w:r>
          </w:p>
        </w:tc>
      </w:tr>
      <w:tr>
        <w:tc>
          <w:tcPr>
            <w:tcW w:type="dxa" w:w="2088"/>
            <w:vAlign w:val="center"/>
            <w:tcMar>
              <w:top w:w="80" w:type="dxa"/>
              <w:left w:w="80" w:type="dxa"/>
              <w:bottom w:w="80" w:type="dxa"/>
              <w:right w:w="80" w:type="dxa"/>
            </w:tcMar>
          </w:tcPr>
          <w:p>
            <w:pPr>
              <w:spacing w:after="0"/>
            </w:pPr>
            <w:r/>
            <w:r>
              <w:rPr>
                <w:rFonts w:ascii="Aptos" w:hAnsi="Aptos" w:eastAsia="Aptos"/>
                <w:b w:val="0"/>
                <w:sz w:val="16"/>
              </w:rPr>
              <w:t>Clean POs/starts</w:t>
            </w:r>
          </w:p>
        </w:tc>
        <w:tc>
          <w:tcPr>
            <w:tcW w:type="dxa" w:w="4320"/>
            <w:vAlign w:val="center"/>
            <w:tcMar>
              <w:top w:w="80" w:type="dxa"/>
              <w:left w:w="80" w:type="dxa"/>
              <w:bottom w:w="80" w:type="dxa"/>
              <w:right w:w="80" w:type="dxa"/>
            </w:tcMar>
          </w:tcPr>
          <w:p>
            <w:pPr>
              <w:spacing w:after="0"/>
            </w:pPr>
            <w:r/>
            <w:r>
              <w:rPr>
                <w:rFonts w:ascii="Aptos" w:hAnsi="Aptos" w:eastAsia="Aptos"/>
                <w:b w:val="0"/>
                <w:sz w:val="16"/>
              </w:rPr>
              <w:t>Minimum 1–2 clean POs or starts, assuming client demand remains active</w:t>
            </w:r>
          </w:p>
        </w:tc>
        <w:tc>
          <w:tcPr>
            <w:tcW w:type="dxa" w:w="4392"/>
            <w:vAlign w:val="center"/>
            <w:tcMar>
              <w:top w:w="80" w:type="dxa"/>
              <w:left w:w="80" w:type="dxa"/>
              <w:bottom w:w="80" w:type="dxa"/>
              <w:right w:w="80" w:type="dxa"/>
            </w:tcMar>
          </w:tcPr>
          <w:p>
            <w:pPr>
              <w:spacing w:after="0"/>
            </w:pPr>
            <w:r/>
            <w:r>
              <w:rPr>
                <w:rFonts w:ascii="Aptos" w:hAnsi="Aptos" w:eastAsia="Aptos"/>
                <w:b w:val="0"/>
                <w:sz w:val="16"/>
              </w:rPr>
              <w:t>PO/start confirmation and candidate acceptance.</w:t>
            </w:r>
          </w:p>
        </w:tc>
      </w:tr>
      <w:tr>
        <w:tc>
          <w:tcPr>
            <w:tcW w:type="dxa" w:w="2088"/>
            <w:vAlign w:val="center"/>
            <w:tcMar>
              <w:top w:w="80" w:type="dxa"/>
              <w:left w:w="80" w:type="dxa"/>
              <w:bottom w:w="80" w:type="dxa"/>
              <w:right w:w="80" w:type="dxa"/>
            </w:tcMar>
          </w:tcPr>
          <w:p>
            <w:pPr>
              <w:spacing w:after="0"/>
            </w:pPr>
            <w:r/>
            <w:r>
              <w:rPr>
                <w:rFonts w:ascii="Aptos" w:hAnsi="Aptos" w:eastAsia="Aptos"/>
                <w:b w:val="0"/>
                <w:sz w:val="16"/>
              </w:rPr>
              <w:t>Candidate follow-up</w:t>
            </w:r>
          </w:p>
        </w:tc>
        <w:tc>
          <w:tcPr>
            <w:tcW w:type="dxa" w:w="4320"/>
            <w:vAlign w:val="center"/>
            <w:tcMar>
              <w:top w:w="80" w:type="dxa"/>
              <w:left w:w="80" w:type="dxa"/>
              <w:bottom w:w="80" w:type="dxa"/>
              <w:right w:w="80" w:type="dxa"/>
            </w:tcMar>
          </w:tcPr>
          <w:p>
            <w:pPr>
              <w:spacing w:after="0"/>
            </w:pPr>
            <w:r/>
            <w:r>
              <w:rPr>
                <w:rFonts w:ascii="Aptos" w:hAnsi="Aptos" w:eastAsia="Aptos"/>
                <w:b w:val="0"/>
                <w:sz w:val="16"/>
              </w:rPr>
              <w:t>2x/week follow-up for submitted candidates</w:t>
            </w:r>
          </w:p>
        </w:tc>
        <w:tc>
          <w:tcPr>
            <w:tcW w:type="dxa" w:w="4392"/>
            <w:vAlign w:val="center"/>
            <w:tcMar>
              <w:top w:w="80" w:type="dxa"/>
              <w:left w:w="80" w:type="dxa"/>
              <w:bottom w:w="80" w:type="dxa"/>
              <w:right w:w="80" w:type="dxa"/>
            </w:tcMar>
          </w:tcPr>
          <w:p>
            <w:pPr>
              <w:spacing w:after="0"/>
            </w:pPr>
            <w:r/>
            <w:r>
              <w:rPr>
                <w:rFonts w:ascii="Aptos" w:hAnsi="Aptos" w:eastAsia="Aptos"/>
                <w:b w:val="0"/>
                <w:sz w:val="16"/>
              </w:rPr>
              <w:t>Follow-up log with date and outcome.</w:t>
            </w:r>
          </w:p>
        </w:tc>
      </w:tr>
      <w:tr>
        <w:tc>
          <w:tcPr>
            <w:tcW w:type="dxa" w:w="2088"/>
            <w:vAlign w:val="center"/>
            <w:tcMar>
              <w:top w:w="80" w:type="dxa"/>
              <w:left w:w="80" w:type="dxa"/>
              <w:bottom w:w="80" w:type="dxa"/>
              <w:right w:w="80" w:type="dxa"/>
            </w:tcMar>
          </w:tcPr>
          <w:p>
            <w:pPr>
              <w:spacing w:after="0"/>
            </w:pPr>
            <w:r/>
            <w:r>
              <w:rPr>
                <w:rFonts w:ascii="Aptos" w:hAnsi="Aptos" w:eastAsia="Aptos"/>
                <w:b w:val="0"/>
                <w:sz w:val="16"/>
              </w:rPr>
              <w:t>Sourcer coordination</w:t>
            </w:r>
          </w:p>
        </w:tc>
        <w:tc>
          <w:tcPr>
            <w:tcW w:type="dxa" w:w="4320"/>
            <w:vAlign w:val="center"/>
            <w:tcMar>
              <w:top w:w="80" w:type="dxa"/>
              <w:left w:w="80" w:type="dxa"/>
              <w:bottom w:w="80" w:type="dxa"/>
              <w:right w:w="80" w:type="dxa"/>
            </w:tcMar>
          </w:tcPr>
          <w:p>
            <w:pPr>
              <w:spacing w:after="0"/>
            </w:pPr>
            <w:r/>
            <w:r>
              <w:rPr>
                <w:rFonts w:ascii="Aptos" w:hAnsi="Aptos" w:eastAsia="Aptos"/>
                <w:b w:val="0"/>
                <w:sz w:val="16"/>
              </w:rPr>
              <w:t>Daily sourcing priorities and quality review</w:t>
            </w:r>
          </w:p>
        </w:tc>
        <w:tc>
          <w:tcPr>
            <w:tcW w:type="dxa" w:w="4392"/>
            <w:vAlign w:val="center"/>
            <w:tcMar>
              <w:top w:w="80" w:type="dxa"/>
              <w:left w:w="80" w:type="dxa"/>
              <w:bottom w:w="80" w:type="dxa"/>
              <w:right w:w="80" w:type="dxa"/>
            </w:tcMar>
          </w:tcPr>
          <w:p>
            <w:pPr>
              <w:spacing w:after="0"/>
            </w:pPr>
            <w:r/>
            <w:r>
              <w:rPr>
                <w:rFonts w:ascii="Aptos" w:hAnsi="Aptos" w:eastAsia="Aptos"/>
                <w:b w:val="0"/>
                <w:sz w:val="16"/>
              </w:rPr>
              <w:t>Sourcer assignment log and candidate quality feedback.</w:t>
            </w:r>
          </w:p>
        </w:tc>
      </w:tr>
      <w:tr>
        <w:tc>
          <w:tcPr>
            <w:tcW w:type="dxa" w:w="2088"/>
            <w:vAlign w:val="center"/>
            <w:tcMar>
              <w:top w:w="80" w:type="dxa"/>
              <w:left w:w="80" w:type="dxa"/>
              <w:bottom w:w="80" w:type="dxa"/>
              <w:right w:w="80" w:type="dxa"/>
            </w:tcMar>
          </w:tcPr>
          <w:p>
            <w:pPr>
              <w:spacing w:after="0"/>
            </w:pPr>
            <w:r/>
            <w:r>
              <w:rPr>
                <w:rFonts w:ascii="Aptos" w:hAnsi="Aptos" w:eastAsia="Aptos"/>
                <w:b w:val="0"/>
                <w:sz w:val="16"/>
              </w:rPr>
              <w:t>Confidentiality</w:t>
            </w:r>
          </w:p>
        </w:tc>
        <w:tc>
          <w:tcPr>
            <w:tcW w:type="dxa" w:w="4320"/>
            <w:vAlign w:val="center"/>
            <w:tcMar>
              <w:top w:w="80" w:type="dxa"/>
              <w:left w:w="80" w:type="dxa"/>
              <w:bottom w:w="80" w:type="dxa"/>
              <w:right w:w="80" w:type="dxa"/>
            </w:tcMar>
          </w:tcPr>
          <w:p>
            <w:pPr>
              <w:spacing w:after="0"/>
            </w:pPr>
            <w:r/>
            <w:r>
              <w:rPr>
                <w:rFonts w:ascii="Aptos" w:hAnsi="Aptos" w:eastAsia="Aptos"/>
                <w:b w:val="0"/>
                <w:sz w:val="16"/>
              </w:rPr>
              <w:t>No internal information shared outside without approval</w:t>
            </w:r>
          </w:p>
        </w:tc>
        <w:tc>
          <w:tcPr>
            <w:tcW w:type="dxa" w:w="4392"/>
            <w:vAlign w:val="center"/>
            <w:tcMar>
              <w:top w:w="80" w:type="dxa"/>
              <w:left w:w="80" w:type="dxa"/>
              <w:bottom w:w="80" w:type="dxa"/>
              <w:right w:w="80" w:type="dxa"/>
            </w:tcMar>
          </w:tcPr>
          <w:p>
            <w:pPr>
              <w:spacing w:after="0"/>
            </w:pPr>
            <w:r/>
            <w:r>
              <w:rPr>
                <w:rFonts w:ascii="Aptos" w:hAnsi="Aptos" w:eastAsia="Aptos"/>
                <w:b w:val="0"/>
                <w:sz w:val="16"/>
              </w:rPr>
              <w:t>No exceptions; manager trust standard maintained.</w:t>
            </w:r>
          </w:p>
        </w:tc>
      </w:tr>
    </w:tbl>
    <w:p/>
    <w:p>
      <w:r>
        <w:br w:type="page"/>
      </w:r>
    </w:p>
    <w:p>
      <w:pPr>
        <w:pStyle w:val="Heading2"/>
      </w:pPr>
      <w:r>
        <w:t>Days 31–60: Build repeatable conversion</w:t>
      </w:r>
    </w:p>
    <w:tbl>
      <w:tblPr>
        <w:tblStyle w:val="TableGrid"/>
        <w:tblW w:type="auto" w:w="0"/>
        <w:jc w:val="center"/>
        <w:tblLayout w:type="autofit"/>
        <w:tblLook w:firstColumn="1" w:firstRow="1" w:lastColumn="0" w:lastRow="0" w:noHBand="0" w:noVBand="1" w:val="04A0"/>
      </w:tblPr>
      <w:tblGrid>
        <w:gridCol w:w="3552"/>
        <w:gridCol w:w="3552"/>
        <w:gridCol w:w="3552"/>
      </w:tblGrid>
      <w:tr>
        <w:tc>
          <w:tcPr>
            <w:tcW w:type="dxa" w:w="2088"/>
            <w:shd w:fill="1F4E79"/>
            <w:vAlign w:val="center"/>
            <w:tcMar>
              <w:top w:w="80" w:type="dxa"/>
              <w:left w:w="80" w:type="dxa"/>
              <w:bottom w:w="80" w:type="dxa"/>
              <w:right w:w="80" w:type="dxa"/>
            </w:tcMar>
            <w:shd w:fill="1F4E79"/>
          </w:tcPr>
          <w:p>
            <w:pPr>
              <w:spacing w:after="0"/>
            </w:pPr>
            <w:r>
              <w:rPr>
                <w:b/>
                <w:color w:val="FFFFFF"/>
              </w:rPr>
            </w:r>
            <w:r>
              <w:rPr>
                <w:rFonts w:ascii="Aptos" w:hAnsi="Aptos" w:eastAsia="Aptos"/>
                <w:b/>
                <w:color w:val="FFFFFF"/>
                <w:sz w:val="16"/>
              </w:rPr>
              <w:t>Area</w:t>
            </w:r>
          </w:p>
        </w:tc>
        <w:tc>
          <w:tcPr>
            <w:tcW w:type="dxa" w:w="4320"/>
            <w:shd w:fill="1F4E79"/>
            <w:vAlign w:val="center"/>
            <w:tcMar>
              <w:top w:w="80" w:type="dxa"/>
              <w:left w:w="80" w:type="dxa"/>
              <w:bottom w:w="80" w:type="dxa"/>
              <w:right w:w="80" w:type="dxa"/>
            </w:tcMar>
            <w:shd w:fill="1F4E79"/>
          </w:tcPr>
          <w:p>
            <w:pPr>
              <w:spacing w:after="0"/>
            </w:pPr>
            <w:r>
              <w:rPr>
                <w:b/>
                <w:color w:val="FFFFFF"/>
              </w:rPr>
            </w:r>
            <w:r>
              <w:rPr>
                <w:rFonts w:ascii="Aptos" w:hAnsi="Aptos" w:eastAsia="Aptos"/>
                <w:b/>
                <w:color w:val="FFFFFF"/>
                <w:sz w:val="16"/>
              </w:rPr>
              <w:t>Target / Milestone</w:t>
            </w:r>
          </w:p>
        </w:tc>
        <w:tc>
          <w:tcPr>
            <w:tcW w:type="dxa" w:w="4392"/>
            <w:shd w:fill="1F4E79"/>
            <w:vAlign w:val="center"/>
            <w:tcMar>
              <w:top w:w="80" w:type="dxa"/>
              <w:left w:w="80" w:type="dxa"/>
              <w:bottom w:w="80" w:type="dxa"/>
              <w:right w:w="80" w:type="dxa"/>
            </w:tcMar>
            <w:shd w:fill="1F4E79"/>
          </w:tcPr>
          <w:p>
            <w:pPr>
              <w:spacing w:after="0"/>
            </w:pPr>
            <w:r>
              <w:rPr>
                <w:b/>
                <w:color w:val="FFFFFF"/>
              </w:rPr>
            </w:r>
            <w:r>
              <w:rPr>
                <w:rFonts w:ascii="Aptos" w:hAnsi="Aptos" w:eastAsia="Aptos"/>
                <w:b/>
                <w:color w:val="FFFFFF"/>
                <w:sz w:val="16"/>
              </w:rPr>
              <w:t>Evidence Needed</w:t>
            </w:r>
          </w:p>
        </w:tc>
      </w:tr>
      <w:tr>
        <w:tc>
          <w:tcPr>
            <w:tcW w:type="dxa" w:w="2088"/>
            <w:vAlign w:val="center"/>
            <w:tcMar>
              <w:top w:w="80" w:type="dxa"/>
              <w:left w:w="80" w:type="dxa"/>
              <w:bottom w:w="80" w:type="dxa"/>
              <w:right w:w="80" w:type="dxa"/>
            </w:tcMar>
          </w:tcPr>
          <w:p>
            <w:pPr>
              <w:spacing w:after="0"/>
            </w:pPr>
            <w:r/>
            <w:r>
              <w:rPr>
                <w:rFonts w:ascii="Aptos" w:hAnsi="Aptos" w:eastAsia="Aptos"/>
                <w:b w:val="0"/>
                <w:sz w:val="16"/>
              </w:rPr>
              <w:t>Quality submissions</w:t>
            </w:r>
          </w:p>
        </w:tc>
        <w:tc>
          <w:tcPr>
            <w:tcW w:type="dxa" w:w="4320"/>
            <w:vAlign w:val="center"/>
            <w:tcMar>
              <w:top w:w="80" w:type="dxa"/>
              <w:left w:w="80" w:type="dxa"/>
              <w:bottom w:w="80" w:type="dxa"/>
              <w:right w:w="80" w:type="dxa"/>
            </w:tcMar>
          </w:tcPr>
          <w:p>
            <w:pPr>
              <w:spacing w:after="0"/>
            </w:pPr>
            <w:r/>
            <w:r>
              <w:rPr>
                <w:rFonts w:ascii="Aptos" w:hAnsi="Aptos" w:eastAsia="Aptos"/>
                <w:b w:val="0"/>
                <w:sz w:val="16"/>
              </w:rPr>
              <w:t>20–25 additional quality submissions</w:t>
            </w:r>
          </w:p>
        </w:tc>
        <w:tc>
          <w:tcPr>
            <w:tcW w:type="dxa" w:w="4392"/>
            <w:vAlign w:val="center"/>
            <w:tcMar>
              <w:top w:w="80" w:type="dxa"/>
              <w:left w:w="80" w:type="dxa"/>
              <w:bottom w:w="80" w:type="dxa"/>
              <w:right w:w="80" w:type="dxa"/>
            </w:tcMar>
          </w:tcPr>
          <w:p>
            <w:pPr>
              <w:spacing w:after="0"/>
            </w:pPr>
            <w:r/>
            <w:r>
              <w:rPr>
                <w:rFonts w:ascii="Aptos" w:hAnsi="Aptos" w:eastAsia="Aptos"/>
                <w:b w:val="0"/>
                <w:sz w:val="16"/>
              </w:rPr>
              <w:t>Submission tracker and rejection reasons.</w:t>
            </w:r>
          </w:p>
        </w:tc>
      </w:tr>
      <w:tr>
        <w:tc>
          <w:tcPr>
            <w:tcW w:type="dxa" w:w="2088"/>
            <w:vAlign w:val="center"/>
            <w:tcMar>
              <w:top w:w="80" w:type="dxa"/>
              <w:left w:w="80" w:type="dxa"/>
              <w:bottom w:w="80" w:type="dxa"/>
              <w:right w:w="80" w:type="dxa"/>
            </w:tcMar>
          </w:tcPr>
          <w:p>
            <w:pPr>
              <w:spacing w:after="0"/>
            </w:pPr>
            <w:r/>
            <w:r>
              <w:rPr>
                <w:rFonts w:ascii="Aptos" w:hAnsi="Aptos" w:eastAsia="Aptos"/>
                <w:b w:val="0"/>
                <w:sz w:val="16"/>
              </w:rPr>
              <w:t>POs/starts</w:t>
            </w:r>
          </w:p>
        </w:tc>
        <w:tc>
          <w:tcPr>
            <w:tcW w:type="dxa" w:w="4320"/>
            <w:vAlign w:val="center"/>
            <w:tcMar>
              <w:top w:w="80" w:type="dxa"/>
              <w:left w:w="80" w:type="dxa"/>
              <w:bottom w:w="80" w:type="dxa"/>
              <w:right w:w="80" w:type="dxa"/>
            </w:tcMar>
          </w:tcPr>
          <w:p>
            <w:pPr>
              <w:spacing w:after="0"/>
            </w:pPr>
            <w:r/>
            <w:r>
              <w:rPr>
                <w:rFonts w:ascii="Aptos" w:hAnsi="Aptos" w:eastAsia="Aptos"/>
                <w:b w:val="0"/>
                <w:sz w:val="16"/>
              </w:rPr>
              <w:t>1–2 additional clean POs or starts</w:t>
            </w:r>
          </w:p>
        </w:tc>
        <w:tc>
          <w:tcPr>
            <w:tcW w:type="dxa" w:w="4392"/>
            <w:vAlign w:val="center"/>
            <w:tcMar>
              <w:top w:w="80" w:type="dxa"/>
              <w:left w:w="80" w:type="dxa"/>
              <w:bottom w:w="80" w:type="dxa"/>
              <w:right w:w="80" w:type="dxa"/>
            </w:tcMar>
          </w:tcPr>
          <w:p>
            <w:pPr>
              <w:spacing w:after="0"/>
            </w:pPr>
            <w:r/>
            <w:r>
              <w:rPr>
                <w:rFonts w:ascii="Aptos" w:hAnsi="Aptos" w:eastAsia="Aptos"/>
                <w:b w:val="0"/>
                <w:sz w:val="16"/>
              </w:rPr>
              <w:t>PO/start confirmation and retained candidate status.</w:t>
            </w:r>
          </w:p>
        </w:tc>
      </w:tr>
      <w:tr>
        <w:tc>
          <w:tcPr>
            <w:tcW w:type="dxa" w:w="2088"/>
            <w:vAlign w:val="center"/>
            <w:tcMar>
              <w:top w:w="80" w:type="dxa"/>
              <w:left w:w="80" w:type="dxa"/>
              <w:bottom w:w="80" w:type="dxa"/>
              <w:right w:w="80" w:type="dxa"/>
            </w:tcMar>
          </w:tcPr>
          <w:p>
            <w:pPr>
              <w:spacing w:after="0"/>
            </w:pPr>
            <w:r/>
            <w:r>
              <w:rPr>
                <w:rFonts w:ascii="Aptos" w:hAnsi="Aptos" w:eastAsia="Aptos"/>
                <w:b w:val="0"/>
                <w:sz w:val="16"/>
              </w:rPr>
              <w:t>Client/MSP learning</w:t>
            </w:r>
          </w:p>
        </w:tc>
        <w:tc>
          <w:tcPr>
            <w:tcW w:type="dxa" w:w="4320"/>
            <w:vAlign w:val="center"/>
            <w:tcMar>
              <w:top w:w="80" w:type="dxa"/>
              <w:left w:w="80" w:type="dxa"/>
              <w:bottom w:w="80" w:type="dxa"/>
              <w:right w:w="80" w:type="dxa"/>
            </w:tcMar>
          </w:tcPr>
          <w:p>
            <w:pPr>
              <w:spacing w:after="0"/>
            </w:pPr>
            <w:r/>
            <w:r>
              <w:rPr>
                <w:rFonts w:ascii="Aptos" w:hAnsi="Aptos" w:eastAsia="Aptos"/>
                <w:b w:val="0"/>
                <w:sz w:val="16"/>
              </w:rPr>
              <w:t>Track rejection reasons and adjust sourcing strategy</w:t>
            </w:r>
          </w:p>
        </w:tc>
        <w:tc>
          <w:tcPr>
            <w:tcW w:type="dxa" w:w="4392"/>
            <w:vAlign w:val="center"/>
            <w:tcMar>
              <w:top w:w="80" w:type="dxa"/>
              <w:left w:w="80" w:type="dxa"/>
              <w:bottom w:w="80" w:type="dxa"/>
              <w:right w:w="80" w:type="dxa"/>
            </w:tcMar>
          </w:tcPr>
          <w:p>
            <w:pPr>
              <w:spacing w:after="0"/>
            </w:pPr>
            <w:r/>
            <w:r>
              <w:rPr>
                <w:rFonts w:ascii="Aptos" w:hAnsi="Aptos" w:eastAsia="Aptos"/>
                <w:b w:val="0"/>
                <w:sz w:val="16"/>
              </w:rPr>
              <w:t>Weekly reason-code summary and action plan.</w:t>
            </w:r>
          </w:p>
        </w:tc>
      </w:tr>
      <w:tr>
        <w:tc>
          <w:tcPr>
            <w:tcW w:type="dxa" w:w="2088"/>
            <w:vAlign w:val="center"/>
            <w:tcMar>
              <w:top w:w="80" w:type="dxa"/>
              <w:left w:w="80" w:type="dxa"/>
              <w:bottom w:w="80" w:type="dxa"/>
              <w:right w:w="80" w:type="dxa"/>
            </w:tcMar>
          </w:tcPr>
          <w:p>
            <w:pPr>
              <w:spacing w:after="0"/>
            </w:pPr>
            <w:r/>
            <w:r>
              <w:rPr>
                <w:rFonts w:ascii="Aptos" w:hAnsi="Aptos" w:eastAsia="Aptos"/>
                <w:b w:val="0"/>
                <w:sz w:val="16"/>
              </w:rPr>
              <w:t>Weak submission reduction</w:t>
            </w:r>
          </w:p>
        </w:tc>
        <w:tc>
          <w:tcPr>
            <w:tcW w:type="dxa" w:w="4320"/>
            <w:vAlign w:val="center"/>
            <w:tcMar>
              <w:top w:w="80" w:type="dxa"/>
              <w:left w:w="80" w:type="dxa"/>
              <w:bottom w:w="80" w:type="dxa"/>
              <w:right w:w="80" w:type="dxa"/>
            </w:tcMar>
          </w:tcPr>
          <w:p>
            <w:pPr>
              <w:spacing w:after="0"/>
            </w:pPr>
            <w:r/>
            <w:r>
              <w:rPr>
                <w:rFonts w:ascii="Aptos" w:hAnsi="Aptos" w:eastAsia="Aptos"/>
                <w:b w:val="0"/>
                <w:sz w:val="16"/>
              </w:rPr>
              <w:t>Fewer unconfirmed, low-commitment, or mismatched candidates</w:t>
            </w:r>
          </w:p>
        </w:tc>
        <w:tc>
          <w:tcPr>
            <w:tcW w:type="dxa" w:w="4392"/>
            <w:vAlign w:val="center"/>
            <w:tcMar>
              <w:top w:w="80" w:type="dxa"/>
              <w:left w:w="80" w:type="dxa"/>
              <w:bottom w:w="80" w:type="dxa"/>
              <w:right w:w="80" w:type="dxa"/>
            </w:tcMar>
          </w:tcPr>
          <w:p>
            <w:pPr>
              <w:spacing w:after="0"/>
            </w:pPr>
            <w:r/>
            <w:r>
              <w:rPr>
                <w:rFonts w:ascii="Aptos" w:hAnsi="Aptos" w:eastAsia="Aptos"/>
                <w:b w:val="0"/>
                <w:sz w:val="16"/>
              </w:rPr>
              <w:t>Quality review by lead/manager.</w:t>
            </w:r>
          </w:p>
        </w:tc>
      </w:tr>
      <w:tr>
        <w:tc>
          <w:tcPr>
            <w:tcW w:type="dxa" w:w="2088"/>
            <w:vAlign w:val="center"/>
            <w:tcMar>
              <w:top w:w="80" w:type="dxa"/>
              <w:left w:w="80" w:type="dxa"/>
              <w:bottom w:w="80" w:type="dxa"/>
              <w:right w:w="80" w:type="dxa"/>
            </w:tcMar>
          </w:tcPr>
          <w:p>
            <w:pPr>
              <w:spacing w:after="0"/>
            </w:pPr>
            <w:r/>
            <w:r>
              <w:rPr>
                <w:rFonts w:ascii="Aptos" w:hAnsi="Aptos" w:eastAsia="Aptos"/>
                <w:b w:val="0"/>
                <w:sz w:val="16"/>
              </w:rPr>
              <w:t>Sourcer output</w:t>
            </w:r>
          </w:p>
        </w:tc>
        <w:tc>
          <w:tcPr>
            <w:tcW w:type="dxa" w:w="4320"/>
            <w:vAlign w:val="center"/>
            <w:tcMar>
              <w:top w:w="80" w:type="dxa"/>
              <w:left w:w="80" w:type="dxa"/>
              <w:bottom w:w="80" w:type="dxa"/>
              <w:right w:w="80" w:type="dxa"/>
            </w:tcMar>
          </w:tcPr>
          <w:p>
            <w:pPr>
              <w:spacing w:after="0"/>
            </w:pPr>
            <w:r/>
            <w:r>
              <w:rPr>
                <w:rFonts w:ascii="Aptos" w:hAnsi="Aptos" w:eastAsia="Aptos"/>
                <w:b w:val="0"/>
                <w:sz w:val="16"/>
              </w:rPr>
              <w:t>Sourcers produce usable candidates, not just volume</w:t>
            </w:r>
          </w:p>
        </w:tc>
        <w:tc>
          <w:tcPr>
            <w:tcW w:type="dxa" w:w="4392"/>
            <w:vAlign w:val="center"/>
            <w:tcMar>
              <w:top w:w="80" w:type="dxa"/>
              <w:left w:w="80" w:type="dxa"/>
              <w:bottom w:w="80" w:type="dxa"/>
              <w:right w:w="80" w:type="dxa"/>
            </w:tcMar>
          </w:tcPr>
          <w:p>
            <w:pPr>
              <w:spacing w:after="0"/>
            </w:pPr>
            <w:r/>
            <w:r>
              <w:rPr>
                <w:rFonts w:ascii="Aptos" w:hAnsi="Aptos" w:eastAsia="Aptos"/>
                <w:b w:val="0"/>
                <w:sz w:val="16"/>
              </w:rPr>
              <w:t>Weekly sourcer output and conversion quality.</w:t>
            </w:r>
          </w:p>
        </w:tc>
      </w:tr>
      <w:tr>
        <w:tc>
          <w:tcPr>
            <w:tcW w:type="dxa" w:w="2088"/>
            <w:vAlign w:val="center"/>
            <w:tcMar>
              <w:top w:w="80" w:type="dxa"/>
              <w:left w:w="80" w:type="dxa"/>
              <w:bottom w:w="80" w:type="dxa"/>
              <w:right w:w="80" w:type="dxa"/>
            </w:tcMar>
          </w:tcPr>
          <w:p>
            <w:pPr>
              <w:spacing w:after="0"/>
            </w:pPr>
            <w:r/>
            <w:r>
              <w:rPr>
                <w:rFonts w:ascii="Aptos" w:hAnsi="Aptos" w:eastAsia="Aptos"/>
                <w:b w:val="0"/>
                <w:sz w:val="16"/>
              </w:rPr>
              <w:t>Risk management</w:t>
            </w:r>
          </w:p>
        </w:tc>
        <w:tc>
          <w:tcPr>
            <w:tcW w:type="dxa" w:w="4320"/>
            <w:vAlign w:val="center"/>
            <w:tcMar>
              <w:top w:w="80" w:type="dxa"/>
              <w:left w:w="80" w:type="dxa"/>
              <w:bottom w:w="80" w:type="dxa"/>
              <w:right w:w="80" w:type="dxa"/>
            </w:tcMar>
          </w:tcPr>
          <w:p>
            <w:pPr>
              <w:spacing w:after="0"/>
            </w:pPr>
            <w:r/>
            <w:r>
              <w:rPr>
                <w:rFonts w:ascii="Aptos" w:hAnsi="Aptos" w:eastAsia="Aptos"/>
                <w:b w:val="0"/>
                <w:sz w:val="16"/>
              </w:rPr>
              <w:t>No avoidable falloff due to weak screening or missed communication</w:t>
            </w:r>
          </w:p>
        </w:tc>
        <w:tc>
          <w:tcPr>
            <w:tcW w:type="dxa" w:w="4392"/>
            <w:vAlign w:val="center"/>
            <w:tcMar>
              <w:top w:w="80" w:type="dxa"/>
              <w:left w:w="80" w:type="dxa"/>
              <w:bottom w:w="80" w:type="dxa"/>
              <w:right w:w="80" w:type="dxa"/>
            </w:tcMar>
          </w:tcPr>
          <w:p>
            <w:pPr>
              <w:spacing w:after="0"/>
            </w:pPr>
            <w:r/>
            <w:r>
              <w:rPr>
                <w:rFonts w:ascii="Aptos" w:hAnsi="Aptos" w:eastAsia="Aptos"/>
                <w:b w:val="0"/>
                <w:sz w:val="16"/>
              </w:rPr>
              <w:t>Risk log and candidate commitment checks.</w:t>
            </w:r>
          </w:p>
        </w:tc>
      </w:tr>
    </w:tbl>
    <w:p/>
    <w:p>
      <w:pPr>
        <w:pStyle w:val="Heading2"/>
      </w:pPr>
      <w:r>
        <w:t>Days 61–90: Prove senior-level ownership</w:t>
      </w:r>
    </w:p>
    <w:tbl>
      <w:tblPr>
        <w:tblStyle w:val="TableGrid"/>
        <w:tblW w:type="auto" w:w="0"/>
        <w:jc w:val="center"/>
        <w:tblLayout w:type="autofit"/>
        <w:tblLook w:firstColumn="1" w:firstRow="1" w:lastColumn="0" w:lastRow="0" w:noHBand="0" w:noVBand="1" w:val="04A0"/>
      </w:tblPr>
      <w:tblGrid>
        <w:gridCol w:w="3552"/>
        <w:gridCol w:w="3552"/>
        <w:gridCol w:w="3552"/>
      </w:tblGrid>
      <w:tr>
        <w:tc>
          <w:tcPr>
            <w:tcW w:type="dxa" w:w="2088"/>
            <w:shd w:fill="1F4E79"/>
            <w:vAlign w:val="center"/>
            <w:tcMar>
              <w:top w:w="80" w:type="dxa"/>
              <w:left w:w="80" w:type="dxa"/>
              <w:bottom w:w="80" w:type="dxa"/>
              <w:right w:w="80" w:type="dxa"/>
            </w:tcMar>
            <w:shd w:fill="1F4E79"/>
          </w:tcPr>
          <w:p>
            <w:pPr>
              <w:spacing w:after="0"/>
            </w:pPr>
            <w:r>
              <w:rPr>
                <w:b/>
                <w:color w:val="FFFFFF"/>
              </w:rPr>
            </w:r>
            <w:r>
              <w:rPr>
                <w:rFonts w:ascii="Aptos" w:hAnsi="Aptos" w:eastAsia="Aptos"/>
                <w:b/>
                <w:color w:val="FFFFFF"/>
                <w:sz w:val="16"/>
              </w:rPr>
              <w:t>Area</w:t>
            </w:r>
          </w:p>
        </w:tc>
        <w:tc>
          <w:tcPr>
            <w:tcW w:type="dxa" w:w="4320"/>
            <w:shd w:fill="1F4E79"/>
            <w:vAlign w:val="center"/>
            <w:tcMar>
              <w:top w:w="80" w:type="dxa"/>
              <w:left w:w="80" w:type="dxa"/>
              <w:bottom w:w="80" w:type="dxa"/>
              <w:right w:w="80" w:type="dxa"/>
            </w:tcMar>
            <w:shd w:fill="1F4E79"/>
          </w:tcPr>
          <w:p>
            <w:pPr>
              <w:spacing w:after="0"/>
            </w:pPr>
            <w:r>
              <w:rPr>
                <w:b/>
                <w:color w:val="FFFFFF"/>
              </w:rPr>
            </w:r>
            <w:r>
              <w:rPr>
                <w:rFonts w:ascii="Aptos" w:hAnsi="Aptos" w:eastAsia="Aptos"/>
                <w:b/>
                <w:color w:val="FFFFFF"/>
                <w:sz w:val="16"/>
              </w:rPr>
              <w:t>Target / Milestone</w:t>
            </w:r>
          </w:p>
        </w:tc>
        <w:tc>
          <w:tcPr>
            <w:tcW w:type="dxa" w:w="4392"/>
            <w:shd w:fill="1F4E79"/>
            <w:vAlign w:val="center"/>
            <w:tcMar>
              <w:top w:w="80" w:type="dxa"/>
              <w:left w:w="80" w:type="dxa"/>
              <w:bottom w:w="80" w:type="dxa"/>
              <w:right w:w="80" w:type="dxa"/>
            </w:tcMar>
            <w:shd w:fill="1F4E79"/>
          </w:tcPr>
          <w:p>
            <w:pPr>
              <w:spacing w:after="0"/>
            </w:pPr>
            <w:r>
              <w:rPr>
                <w:b/>
                <w:color w:val="FFFFFF"/>
              </w:rPr>
            </w:r>
            <w:r>
              <w:rPr>
                <w:rFonts w:ascii="Aptos" w:hAnsi="Aptos" w:eastAsia="Aptos"/>
                <w:b/>
                <w:color w:val="FFFFFF"/>
                <w:sz w:val="16"/>
              </w:rPr>
              <w:t>Evidence Needed</w:t>
            </w:r>
          </w:p>
        </w:tc>
      </w:tr>
      <w:tr>
        <w:tc>
          <w:tcPr>
            <w:tcW w:type="dxa" w:w="2088"/>
            <w:vAlign w:val="center"/>
            <w:tcMar>
              <w:top w:w="80" w:type="dxa"/>
              <w:left w:w="80" w:type="dxa"/>
              <w:bottom w:w="80" w:type="dxa"/>
              <w:right w:w="80" w:type="dxa"/>
            </w:tcMar>
          </w:tcPr>
          <w:p>
            <w:pPr>
              <w:spacing w:after="0"/>
            </w:pPr>
            <w:r/>
            <w:r>
              <w:rPr>
                <w:rFonts w:ascii="Aptos" w:hAnsi="Aptos" w:eastAsia="Aptos"/>
                <w:b w:val="0"/>
                <w:sz w:val="16"/>
              </w:rPr>
              <w:t>Total quality submissions</w:t>
            </w:r>
          </w:p>
        </w:tc>
        <w:tc>
          <w:tcPr>
            <w:tcW w:type="dxa" w:w="4320"/>
            <w:vAlign w:val="center"/>
            <w:tcMar>
              <w:top w:w="80" w:type="dxa"/>
              <w:left w:w="80" w:type="dxa"/>
              <w:bottom w:w="80" w:type="dxa"/>
              <w:right w:w="80" w:type="dxa"/>
            </w:tcMar>
          </w:tcPr>
          <w:p>
            <w:pPr>
              <w:spacing w:after="0"/>
            </w:pPr>
            <w:r/>
            <w:r>
              <w:rPr>
                <w:rFonts w:ascii="Aptos" w:hAnsi="Aptos" w:eastAsia="Aptos"/>
                <w:b w:val="0"/>
                <w:sz w:val="16"/>
              </w:rPr>
              <w:t>55–65 total quality submissions across 90 days</w:t>
            </w:r>
          </w:p>
        </w:tc>
        <w:tc>
          <w:tcPr>
            <w:tcW w:type="dxa" w:w="4392"/>
            <w:vAlign w:val="center"/>
            <w:tcMar>
              <w:top w:w="80" w:type="dxa"/>
              <w:left w:w="80" w:type="dxa"/>
              <w:bottom w:w="80" w:type="dxa"/>
              <w:right w:w="80" w:type="dxa"/>
            </w:tcMar>
          </w:tcPr>
          <w:p>
            <w:pPr>
              <w:spacing w:after="0"/>
            </w:pPr>
            <w:r/>
            <w:r>
              <w:rPr>
                <w:rFonts w:ascii="Aptos" w:hAnsi="Aptos" w:eastAsia="Aptos"/>
                <w:b w:val="0"/>
                <w:sz w:val="16"/>
              </w:rPr>
              <w:t>Full 90-day submission report.</w:t>
            </w:r>
          </w:p>
        </w:tc>
      </w:tr>
      <w:tr>
        <w:tc>
          <w:tcPr>
            <w:tcW w:type="dxa" w:w="2088"/>
            <w:vAlign w:val="center"/>
            <w:tcMar>
              <w:top w:w="80" w:type="dxa"/>
              <w:left w:w="80" w:type="dxa"/>
              <w:bottom w:w="80" w:type="dxa"/>
              <w:right w:w="80" w:type="dxa"/>
            </w:tcMar>
          </w:tcPr>
          <w:p>
            <w:pPr>
              <w:spacing w:after="0"/>
            </w:pPr>
            <w:r/>
            <w:r>
              <w:rPr>
                <w:rFonts w:ascii="Aptos" w:hAnsi="Aptos" w:eastAsia="Aptos"/>
                <w:b w:val="0"/>
                <w:sz w:val="16"/>
              </w:rPr>
              <w:t>Total clean POs/starts</w:t>
            </w:r>
          </w:p>
        </w:tc>
        <w:tc>
          <w:tcPr>
            <w:tcW w:type="dxa" w:w="4320"/>
            <w:vAlign w:val="center"/>
            <w:tcMar>
              <w:top w:w="80" w:type="dxa"/>
              <w:left w:w="80" w:type="dxa"/>
              <w:bottom w:w="80" w:type="dxa"/>
              <w:right w:w="80" w:type="dxa"/>
            </w:tcMar>
          </w:tcPr>
          <w:p>
            <w:pPr>
              <w:spacing w:after="0"/>
            </w:pPr>
            <w:r/>
            <w:r>
              <w:rPr>
                <w:rFonts w:ascii="Aptos" w:hAnsi="Aptos" w:eastAsia="Aptos"/>
                <w:b w:val="0"/>
                <w:sz w:val="16"/>
              </w:rPr>
              <w:t>Minimum 3 clean POs/starts; strong performance is 4+</w:t>
            </w:r>
          </w:p>
        </w:tc>
        <w:tc>
          <w:tcPr>
            <w:tcW w:type="dxa" w:w="4392"/>
            <w:vAlign w:val="center"/>
            <w:tcMar>
              <w:top w:w="80" w:type="dxa"/>
              <w:left w:w="80" w:type="dxa"/>
              <w:bottom w:w="80" w:type="dxa"/>
              <w:right w:w="80" w:type="dxa"/>
            </w:tcMar>
          </w:tcPr>
          <w:p>
            <w:pPr>
              <w:spacing w:after="0"/>
            </w:pPr>
            <w:r/>
            <w:r>
              <w:rPr>
                <w:rFonts w:ascii="Aptos" w:hAnsi="Aptos" w:eastAsia="Aptos"/>
                <w:b w:val="0"/>
                <w:sz w:val="16"/>
              </w:rPr>
              <w:t>PO/start and retained billing status.</w:t>
            </w:r>
          </w:p>
        </w:tc>
      </w:tr>
      <w:tr>
        <w:tc>
          <w:tcPr>
            <w:tcW w:type="dxa" w:w="2088"/>
            <w:vAlign w:val="center"/>
            <w:tcMar>
              <w:top w:w="80" w:type="dxa"/>
              <w:left w:w="80" w:type="dxa"/>
              <w:bottom w:w="80" w:type="dxa"/>
              <w:right w:w="80" w:type="dxa"/>
            </w:tcMar>
          </w:tcPr>
          <w:p>
            <w:pPr>
              <w:spacing w:after="0"/>
            </w:pPr>
            <w:r/>
            <w:r>
              <w:rPr>
                <w:rFonts w:ascii="Aptos" w:hAnsi="Aptos" w:eastAsia="Aptos"/>
                <w:b w:val="0"/>
                <w:sz w:val="16"/>
              </w:rPr>
              <w:t>Retention quality</w:t>
            </w:r>
          </w:p>
        </w:tc>
        <w:tc>
          <w:tcPr>
            <w:tcW w:type="dxa" w:w="4320"/>
            <w:vAlign w:val="center"/>
            <w:tcMar>
              <w:top w:w="80" w:type="dxa"/>
              <w:left w:w="80" w:type="dxa"/>
              <w:bottom w:w="80" w:type="dxa"/>
              <w:right w:w="80" w:type="dxa"/>
            </w:tcMar>
          </w:tcPr>
          <w:p>
            <w:pPr>
              <w:spacing w:after="0"/>
            </w:pPr>
            <w:r/>
            <w:r>
              <w:rPr>
                <w:rFonts w:ascii="Aptos" w:hAnsi="Aptos" w:eastAsia="Aptos"/>
                <w:b w:val="0"/>
                <w:sz w:val="16"/>
              </w:rPr>
              <w:t>Candidates stay, bill, and remain committed</w:t>
            </w:r>
          </w:p>
        </w:tc>
        <w:tc>
          <w:tcPr>
            <w:tcW w:type="dxa" w:w="4392"/>
            <w:vAlign w:val="center"/>
            <w:tcMar>
              <w:top w:w="80" w:type="dxa"/>
              <w:left w:w="80" w:type="dxa"/>
              <w:bottom w:w="80" w:type="dxa"/>
              <w:right w:w="80" w:type="dxa"/>
            </w:tcMar>
          </w:tcPr>
          <w:p>
            <w:pPr>
              <w:spacing w:after="0"/>
            </w:pPr>
            <w:r/>
            <w:r>
              <w:rPr>
                <w:rFonts w:ascii="Aptos" w:hAnsi="Aptos" w:eastAsia="Aptos"/>
                <w:b w:val="0"/>
                <w:sz w:val="16"/>
              </w:rPr>
              <w:t>30-day retention status on each start.</w:t>
            </w:r>
          </w:p>
        </w:tc>
      </w:tr>
      <w:tr>
        <w:tc>
          <w:tcPr>
            <w:tcW w:type="dxa" w:w="2088"/>
            <w:vAlign w:val="center"/>
            <w:tcMar>
              <w:top w:w="80" w:type="dxa"/>
              <w:left w:w="80" w:type="dxa"/>
              <w:bottom w:w="80" w:type="dxa"/>
              <w:right w:w="80" w:type="dxa"/>
            </w:tcMar>
          </w:tcPr>
          <w:p>
            <w:pPr>
              <w:spacing w:after="0"/>
            </w:pPr>
            <w:r/>
            <w:r>
              <w:rPr>
                <w:rFonts w:ascii="Aptos" w:hAnsi="Aptos" w:eastAsia="Aptos"/>
                <w:b w:val="0"/>
                <w:sz w:val="16"/>
              </w:rPr>
              <w:t>Desk ownership</w:t>
            </w:r>
          </w:p>
        </w:tc>
        <w:tc>
          <w:tcPr>
            <w:tcW w:type="dxa" w:w="4320"/>
            <w:vAlign w:val="center"/>
            <w:tcMar>
              <w:top w:w="80" w:type="dxa"/>
              <w:left w:w="80" w:type="dxa"/>
              <w:bottom w:w="80" w:type="dxa"/>
              <w:right w:w="80" w:type="dxa"/>
            </w:tcMar>
          </w:tcPr>
          <w:p>
            <w:pPr>
              <w:spacing w:after="0"/>
            </w:pPr>
            <w:r/>
            <w:r>
              <w:rPr>
                <w:rFonts w:ascii="Aptos" w:hAnsi="Aptos" w:eastAsia="Aptos"/>
                <w:b w:val="0"/>
                <w:sz w:val="16"/>
              </w:rPr>
              <w:t>Own priorities, candidate follow-up, and sourcer direction proactively</w:t>
            </w:r>
          </w:p>
        </w:tc>
        <w:tc>
          <w:tcPr>
            <w:tcW w:type="dxa" w:w="4392"/>
            <w:vAlign w:val="center"/>
            <w:tcMar>
              <w:top w:w="80" w:type="dxa"/>
              <w:left w:w="80" w:type="dxa"/>
              <w:bottom w:w="80" w:type="dxa"/>
              <w:right w:w="80" w:type="dxa"/>
            </w:tcMar>
          </w:tcPr>
          <w:p>
            <w:pPr>
              <w:spacing w:after="0"/>
            </w:pPr>
            <w:r/>
            <w:r>
              <w:rPr>
                <w:rFonts w:ascii="Aptos" w:hAnsi="Aptos" w:eastAsia="Aptos"/>
                <w:b w:val="0"/>
                <w:sz w:val="16"/>
              </w:rPr>
              <w:t>Weekly tracker shows no repeated chasing needed.</w:t>
            </w:r>
          </w:p>
        </w:tc>
      </w:tr>
      <w:tr>
        <w:tc>
          <w:tcPr>
            <w:tcW w:type="dxa" w:w="2088"/>
            <w:vAlign w:val="center"/>
            <w:tcMar>
              <w:top w:w="80" w:type="dxa"/>
              <w:left w:w="80" w:type="dxa"/>
              <w:bottom w:w="80" w:type="dxa"/>
              <w:right w:w="80" w:type="dxa"/>
            </w:tcMar>
          </w:tcPr>
          <w:p>
            <w:pPr>
              <w:spacing w:after="0"/>
            </w:pPr>
            <w:r/>
            <w:r>
              <w:rPr>
                <w:rFonts w:ascii="Aptos" w:hAnsi="Aptos" w:eastAsia="Aptos"/>
                <w:b w:val="0"/>
                <w:sz w:val="16"/>
              </w:rPr>
              <w:t>Communication</w:t>
            </w:r>
          </w:p>
        </w:tc>
        <w:tc>
          <w:tcPr>
            <w:tcW w:type="dxa" w:w="4320"/>
            <w:vAlign w:val="center"/>
            <w:tcMar>
              <w:top w:w="80" w:type="dxa"/>
              <w:left w:w="80" w:type="dxa"/>
              <w:bottom w:w="80" w:type="dxa"/>
              <w:right w:w="80" w:type="dxa"/>
            </w:tcMar>
          </w:tcPr>
          <w:p>
            <w:pPr>
              <w:spacing w:after="0"/>
            </w:pPr>
            <w:r/>
            <w:r>
              <w:rPr>
                <w:rFonts w:ascii="Aptos" w:hAnsi="Aptos" w:eastAsia="Aptos"/>
                <w:b w:val="0"/>
                <w:sz w:val="16"/>
              </w:rPr>
              <w:t>Proactive escalation of risks, gaps, and client/candidate blockers</w:t>
            </w:r>
          </w:p>
        </w:tc>
        <w:tc>
          <w:tcPr>
            <w:tcW w:type="dxa" w:w="4392"/>
            <w:vAlign w:val="center"/>
            <w:tcMar>
              <w:top w:w="80" w:type="dxa"/>
              <w:left w:w="80" w:type="dxa"/>
              <w:bottom w:w="80" w:type="dxa"/>
              <w:right w:w="80" w:type="dxa"/>
            </w:tcMar>
          </w:tcPr>
          <w:p>
            <w:pPr>
              <w:spacing w:after="0"/>
            </w:pPr>
            <w:r/>
            <w:r>
              <w:rPr>
                <w:rFonts w:ascii="Aptos" w:hAnsi="Aptos" w:eastAsia="Aptos"/>
                <w:b w:val="0"/>
                <w:sz w:val="16"/>
              </w:rPr>
              <w:t>Weekly notes and escalation log.</w:t>
            </w:r>
          </w:p>
        </w:tc>
      </w:tr>
      <w:tr>
        <w:tc>
          <w:tcPr>
            <w:tcW w:type="dxa" w:w="2088"/>
            <w:vAlign w:val="center"/>
            <w:tcMar>
              <w:top w:w="80" w:type="dxa"/>
              <w:left w:w="80" w:type="dxa"/>
              <w:bottom w:w="80" w:type="dxa"/>
              <w:right w:w="80" w:type="dxa"/>
            </w:tcMar>
          </w:tcPr>
          <w:p>
            <w:pPr>
              <w:spacing w:after="0"/>
            </w:pPr>
            <w:r/>
            <w:r>
              <w:rPr>
                <w:rFonts w:ascii="Aptos" w:hAnsi="Aptos" w:eastAsia="Aptos"/>
                <w:b w:val="0"/>
                <w:sz w:val="16"/>
              </w:rPr>
              <w:t>Trust and confidentiality</w:t>
            </w:r>
          </w:p>
        </w:tc>
        <w:tc>
          <w:tcPr>
            <w:tcW w:type="dxa" w:w="4320"/>
            <w:vAlign w:val="center"/>
            <w:tcMar>
              <w:top w:w="80" w:type="dxa"/>
              <w:left w:w="80" w:type="dxa"/>
              <w:bottom w:w="80" w:type="dxa"/>
              <w:right w:w="80" w:type="dxa"/>
            </w:tcMar>
          </w:tcPr>
          <w:p>
            <w:pPr>
              <w:spacing w:after="0"/>
            </w:pPr>
            <w:r/>
            <w:r>
              <w:rPr>
                <w:rFonts w:ascii="Aptos" w:hAnsi="Aptos" w:eastAsia="Aptos"/>
                <w:b w:val="0"/>
                <w:sz w:val="16"/>
              </w:rPr>
              <w:t>Strong discretion with internal company matters</w:t>
            </w:r>
          </w:p>
        </w:tc>
        <w:tc>
          <w:tcPr>
            <w:tcW w:type="dxa" w:w="4392"/>
            <w:vAlign w:val="center"/>
            <w:tcMar>
              <w:top w:w="80" w:type="dxa"/>
              <w:left w:w="80" w:type="dxa"/>
              <w:bottom w:w="80" w:type="dxa"/>
              <w:right w:w="80" w:type="dxa"/>
            </w:tcMar>
          </w:tcPr>
          <w:p>
            <w:pPr>
              <w:spacing w:after="0"/>
            </w:pPr>
            <w:r/>
            <w:r>
              <w:rPr>
                <w:rFonts w:ascii="Aptos" w:hAnsi="Aptos" w:eastAsia="Aptos"/>
                <w:b w:val="0"/>
                <w:sz w:val="16"/>
              </w:rPr>
              <w:t>No external sharing of internal tools/processes/strategy without approval.</w:t>
            </w:r>
          </w:p>
        </w:tc>
      </w:tr>
    </w:tbl>
    <w:p/>
    <w:p>
      <w:r>
        <w:br w:type="page"/>
      </w:r>
    </w:p>
    <w:p>
      <w:pPr>
        <w:pStyle w:val="Heading1"/>
      </w:pPr>
      <w:r>
        <w:t>Weekly Review Tracker</w:t>
      </w:r>
    </w:p>
    <w:p>
      <w:r>
        <w:t>To be submitted every Friday by end of day. Use one row per week.</w:t>
      </w:r>
    </w:p>
    <w:tbl>
      <w:tblPr>
        <w:tblStyle w:val="TableGrid"/>
        <w:tblW w:type="auto" w:w="0"/>
        <w:jc w:val="center"/>
        <w:tblLayout w:type="autofit"/>
        <w:tblLook w:firstColumn="1" w:firstRow="1" w:lastColumn="0" w:lastRow="0" w:noHBand="0" w:noVBand="1" w:val="04A0"/>
      </w:tblPr>
      <w:tblGrid>
        <w:gridCol w:w="969"/>
        <w:gridCol w:w="969"/>
        <w:gridCol w:w="969"/>
        <w:gridCol w:w="969"/>
        <w:gridCol w:w="969"/>
        <w:gridCol w:w="969"/>
        <w:gridCol w:w="969"/>
        <w:gridCol w:w="969"/>
        <w:gridCol w:w="969"/>
        <w:gridCol w:w="969"/>
        <w:gridCol w:w="969"/>
      </w:tblGrid>
      <w:tr>
        <w:tc>
          <w:tcPr>
            <w:tcW w:type="dxa" w:w="969"/>
            <w:shd w:fill="1F4E79"/>
            <w:vAlign w:val="center"/>
            <w:tcMar>
              <w:top w:w="80" w:type="dxa"/>
              <w:left w:w="80" w:type="dxa"/>
              <w:bottom w:w="80" w:type="dxa"/>
              <w:right w:w="80" w:type="dxa"/>
            </w:tcMar>
            <w:shd w:fill="1F4E79"/>
          </w:tcPr>
          <w:p>
            <w:pPr>
              <w:spacing w:after="0"/>
            </w:pPr>
            <w:r>
              <w:rPr>
                <w:b/>
                <w:color w:val="FFFFFF"/>
              </w:rPr>
            </w:r>
            <w:r>
              <w:rPr>
                <w:rFonts w:ascii="Aptos" w:hAnsi="Aptos" w:eastAsia="Aptos"/>
                <w:b/>
                <w:color w:val="FFFFFF"/>
                <w:sz w:val="16"/>
              </w:rPr>
              <w:t>Week</w:t>
            </w:r>
          </w:p>
        </w:tc>
        <w:tc>
          <w:tcPr>
            <w:tcW w:type="dxa" w:w="969"/>
            <w:shd w:fill="1F4E79"/>
            <w:vAlign w:val="center"/>
            <w:tcMar>
              <w:top w:w="80" w:type="dxa"/>
              <w:left w:w="80" w:type="dxa"/>
              <w:bottom w:w="80" w:type="dxa"/>
              <w:right w:w="80" w:type="dxa"/>
            </w:tcMar>
            <w:shd w:fill="1F4E79"/>
          </w:tcPr>
          <w:p>
            <w:pPr>
              <w:spacing w:after="0"/>
            </w:pPr>
            <w:r>
              <w:rPr>
                <w:b/>
                <w:color w:val="FFFFFF"/>
              </w:rPr>
            </w:r>
            <w:r>
              <w:rPr>
                <w:rFonts w:ascii="Aptos" w:hAnsi="Aptos" w:eastAsia="Aptos"/>
                <w:b/>
                <w:color w:val="FFFFFF"/>
                <w:sz w:val="16"/>
              </w:rPr>
              <w:t>New Candidates Sourced</w:t>
            </w:r>
          </w:p>
        </w:tc>
        <w:tc>
          <w:tcPr>
            <w:tcW w:type="dxa" w:w="969"/>
            <w:shd w:fill="1F4E79"/>
            <w:vAlign w:val="center"/>
            <w:tcMar>
              <w:top w:w="80" w:type="dxa"/>
              <w:left w:w="80" w:type="dxa"/>
              <w:bottom w:w="80" w:type="dxa"/>
              <w:right w:w="80" w:type="dxa"/>
            </w:tcMar>
            <w:shd w:fill="1F4E79"/>
          </w:tcPr>
          <w:p>
            <w:pPr>
              <w:spacing w:after="0"/>
            </w:pPr>
            <w:r>
              <w:rPr>
                <w:b/>
                <w:color w:val="FFFFFF"/>
              </w:rPr>
            </w:r>
            <w:r>
              <w:rPr>
                <w:rFonts w:ascii="Aptos" w:hAnsi="Aptos" w:eastAsia="Aptos"/>
                <w:b/>
                <w:color w:val="FFFFFF"/>
                <w:sz w:val="16"/>
              </w:rPr>
              <w:t>Screened</w:t>
            </w:r>
          </w:p>
        </w:tc>
        <w:tc>
          <w:tcPr>
            <w:tcW w:type="dxa" w:w="969"/>
            <w:shd w:fill="1F4E79"/>
            <w:vAlign w:val="center"/>
            <w:tcMar>
              <w:top w:w="80" w:type="dxa"/>
              <w:left w:w="80" w:type="dxa"/>
              <w:bottom w:w="80" w:type="dxa"/>
              <w:right w:w="80" w:type="dxa"/>
            </w:tcMar>
            <w:shd w:fill="1F4E79"/>
          </w:tcPr>
          <w:p>
            <w:pPr>
              <w:spacing w:after="0"/>
            </w:pPr>
            <w:r>
              <w:rPr>
                <w:b/>
                <w:color w:val="FFFFFF"/>
              </w:rPr>
            </w:r>
            <w:r>
              <w:rPr>
                <w:rFonts w:ascii="Aptos" w:hAnsi="Aptos" w:eastAsia="Aptos"/>
                <w:b/>
                <w:color w:val="FFFFFF"/>
                <w:sz w:val="16"/>
              </w:rPr>
              <w:t>Qualified</w:t>
            </w:r>
          </w:p>
        </w:tc>
        <w:tc>
          <w:tcPr>
            <w:tcW w:type="dxa" w:w="969"/>
            <w:shd w:fill="1F4E79"/>
            <w:vAlign w:val="center"/>
            <w:tcMar>
              <w:top w:w="80" w:type="dxa"/>
              <w:left w:w="80" w:type="dxa"/>
              <w:bottom w:w="80" w:type="dxa"/>
              <w:right w:w="80" w:type="dxa"/>
            </w:tcMar>
            <w:shd w:fill="1F4E79"/>
          </w:tcPr>
          <w:p>
            <w:pPr>
              <w:spacing w:after="0"/>
            </w:pPr>
            <w:r>
              <w:rPr>
                <w:b/>
                <w:color w:val="FFFFFF"/>
              </w:rPr>
            </w:r>
            <w:r>
              <w:rPr>
                <w:rFonts w:ascii="Aptos" w:hAnsi="Aptos" w:eastAsia="Aptos"/>
                <w:b/>
                <w:color w:val="FFFFFF"/>
                <w:sz w:val="16"/>
              </w:rPr>
              <w:t>Submissions</w:t>
            </w:r>
          </w:p>
        </w:tc>
        <w:tc>
          <w:tcPr>
            <w:tcW w:type="dxa" w:w="969"/>
            <w:shd w:fill="1F4E79"/>
            <w:vAlign w:val="center"/>
            <w:tcMar>
              <w:top w:w="80" w:type="dxa"/>
              <w:left w:w="80" w:type="dxa"/>
              <w:bottom w:w="80" w:type="dxa"/>
              <w:right w:w="80" w:type="dxa"/>
            </w:tcMar>
            <w:shd w:fill="1F4E79"/>
          </w:tcPr>
          <w:p>
            <w:pPr>
              <w:spacing w:after="0"/>
            </w:pPr>
            <w:r>
              <w:rPr>
                <w:b/>
                <w:color w:val="FFFFFF"/>
              </w:rPr>
            </w:r>
            <w:r>
              <w:rPr>
                <w:rFonts w:ascii="Aptos" w:hAnsi="Aptos" w:eastAsia="Aptos"/>
                <w:b/>
                <w:color w:val="FFFFFF"/>
                <w:sz w:val="16"/>
              </w:rPr>
              <w:t>Interviews / Client Movement</w:t>
            </w:r>
          </w:p>
        </w:tc>
        <w:tc>
          <w:tcPr>
            <w:tcW w:type="dxa" w:w="969"/>
            <w:shd w:fill="1F4E79"/>
            <w:vAlign w:val="center"/>
            <w:tcMar>
              <w:top w:w="80" w:type="dxa"/>
              <w:left w:w="80" w:type="dxa"/>
              <w:bottom w:w="80" w:type="dxa"/>
              <w:right w:w="80" w:type="dxa"/>
            </w:tcMar>
            <w:shd w:fill="1F4E79"/>
          </w:tcPr>
          <w:p>
            <w:pPr>
              <w:spacing w:after="0"/>
            </w:pPr>
            <w:r>
              <w:rPr>
                <w:b/>
                <w:color w:val="FFFFFF"/>
              </w:rPr>
            </w:r>
            <w:r>
              <w:rPr>
                <w:rFonts w:ascii="Aptos" w:hAnsi="Aptos" w:eastAsia="Aptos"/>
                <w:b/>
                <w:color w:val="FFFFFF"/>
                <w:sz w:val="16"/>
              </w:rPr>
              <w:t>POs / Starts</w:t>
            </w:r>
          </w:p>
        </w:tc>
        <w:tc>
          <w:tcPr>
            <w:tcW w:type="dxa" w:w="969"/>
            <w:shd w:fill="1F4E79"/>
            <w:vAlign w:val="center"/>
            <w:tcMar>
              <w:top w:w="80" w:type="dxa"/>
              <w:left w:w="80" w:type="dxa"/>
              <w:bottom w:w="80" w:type="dxa"/>
              <w:right w:w="80" w:type="dxa"/>
            </w:tcMar>
            <w:shd w:fill="1F4E79"/>
          </w:tcPr>
          <w:p>
            <w:pPr>
              <w:spacing w:after="0"/>
            </w:pPr>
            <w:r>
              <w:rPr>
                <w:b/>
                <w:color w:val="FFFFFF"/>
              </w:rPr>
            </w:r>
            <w:r>
              <w:rPr>
                <w:rFonts w:ascii="Aptos" w:hAnsi="Aptos" w:eastAsia="Aptos"/>
                <w:b/>
                <w:color w:val="FFFFFF"/>
                <w:sz w:val="16"/>
              </w:rPr>
              <w:t>Falloff Risks</w:t>
            </w:r>
          </w:p>
        </w:tc>
        <w:tc>
          <w:tcPr>
            <w:tcW w:type="dxa" w:w="969"/>
            <w:shd w:fill="1F4E79"/>
            <w:vAlign w:val="center"/>
            <w:tcMar>
              <w:top w:w="80" w:type="dxa"/>
              <w:left w:w="80" w:type="dxa"/>
              <w:bottom w:w="80" w:type="dxa"/>
              <w:right w:w="80" w:type="dxa"/>
            </w:tcMar>
            <w:shd w:fill="1F4E79"/>
          </w:tcPr>
          <w:p>
            <w:pPr>
              <w:spacing w:after="0"/>
            </w:pPr>
            <w:r>
              <w:rPr>
                <w:b/>
                <w:color w:val="FFFFFF"/>
              </w:rPr>
            </w:r>
            <w:r>
              <w:rPr>
                <w:rFonts w:ascii="Aptos" w:hAnsi="Aptos" w:eastAsia="Aptos"/>
                <w:b/>
                <w:color w:val="FFFFFF"/>
                <w:sz w:val="16"/>
              </w:rPr>
              <w:t>Candidate Follow-ups</w:t>
            </w:r>
          </w:p>
        </w:tc>
        <w:tc>
          <w:tcPr>
            <w:tcW w:type="dxa" w:w="969"/>
            <w:shd w:fill="1F4E79"/>
            <w:vAlign w:val="center"/>
            <w:tcMar>
              <w:top w:w="80" w:type="dxa"/>
              <w:left w:w="80" w:type="dxa"/>
              <w:bottom w:w="80" w:type="dxa"/>
              <w:right w:w="80" w:type="dxa"/>
            </w:tcMar>
            <w:shd w:fill="1F4E79"/>
          </w:tcPr>
          <w:p>
            <w:pPr>
              <w:spacing w:after="0"/>
            </w:pPr>
            <w:r>
              <w:rPr>
                <w:b/>
                <w:color w:val="FFFFFF"/>
              </w:rPr>
            </w:r>
            <w:r>
              <w:rPr>
                <w:rFonts w:ascii="Aptos" w:hAnsi="Aptos" w:eastAsia="Aptos"/>
                <w:b/>
                <w:color w:val="FFFFFF"/>
                <w:sz w:val="16"/>
              </w:rPr>
              <w:t>Sourcer Output Reviewed</w:t>
            </w:r>
          </w:p>
        </w:tc>
        <w:tc>
          <w:tcPr>
            <w:tcW w:type="dxa" w:w="969"/>
            <w:shd w:fill="1F4E79"/>
            <w:vAlign w:val="center"/>
            <w:tcMar>
              <w:top w:w="80" w:type="dxa"/>
              <w:left w:w="80" w:type="dxa"/>
              <w:bottom w:w="80" w:type="dxa"/>
              <w:right w:w="80" w:type="dxa"/>
            </w:tcMar>
            <w:shd w:fill="1F4E79"/>
          </w:tcPr>
          <w:p>
            <w:pPr>
              <w:spacing w:after="0"/>
            </w:pPr>
            <w:r>
              <w:rPr>
                <w:b/>
                <w:color w:val="FFFFFF"/>
              </w:rPr>
            </w:r>
            <w:r>
              <w:rPr>
                <w:rFonts w:ascii="Aptos" w:hAnsi="Aptos" w:eastAsia="Aptos"/>
                <w:b/>
                <w:color w:val="FFFFFF"/>
                <w:sz w:val="16"/>
              </w:rPr>
              <w:t>Issues / Support Needed</w:t>
            </w:r>
          </w:p>
        </w:tc>
      </w:tr>
      <w:tr>
        <w:tc>
          <w:tcPr>
            <w:tcW w:type="dxa" w:w="969"/>
            <w:vAlign w:val="center"/>
            <w:tcMar>
              <w:top w:w="80" w:type="dxa"/>
              <w:left w:w="80" w:type="dxa"/>
              <w:bottom w:w="80" w:type="dxa"/>
              <w:right w:w="80" w:type="dxa"/>
            </w:tcMar>
          </w:tcPr>
          <w:p>
            <w:pPr>
              <w:spacing w:after="0"/>
            </w:pPr>
            <w:r/>
            <w:r>
              <w:rPr>
                <w:rFonts w:ascii="Aptos" w:hAnsi="Aptos" w:eastAsia="Aptos"/>
                <w:b w:val="0"/>
                <w:sz w:val="14"/>
              </w:rPr>
              <w:t>Week 1</w:t>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r>
      <w:tr>
        <w:tc>
          <w:tcPr>
            <w:tcW w:type="dxa" w:w="969"/>
            <w:vAlign w:val="center"/>
            <w:tcMar>
              <w:top w:w="80" w:type="dxa"/>
              <w:left w:w="80" w:type="dxa"/>
              <w:bottom w:w="80" w:type="dxa"/>
              <w:right w:w="80" w:type="dxa"/>
            </w:tcMar>
          </w:tcPr>
          <w:p>
            <w:pPr>
              <w:spacing w:after="0"/>
            </w:pPr>
            <w:r/>
            <w:r>
              <w:rPr>
                <w:rFonts w:ascii="Aptos" w:hAnsi="Aptos" w:eastAsia="Aptos"/>
                <w:b w:val="0"/>
                <w:sz w:val="14"/>
              </w:rPr>
              <w:t>Week 2</w:t>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r>
      <w:tr>
        <w:tc>
          <w:tcPr>
            <w:tcW w:type="dxa" w:w="969"/>
            <w:vAlign w:val="center"/>
            <w:tcMar>
              <w:top w:w="80" w:type="dxa"/>
              <w:left w:w="80" w:type="dxa"/>
              <w:bottom w:w="80" w:type="dxa"/>
              <w:right w:w="80" w:type="dxa"/>
            </w:tcMar>
          </w:tcPr>
          <w:p>
            <w:pPr>
              <w:spacing w:after="0"/>
            </w:pPr>
            <w:r/>
            <w:r>
              <w:rPr>
                <w:rFonts w:ascii="Aptos" w:hAnsi="Aptos" w:eastAsia="Aptos"/>
                <w:b w:val="0"/>
                <w:sz w:val="14"/>
              </w:rPr>
              <w:t>Week 3</w:t>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r>
      <w:tr>
        <w:tc>
          <w:tcPr>
            <w:tcW w:type="dxa" w:w="969"/>
            <w:vAlign w:val="center"/>
            <w:tcMar>
              <w:top w:w="80" w:type="dxa"/>
              <w:left w:w="80" w:type="dxa"/>
              <w:bottom w:w="80" w:type="dxa"/>
              <w:right w:w="80" w:type="dxa"/>
            </w:tcMar>
          </w:tcPr>
          <w:p>
            <w:pPr>
              <w:spacing w:after="0"/>
            </w:pPr>
            <w:r/>
            <w:r>
              <w:rPr>
                <w:rFonts w:ascii="Aptos" w:hAnsi="Aptos" w:eastAsia="Aptos"/>
                <w:b w:val="0"/>
                <w:sz w:val="14"/>
              </w:rPr>
              <w:t>Week 4</w:t>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r>
      <w:tr>
        <w:tc>
          <w:tcPr>
            <w:tcW w:type="dxa" w:w="969"/>
            <w:vAlign w:val="center"/>
            <w:tcMar>
              <w:top w:w="80" w:type="dxa"/>
              <w:left w:w="80" w:type="dxa"/>
              <w:bottom w:w="80" w:type="dxa"/>
              <w:right w:w="80" w:type="dxa"/>
            </w:tcMar>
          </w:tcPr>
          <w:p>
            <w:pPr>
              <w:spacing w:after="0"/>
            </w:pPr>
            <w:r/>
            <w:r>
              <w:rPr>
                <w:rFonts w:ascii="Aptos" w:hAnsi="Aptos" w:eastAsia="Aptos"/>
                <w:b w:val="0"/>
                <w:sz w:val="14"/>
              </w:rPr>
              <w:t>Week 5</w:t>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r>
      <w:tr>
        <w:tc>
          <w:tcPr>
            <w:tcW w:type="dxa" w:w="969"/>
            <w:vAlign w:val="center"/>
            <w:tcMar>
              <w:top w:w="80" w:type="dxa"/>
              <w:left w:w="80" w:type="dxa"/>
              <w:bottom w:w="80" w:type="dxa"/>
              <w:right w:w="80" w:type="dxa"/>
            </w:tcMar>
          </w:tcPr>
          <w:p>
            <w:pPr>
              <w:spacing w:after="0"/>
            </w:pPr>
            <w:r/>
            <w:r>
              <w:rPr>
                <w:rFonts w:ascii="Aptos" w:hAnsi="Aptos" w:eastAsia="Aptos"/>
                <w:b w:val="0"/>
                <w:sz w:val="14"/>
              </w:rPr>
              <w:t>Week 6</w:t>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r>
      <w:tr>
        <w:tc>
          <w:tcPr>
            <w:tcW w:type="dxa" w:w="969"/>
            <w:vAlign w:val="center"/>
            <w:tcMar>
              <w:top w:w="80" w:type="dxa"/>
              <w:left w:w="80" w:type="dxa"/>
              <w:bottom w:w="80" w:type="dxa"/>
              <w:right w:w="80" w:type="dxa"/>
            </w:tcMar>
          </w:tcPr>
          <w:p>
            <w:pPr>
              <w:spacing w:after="0"/>
            </w:pPr>
            <w:r/>
            <w:r>
              <w:rPr>
                <w:rFonts w:ascii="Aptos" w:hAnsi="Aptos" w:eastAsia="Aptos"/>
                <w:b w:val="0"/>
                <w:sz w:val="14"/>
              </w:rPr>
              <w:t>Week 7</w:t>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r>
      <w:tr>
        <w:tc>
          <w:tcPr>
            <w:tcW w:type="dxa" w:w="969"/>
            <w:vAlign w:val="center"/>
            <w:tcMar>
              <w:top w:w="80" w:type="dxa"/>
              <w:left w:w="80" w:type="dxa"/>
              <w:bottom w:w="80" w:type="dxa"/>
              <w:right w:w="80" w:type="dxa"/>
            </w:tcMar>
          </w:tcPr>
          <w:p>
            <w:pPr>
              <w:spacing w:after="0"/>
            </w:pPr>
            <w:r/>
            <w:r>
              <w:rPr>
                <w:rFonts w:ascii="Aptos" w:hAnsi="Aptos" w:eastAsia="Aptos"/>
                <w:b w:val="0"/>
                <w:sz w:val="14"/>
              </w:rPr>
              <w:t>Week 8</w:t>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r>
      <w:tr>
        <w:tc>
          <w:tcPr>
            <w:tcW w:type="dxa" w:w="969"/>
            <w:vAlign w:val="center"/>
            <w:tcMar>
              <w:top w:w="80" w:type="dxa"/>
              <w:left w:w="80" w:type="dxa"/>
              <w:bottom w:w="80" w:type="dxa"/>
              <w:right w:w="80" w:type="dxa"/>
            </w:tcMar>
          </w:tcPr>
          <w:p>
            <w:pPr>
              <w:spacing w:after="0"/>
            </w:pPr>
            <w:r/>
            <w:r>
              <w:rPr>
                <w:rFonts w:ascii="Aptos" w:hAnsi="Aptos" w:eastAsia="Aptos"/>
                <w:b w:val="0"/>
                <w:sz w:val="14"/>
              </w:rPr>
              <w:t>Week 9</w:t>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r>
      <w:tr>
        <w:tc>
          <w:tcPr>
            <w:tcW w:type="dxa" w:w="969"/>
            <w:vAlign w:val="center"/>
            <w:tcMar>
              <w:top w:w="80" w:type="dxa"/>
              <w:left w:w="80" w:type="dxa"/>
              <w:bottom w:w="80" w:type="dxa"/>
              <w:right w:w="80" w:type="dxa"/>
            </w:tcMar>
          </w:tcPr>
          <w:p>
            <w:pPr>
              <w:spacing w:after="0"/>
            </w:pPr>
            <w:r/>
            <w:r>
              <w:rPr>
                <w:rFonts w:ascii="Aptos" w:hAnsi="Aptos" w:eastAsia="Aptos"/>
                <w:b w:val="0"/>
                <w:sz w:val="14"/>
              </w:rPr>
              <w:t>Week 10</w:t>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r>
      <w:tr>
        <w:tc>
          <w:tcPr>
            <w:tcW w:type="dxa" w:w="969"/>
            <w:vAlign w:val="center"/>
            <w:tcMar>
              <w:top w:w="80" w:type="dxa"/>
              <w:left w:w="80" w:type="dxa"/>
              <w:bottom w:w="80" w:type="dxa"/>
              <w:right w:w="80" w:type="dxa"/>
            </w:tcMar>
          </w:tcPr>
          <w:p>
            <w:pPr>
              <w:spacing w:after="0"/>
            </w:pPr>
            <w:r/>
            <w:r>
              <w:rPr>
                <w:rFonts w:ascii="Aptos" w:hAnsi="Aptos" w:eastAsia="Aptos"/>
                <w:b w:val="0"/>
                <w:sz w:val="14"/>
              </w:rPr>
              <w:t>Week 11</w:t>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r>
      <w:tr>
        <w:tc>
          <w:tcPr>
            <w:tcW w:type="dxa" w:w="969"/>
            <w:vAlign w:val="center"/>
            <w:tcMar>
              <w:top w:w="80" w:type="dxa"/>
              <w:left w:w="80" w:type="dxa"/>
              <w:bottom w:w="80" w:type="dxa"/>
              <w:right w:w="80" w:type="dxa"/>
            </w:tcMar>
          </w:tcPr>
          <w:p>
            <w:pPr>
              <w:spacing w:after="0"/>
            </w:pPr>
            <w:r/>
            <w:r>
              <w:rPr>
                <w:rFonts w:ascii="Aptos" w:hAnsi="Aptos" w:eastAsia="Aptos"/>
                <w:b w:val="0"/>
                <w:sz w:val="14"/>
              </w:rPr>
              <w:t>Week 12</w:t>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c>
          <w:tcPr>
            <w:tcW w:type="dxa" w:w="969"/>
            <w:vAlign w:val="center"/>
            <w:tcMar>
              <w:top w:w="80" w:type="dxa"/>
              <w:left w:w="80" w:type="dxa"/>
              <w:bottom w:w="80" w:type="dxa"/>
              <w:right w:w="80" w:type="dxa"/>
            </w:tcMar>
          </w:tcPr>
          <w:p>
            <w:pPr>
              <w:spacing w:after="0"/>
            </w:pPr>
            <w:r/>
            <w:r>
              <w:rPr>
                <w:rFonts w:ascii="Aptos" w:hAnsi="Aptos" w:eastAsia="Aptos"/>
                <w:b w:val="0"/>
                <w:sz w:val="14"/>
              </w:rPr>
            </w:r>
          </w:p>
        </w:tc>
      </w:tr>
    </w:tbl>
    <w:p/>
    <w:p>
      <w:r>
        <w:br w:type="page"/>
      </w:r>
    </w:p>
    <w:p>
      <w:pPr>
        <w:pStyle w:val="Heading1"/>
      </w:pPr>
      <w:r>
        <w:t>Candidate Quality Checklist Before Submission</w:t>
      </w:r>
    </w:p>
    <w:tbl>
      <w:tblPr>
        <w:tblStyle w:val="TableGrid"/>
        <w:tblW w:type="auto" w:w="0"/>
        <w:jc w:val="center"/>
        <w:tblLayout w:type="autofit"/>
        <w:tblLook w:firstColumn="1" w:firstRow="1" w:lastColumn="0" w:lastRow="0" w:noHBand="0" w:noVBand="1" w:val="04A0"/>
      </w:tblPr>
      <w:tblGrid>
        <w:gridCol w:w="3552"/>
        <w:gridCol w:w="3552"/>
        <w:gridCol w:w="3552"/>
      </w:tblGrid>
      <w:tr>
        <w:tc>
          <w:tcPr>
            <w:tcW w:type="dxa" w:w="3168"/>
            <w:shd w:fill="1F4E79"/>
            <w:vAlign w:val="center"/>
            <w:tcMar>
              <w:top w:w="80" w:type="dxa"/>
              <w:left w:w="80" w:type="dxa"/>
              <w:bottom w:w="80" w:type="dxa"/>
              <w:right w:w="80" w:type="dxa"/>
            </w:tcMar>
            <w:shd w:fill="1F4E79"/>
          </w:tcPr>
          <w:p>
            <w:pPr>
              <w:spacing w:after="0"/>
            </w:pPr>
            <w:r>
              <w:rPr>
                <w:b/>
                <w:color w:val="FFFFFF"/>
              </w:rPr>
            </w:r>
            <w:r>
              <w:rPr>
                <w:rFonts w:ascii="Aptos" w:hAnsi="Aptos" w:eastAsia="Aptos"/>
                <w:b/>
                <w:color w:val="FFFFFF"/>
                <w:sz w:val="16"/>
              </w:rPr>
              <w:t>Checklist Item</w:t>
            </w:r>
          </w:p>
        </w:tc>
        <w:tc>
          <w:tcPr>
            <w:tcW w:type="dxa" w:w="2160"/>
            <w:shd w:fill="1F4E79"/>
            <w:vAlign w:val="center"/>
            <w:tcMar>
              <w:top w:w="80" w:type="dxa"/>
              <w:left w:w="80" w:type="dxa"/>
              <w:bottom w:w="80" w:type="dxa"/>
              <w:right w:w="80" w:type="dxa"/>
            </w:tcMar>
            <w:shd w:fill="1F4E79"/>
          </w:tcPr>
          <w:p>
            <w:pPr>
              <w:spacing w:after="0"/>
            </w:pPr>
            <w:r>
              <w:rPr>
                <w:b/>
                <w:color w:val="FFFFFF"/>
              </w:rPr>
            </w:r>
            <w:r>
              <w:rPr>
                <w:rFonts w:ascii="Aptos" w:hAnsi="Aptos" w:eastAsia="Aptos"/>
                <w:b/>
                <w:color w:val="FFFFFF"/>
                <w:sz w:val="16"/>
              </w:rPr>
              <w:t>Required Before Submission?</w:t>
            </w:r>
          </w:p>
        </w:tc>
        <w:tc>
          <w:tcPr>
            <w:tcW w:type="dxa" w:w="5472"/>
            <w:shd w:fill="1F4E79"/>
            <w:vAlign w:val="center"/>
            <w:tcMar>
              <w:top w:w="80" w:type="dxa"/>
              <w:left w:w="80" w:type="dxa"/>
              <w:bottom w:w="80" w:type="dxa"/>
              <w:right w:w="80" w:type="dxa"/>
            </w:tcMar>
            <w:shd w:fill="1F4E79"/>
          </w:tcPr>
          <w:p>
            <w:pPr>
              <w:spacing w:after="0"/>
            </w:pPr>
            <w:r>
              <w:rPr>
                <w:b/>
                <w:color w:val="FFFFFF"/>
              </w:rPr>
            </w:r>
            <w:r>
              <w:rPr>
                <w:rFonts w:ascii="Aptos" w:hAnsi="Aptos" w:eastAsia="Aptos"/>
                <w:b/>
                <w:color w:val="FFFFFF"/>
                <w:sz w:val="16"/>
              </w:rPr>
              <w:t>Notes</w:t>
            </w:r>
          </w:p>
        </w:tc>
      </w:tr>
      <w:tr>
        <w:tc>
          <w:tcPr>
            <w:tcW w:type="dxa" w:w="3168"/>
            <w:vAlign w:val="center"/>
            <w:tcMar>
              <w:top w:w="80" w:type="dxa"/>
              <w:left w:w="80" w:type="dxa"/>
              <w:bottom w:w="80" w:type="dxa"/>
              <w:right w:w="80" w:type="dxa"/>
            </w:tcMar>
          </w:tcPr>
          <w:p>
            <w:pPr>
              <w:spacing w:after="0"/>
            </w:pPr>
            <w:r/>
            <w:r>
              <w:rPr>
                <w:rFonts w:ascii="Aptos" w:hAnsi="Aptos" w:eastAsia="Aptos"/>
                <w:b w:val="0"/>
                <w:sz w:val="16"/>
              </w:rPr>
              <w:t>Candidate availability confirmed</w:t>
            </w:r>
          </w:p>
        </w:tc>
        <w:tc>
          <w:tcPr>
            <w:tcW w:type="dxa" w:w="2160"/>
            <w:vAlign w:val="center"/>
            <w:tcMar>
              <w:top w:w="80" w:type="dxa"/>
              <w:left w:w="80" w:type="dxa"/>
              <w:bottom w:w="80" w:type="dxa"/>
              <w:right w:w="80" w:type="dxa"/>
            </w:tcMar>
          </w:tcPr>
          <w:p>
            <w:pPr>
              <w:spacing w:after="0"/>
            </w:pPr>
            <w:r/>
            <w:r>
              <w:rPr>
                <w:rFonts w:ascii="Aptos" w:hAnsi="Aptos" w:eastAsia="Aptos"/>
                <w:b w:val="0"/>
                <w:sz w:val="16"/>
              </w:rPr>
              <w:t>Yes</w:t>
            </w:r>
          </w:p>
        </w:tc>
        <w:tc>
          <w:tcPr>
            <w:tcW w:type="dxa" w:w="5472"/>
            <w:vAlign w:val="center"/>
            <w:tcMar>
              <w:top w:w="80" w:type="dxa"/>
              <w:left w:w="80" w:type="dxa"/>
              <w:bottom w:w="80" w:type="dxa"/>
              <w:right w:w="80" w:type="dxa"/>
            </w:tcMar>
          </w:tcPr>
          <w:p>
            <w:pPr>
              <w:spacing w:after="0"/>
            </w:pPr>
            <w:r/>
            <w:r>
              <w:rPr>
                <w:rFonts w:ascii="Aptos" w:hAnsi="Aptos" w:eastAsia="Aptos"/>
                <w:b w:val="0"/>
                <w:sz w:val="16"/>
              </w:rPr>
              <w:t>Confirm start availability and shift/location flexibility.</w:t>
            </w:r>
          </w:p>
        </w:tc>
      </w:tr>
      <w:tr>
        <w:tc>
          <w:tcPr>
            <w:tcW w:type="dxa" w:w="3168"/>
            <w:vAlign w:val="center"/>
            <w:tcMar>
              <w:top w:w="80" w:type="dxa"/>
              <w:left w:w="80" w:type="dxa"/>
              <w:bottom w:w="80" w:type="dxa"/>
              <w:right w:w="80" w:type="dxa"/>
            </w:tcMar>
          </w:tcPr>
          <w:p>
            <w:pPr>
              <w:spacing w:after="0"/>
            </w:pPr>
            <w:r/>
            <w:r>
              <w:rPr>
                <w:rFonts w:ascii="Aptos" w:hAnsi="Aptos" w:eastAsia="Aptos"/>
                <w:b w:val="0"/>
                <w:sz w:val="16"/>
              </w:rPr>
              <w:t>Pay expectation confirmed</w:t>
            </w:r>
          </w:p>
        </w:tc>
        <w:tc>
          <w:tcPr>
            <w:tcW w:type="dxa" w:w="2160"/>
            <w:vAlign w:val="center"/>
            <w:tcMar>
              <w:top w:w="80" w:type="dxa"/>
              <w:left w:w="80" w:type="dxa"/>
              <w:bottom w:w="80" w:type="dxa"/>
              <w:right w:w="80" w:type="dxa"/>
            </w:tcMar>
          </w:tcPr>
          <w:p>
            <w:pPr>
              <w:spacing w:after="0"/>
            </w:pPr>
            <w:r/>
            <w:r>
              <w:rPr>
                <w:rFonts w:ascii="Aptos" w:hAnsi="Aptos" w:eastAsia="Aptos"/>
                <w:b w:val="0"/>
                <w:sz w:val="16"/>
              </w:rPr>
              <w:t>Yes</w:t>
            </w:r>
          </w:p>
        </w:tc>
        <w:tc>
          <w:tcPr>
            <w:tcW w:type="dxa" w:w="5472"/>
            <w:vAlign w:val="center"/>
            <w:tcMar>
              <w:top w:w="80" w:type="dxa"/>
              <w:left w:w="80" w:type="dxa"/>
              <w:bottom w:w="80" w:type="dxa"/>
              <w:right w:w="80" w:type="dxa"/>
            </w:tcMar>
          </w:tcPr>
          <w:p>
            <w:pPr>
              <w:spacing w:after="0"/>
            </w:pPr>
            <w:r/>
            <w:r>
              <w:rPr>
                <w:rFonts w:ascii="Aptos" w:hAnsi="Aptos" w:eastAsia="Aptos"/>
                <w:b w:val="0"/>
                <w:sz w:val="16"/>
              </w:rPr>
              <w:t>Avoid last-stage surprises.</w:t>
            </w:r>
          </w:p>
        </w:tc>
      </w:tr>
      <w:tr>
        <w:tc>
          <w:tcPr>
            <w:tcW w:type="dxa" w:w="3168"/>
            <w:vAlign w:val="center"/>
            <w:tcMar>
              <w:top w:w="80" w:type="dxa"/>
              <w:left w:w="80" w:type="dxa"/>
              <w:bottom w:w="80" w:type="dxa"/>
              <w:right w:w="80" w:type="dxa"/>
            </w:tcMar>
          </w:tcPr>
          <w:p>
            <w:pPr>
              <w:spacing w:after="0"/>
            </w:pPr>
            <w:r/>
            <w:r>
              <w:rPr>
                <w:rFonts w:ascii="Aptos" w:hAnsi="Aptos" w:eastAsia="Aptos"/>
                <w:b w:val="0"/>
                <w:sz w:val="16"/>
              </w:rPr>
              <w:t>Location/commute/travel feasibility confirmed</w:t>
            </w:r>
          </w:p>
        </w:tc>
        <w:tc>
          <w:tcPr>
            <w:tcW w:type="dxa" w:w="2160"/>
            <w:vAlign w:val="center"/>
            <w:tcMar>
              <w:top w:w="80" w:type="dxa"/>
              <w:left w:w="80" w:type="dxa"/>
              <w:bottom w:w="80" w:type="dxa"/>
              <w:right w:w="80" w:type="dxa"/>
            </w:tcMar>
          </w:tcPr>
          <w:p>
            <w:pPr>
              <w:spacing w:after="0"/>
            </w:pPr>
            <w:r/>
            <w:r>
              <w:rPr>
                <w:rFonts w:ascii="Aptos" w:hAnsi="Aptos" w:eastAsia="Aptos"/>
                <w:b w:val="0"/>
                <w:sz w:val="16"/>
              </w:rPr>
              <w:t>Yes</w:t>
            </w:r>
          </w:p>
        </w:tc>
        <w:tc>
          <w:tcPr>
            <w:tcW w:type="dxa" w:w="5472"/>
            <w:vAlign w:val="center"/>
            <w:tcMar>
              <w:top w:w="80" w:type="dxa"/>
              <w:left w:w="80" w:type="dxa"/>
              <w:bottom w:w="80" w:type="dxa"/>
              <w:right w:w="80" w:type="dxa"/>
            </w:tcMar>
          </w:tcPr>
          <w:p>
            <w:pPr>
              <w:spacing w:after="0"/>
            </w:pPr>
            <w:r/>
            <w:r>
              <w:rPr>
                <w:rFonts w:ascii="Aptos" w:hAnsi="Aptos" w:eastAsia="Aptos"/>
                <w:b w:val="0"/>
                <w:sz w:val="16"/>
              </w:rPr>
              <w:t>Especially important for onsite healthcare roles.</w:t>
            </w:r>
          </w:p>
        </w:tc>
      </w:tr>
      <w:tr>
        <w:tc>
          <w:tcPr>
            <w:tcW w:type="dxa" w:w="3168"/>
            <w:vAlign w:val="center"/>
            <w:tcMar>
              <w:top w:w="80" w:type="dxa"/>
              <w:left w:w="80" w:type="dxa"/>
              <w:bottom w:w="80" w:type="dxa"/>
              <w:right w:w="80" w:type="dxa"/>
            </w:tcMar>
          </w:tcPr>
          <w:p>
            <w:pPr>
              <w:spacing w:after="0"/>
            </w:pPr>
            <w:r/>
            <w:r>
              <w:rPr>
                <w:rFonts w:ascii="Aptos" w:hAnsi="Aptos" w:eastAsia="Aptos"/>
                <w:b w:val="0"/>
                <w:sz w:val="16"/>
              </w:rPr>
              <w:t>License/certification status confirmed</w:t>
            </w:r>
          </w:p>
        </w:tc>
        <w:tc>
          <w:tcPr>
            <w:tcW w:type="dxa" w:w="2160"/>
            <w:vAlign w:val="center"/>
            <w:tcMar>
              <w:top w:w="80" w:type="dxa"/>
              <w:left w:w="80" w:type="dxa"/>
              <w:bottom w:w="80" w:type="dxa"/>
              <w:right w:w="80" w:type="dxa"/>
            </w:tcMar>
          </w:tcPr>
          <w:p>
            <w:pPr>
              <w:spacing w:after="0"/>
            </w:pPr>
            <w:r/>
            <w:r>
              <w:rPr>
                <w:rFonts w:ascii="Aptos" w:hAnsi="Aptos" w:eastAsia="Aptos"/>
                <w:b w:val="0"/>
                <w:sz w:val="16"/>
              </w:rPr>
              <w:t>Yes</w:t>
            </w:r>
          </w:p>
        </w:tc>
        <w:tc>
          <w:tcPr>
            <w:tcW w:type="dxa" w:w="5472"/>
            <w:vAlign w:val="center"/>
            <w:tcMar>
              <w:top w:w="80" w:type="dxa"/>
              <w:left w:w="80" w:type="dxa"/>
              <w:bottom w:w="80" w:type="dxa"/>
              <w:right w:w="80" w:type="dxa"/>
            </w:tcMar>
          </w:tcPr>
          <w:p>
            <w:pPr>
              <w:spacing w:after="0"/>
            </w:pPr>
            <w:r/>
            <w:r>
              <w:rPr>
                <w:rFonts w:ascii="Aptos" w:hAnsi="Aptos" w:eastAsia="Aptos"/>
                <w:b w:val="0"/>
                <w:sz w:val="16"/>
              </w:rPr>
              <w:t>Only as required for submission readiness; credentialing cost is not included if not company-owned.</w:t>
            </w:r>
          </w:p>
        </w:tc>
      </w:tr>
      <w:tr>
        <w:tc>
          <w:tcPr>
            <w:tcW w:type="dxa" w:w="3168"/>
            <w:vAlign w:val="center"/>
            <w:tcMar>
              <w:top w:w="80" w:type="dxa"/>
              <w:left w:w="80" w:type="dxa"/>
              <w:bottom w:w="80" w:type="dxa"/>
              <w:right w:w="80" w:type="dxa"/>
            </w:tcMar>
          </w:tcPr>
          <w:p>
            <w:pPr>
              <w:spacing w:after="0"/>
            </w:pPr>
            <w:r/>
            <w:r>
              <w:rPr>
                <w:rFonts w:ascii="Aptos" w:hAnsi="Aptos" w:eastAsia="Aptos"/>
                <w:b w:val="0"/>
                <w:sz w:val="16"/>
              </w:rPr>
              <w:t>Candidate commitment confirmed</w:t>
            </w:r>
          </w:p>
        </w:tc>
        <w:tc>
          <w:tcPr>
            <w:tcW w:type="dxa" w:w="2160"/>
            <w:vAlign w:val="center"/>
            <w:tcMar>
              <w:top w:w="80" w:type="dxa"/>
              <w:left w:w="80" w:type="dxa"/>
              <w:bottom w:w="80" w:type="dxa"/>
              <w:right w:w="80" w:type="dxa"/>
            </w:tcMar>
          </w:tcPr>
          <w:p>
            <w:pPr>
              <w:spacing w:after="0"/>
            </w:pPr>
            <w:r/>
            <w:r>
              <w:rPr>
                <w:rFonts w:ascii="Aptos" w:hAnsi="Aptos" w:eastAsia="Aptos"/>
                <w:b w:val="0"/>
                <w:sz w:val="16"/>
              </w:rPr>
              <w:t>Yes</w:t>
            </w:r>
          </w:p>
        </w:tc>
        <w:tc>
          <w:tcPr>
            <w:tcW w:type="dxa" w:w="5472"/>
            <w:vAlign w:val="center"/>
            <w:tcMar>
              <w:top w:w="80" w:type="dxa"/>
              <w:left w:w="80" w:type="dxa"/>
              <w:bottom w:w="80" w:type="dxa"/>
              <w:right w:w="80" w:type="dxa"/>
            </w:tcMar>
          </w:tcPr>
          <w:p>
            <w:pPr>
              <w:spacing w:after="0"/>
            </w:pPr>
            <w:r/>
            <w:r>
              <w:rPr>
                <w:rFonts w:ascii="Aptos" w:hAnsi="Aptos" w:eastAsia="Aptos"/>
                <w:b w:val="0"/>
                <w:sz w:val="16"/>
              </w:rPr>
              <w:t>Candidate should understand client, role, pay, schedule, and next steps.</w:t>
            </w:r>
          </w:p>
        </w:tc>
      </w:tr>
      <w:tr>
        <w:tc>
          <w:tcPr>
            <w:tcW w:type="dxa" w:w="3168"/>
            <w:vAlign w:val="center"/>
            <w:tcMar>
              <w:top w:w="80" w:type="dxa"/>
              <w:left w:w="80" w:type="dxa"/>
              <w:bottom w:w="80" w:type="dxa"/>
              <w:right w:w="80" w:type="dxa"/>
            </w:tcMar>
          </w:tcPr>
          <w:p>
            <w:pPr>
              <w:spacing w:after="0"/>
            </w:pPr>
            <w:r/>
            <w:r>
              <w:rPr>
                <w:rFonts w:ascii="Aptos" w:hAnsi="Aptos" w:eastAsia="Aptos"/>
                <w:b w:val="0"/>
                <w:sz w:val="16"/>
              </w:rPr>
              <w:t>Candidate follow-up cadence set</w:t>
            </w:r>
          </w:p>
        </w:tc>
        <w:tc>
          <w:tcPr>
            <w:tcW w:type="dxa" w:w="2160"/>
            <w:vAlign w:val="center"/>
            <w:tcMar>
              <w:top w:w="80" w:type="dxa"/>
              <w:left w:w="80" w:type="dxa"/>
              <w:bottom w:w="80" w:type="dxa"/>
              <w:right w:w="80" w:type="dxa"/>
            </w:tcMar>
          </w:tcPr>
          <w:p>
            <w:pPr>
              <w:spacing w:after="0"/>
            </w:pPr>
            <w:r/>
            <w:r>
              <w:rPr>
                <w:rFonts w:ascii="Aptos" w:hAnsi="Aptos" w:eastAsia="Aptos"/>
                <w:b w:val="0"/>
                <w:sz w:val="16"/>
              </w:rPr>
              <w:t>Yes</w:t>
            </w:r>
          </w:p>
        </w:tc>
        <w:tc>
          <w:tcPr>
            <w:tcW w:type="dxa" w:w="5472"/>
            <w:vAlign w:val="center"/>
            <w:tcMar>
              <w:top w:w="80" w:type="dxa"/>
              <w:left w:w="80" w:type="dxa"/>
              <w:bottom w:w="80" w:type="dxa"/>
              <w:right w:w="80" w:type="dxa"/>
            </w:tcMar>
          </w:tcPr>
          <w:p>
            <w:pPr>
              <w:spacing w:after="0"/>
            </w:pPr>
            <w:r/>
            <w:r>
              <w:rPr>
                <w:rFonts w:ascii="Aptos" w:hAnsi="Aptos" w:eastAsia="Aptos"/>
                <w:b w:val="0"/>
                <w:sz w:val="16"/>
              </w:rPr>
              <w:t>At least 2x/week after submission.</w:t>
            </w:r>
          </w:p>
        </w:tc>
      </w:tr>
      <w:tr>
        <w:tc>
          <w:tcPr>
            <w:tcW w:type="dxa" w:w="3168"/>
            <w:vAlign w:val="center"/>
            <w:tcMar>
              <w:top w:w="80" w:type="dxa"/>
              <w:left w:w="80" w:type="dxa"/>
              <w:bottom w:w="80" w:type="dxa"/>
              <w:right w:w="80" w:type="dxa"/>
            </w:tcMar>
          </w:tcPr>
          <w:p>
            <w:pPr>
              <w:spacing w:after="0"/>
            </w:pPr>
            <w:r/>
            <w:r>
              <w:rPr>
                <w:rFonts w:ascii="Aptos" w:hAnsi="Aptos" w:eastAsia="Aptos"/>
                <w:b w:val="0"/>
                <w:sz w:val="16"/>
              </w:rPr>
              <w:t>Risk notes captured</w:t>
            </w:r>
          </w:p>
        </w:tc>
        <w:tc>
          <w:tcPr>
            <w:tcW w:type="dxa" w:w="2160"/>
            <w:vAlign w:val="center"/>
            <w:tcMar>
              <w:top w:w="80" w:type="dxa"/>
              <w:left w:w="80" w:type="dxa"/>
              <w:bottom w:w="80" w:type="dxa"/>
              <w:right w:w="80" w:type="dxa"/>
            </w:tcMar>
          </w:tcPr>
          <w:p>
            <w:pPr>
              <w:spacing w:after="0"/>
            </w:pPr>
            <w:r/>
            <w:r>
              <w:rPr>
                <w:rFonts w:ascii="Aptos" w:hAnsi="Aptos" w:eastAsia="Aptos"/>
                <w:b w:val="0"/>
                <w:sz w:val="16"/>
              </w:rPr>
              <w:t>Yes</w:t>
            </w:r>
          </w:p>
        </w:tc>
        <w:tc>
          <w:tcPr>
            <w:tcW w:type="dxa" w:w="5472"/>
            <w:vAlign w:val="center"/>
            <w:tcMar>
              <w:top w:w="80" w:type="dxa"/>
              <w:left w:w="80" w:type="dxa"/>
              <w:bottom w:w="80" w:type="dxa"/>
              <w:right w:w="80" w:type="dxa"/>
            </w:tcMar>
          </w:tcPr>
          <w:p>
            <w:pPr>
              <w:spacing w:after="0"/>
            </w:pPr>
            <w:r/>
            <w:r>
              <w:rPr>
                <w:rFonts w:ascii="Aptos" w:hAnsi="Aptos" w:eastAsia="Aptos"/>
                <w:b w:val="0"/>
                <w:sz w:val="16"/>
              </w:rPr>
              <w:t>Document risks such as competing offers, availability uncertainty, communication gaps.</w:t>
            </w:r>
          </w:p>
        </w:tc>
      </w:tr>
    </w:tbl>
    <w:p/>
    <w:p>
      <w:pPr>
        <w:pStyle w:val="Heading1"/>
      </w:pPr>
      <w:r>
        <w:t>Confidentiality, Trust, and Foundation-Team Expectations</w:t>
      </w:r>
    </w:p>
    <w:tbl>
      <w:tblPr>
        <w:tblStyle w:val="TableGrid"/>
        <w:tblW w:type="auto" w:w="0"/>
        <w:tblLook w:firstColumn="1" w:firstRow="1" w:lastColumn="0" w:lastRow="0" w:noHBand="0" w:noVBand="1" w:val="04A0"/>
      </w:tblPr>
      <w:tblGrid>
        <w:gridCol w:w="10656"/>
      </w:tblGrid>
      <w:tr>
        <w:tc>
          <w:tcPr>
            <w:tcW w:type="dxa" w:w="10656"/>
            <w:shd w:fill="EAF2F8"/>
          </w:tcPr>
          <w:p>
            <w:pPr>
              <w:spacing w:after="0"/>
            </w:pPr>
            <w:r/>
            <w:r>
              <w:rPr>
                <w:rFonts w:ascii="Aptos" w:hAnsi="Aptos" w:eastAsia="Aptos"/>
                <w:b w:val="0"/>
                <w:sz w:val="17"/>
              </w:rPr>
              <w:t>This section is important. The intent is not to blame or accuse; the intent is to set a clear senior/foundation-team standard going forward.</w:t>
            </w:r>
          </w:p>
        </w:tc>
      </w:tr>
    </w:tbl>
    <w:p/>
    <w:tbl>
      <w:tblPr>
        <w:tblStyle w:val="TableGrid"/>
        <w:tblW w:type="auto" w:w="0"/>
        <w:jc w:val="center"/>
        <w:tblLayout w:type="autofit"/>
        <w:tblLook w:firstColumn="1" w:firstRow="1" w:lastColumn="0" w:lastRow="0" w:noHBand="0" w:noVBand="1" w:val="04A0"/>
      </w:tblPr>
      <w:tblGrid>
        <w:gridCol w:w="5328"/>
        <w:gridCol w:w="5328"/>
      </w:tblGrid>
      <w:tr>
        <w:tc>
          <w:tcPr>
            <w:tcW w:type="dxa" w:w="3096"/>
            <w:shd w:fill="1F4E79"/>
            <w:vAlign w:val="center"/>
            <w:tcMar>
              <w:top w:w="80" w:type="dxa"/>
              <w:left w:w="80" w:type="dxa"/>
              <w:bottom w:w="80" w:type="dxa"/>
              <w:right w:w="80" w:type="dxa"/>
            </w:tcMar>
            <w:shd w:fill="1F4E79"/>
          </w:tcPr>
          <w:p>
            <w:pPr>
              <w:spacing w:after="0"/>
            </w:pPr>
            <w:r>
              <w:rPr>
                <w:b/>
                <w:color w:val="FFFFFF"/>
              </w:rPr>
            </w:r>
            <w:r>
              <w:rPr>
                <w:rFonts w:ascii="Aptos" w:hAnsi="Aptos" w:eastAsia="Aptos"/>
                <w:b/>
                <w:color w:val="FFFFFF"/>
                <w:sz w:val="16"/>
              </w:rPr>
              <w:t>Expectation</w:t>
            </w:r>
          </w:p>
        </w:tc>
        <w:tc>
          <w:tcPr>
            <w:tcW w:type="dxa" w:w="7704"/>
            <w:shd w:fill="1F4E79"/>
            <w:vAlign w:val="center"/>
            <w:tcMar>
              <w:top w:w="80" w:type="dxa"/>
              <w:left w:w="80" w:type="dxa"/>
              <w:bottom w:w="80" w:type="dxa"/>
              <w:right w:w="80" w:type="dxa"/>
            </w:tcMar>
            <w:shd w:fill="1F4E79"/>
          </w:tcPr>
          <w:p>
            <w:pPr>
              <w:spacing w:after="0"/>
            </w:pPr>
            <w:r>
              <w:rPr>
                <w:b/>
                <w:color w:val="FFFFFF"/>
              </w:rPr>
            </w:r>
            <w:r>
              <w:rPr>
                <w:rFonts w:ascii="Aptos" w:hAnsi="Aptos" w:eastAsia="Aptos"/>
                <w:b/>
                <w:color w:val="FFFFFF"/>
                <w:sz w:val="16"/>
              </w:rPr>
              <w:t>Standard Going Forward</w:t>
            </w:r>
          </w:p>
        </w:tc>
      </w:tr>
      <w:tr>
        <w:tc>
          <w:tcPr>
            <w:tcW w:type="dxa" w:w="3096"/>
            <w:vAlign w:val="center"/>
            <w:tcMar>
              <w:top w:w="80" w:type="dxa"/>
              <w:left w:w="80" w:type="dxa"/>
              <w:bottom w:w="80" w:type="dxa"/>
              <w:right w:w="80" w:type="dxa"/>
            </w:tcMar>
          </w:tcPr>
          <w:p>
            <w:pPr>
              <w:spacing w:after="0"/>
            </w:pPr>
            <w:r/>
            <w:r>
              <w:rPr>
                <w:rFonts w:ascii="Aptos" w:hAnsi="Aptos" w:eastAsia="Aptos"/>
                <w:b w:val="0"/>
                <w:sz w:val="16"/>
              </w:rPr>
              <w:t>Internal discussions stay internal</w:t>
            </w:r>
          </w:p>
        </w:tc>
        <w:tc>
          <w:tcPr>
            <w:tcW w:type="dxa" w:w="7704"/>
            <w:vAlign w:val="center"/>
            <w:tcMar>
              <w:top w:w="80" w:type="dxa"/>
              <w:left w:w="80" w:type="dxa"/>
              <w:bottom w:w="80" w:type="dxa"/>
              <w:right w:w="80" w:type="dxa"/>
            </w:tcMar>
          </w:tcPr>
          <w:p>
            <w:pPr>
              <w:spacing w:after="0"/>
            </w:pPr>
            <w:r/>
            <w:r>
              <w:rPr>
                <w:rFonts w:ascii="Aptos" w:hAnsi="Aptos" w:eastAsia="Aptos"/>
                <w:b w:val="0"/>
                <w:sz w:val="16"/>
              </w:rPr>
              <w:t>Company tools, sourcing strategy, client approach, process ideas, business plans, team matters, and leadership discussions should not be discussed outside the company unless approved.</w:t>
            </w:r>
          </w:p>
        </w:tc>
      </w:tr>
      <w:tr>
        <w:tc>
          <w:tcPr>
            <w:tcW w:type="dxa" w:w="3096"/>
            <w:vAlign w:val="center"/>
            <w:tcMar>
              <w:top w:w="80" w:type="dxa"/>
              <w:left w:w="80" w:type="dxa"/>
              <w:bottom w:w="80" w:type="dxa"/>
              <w:right w:w="80" w:type="dxa"/>
            </w:tcMar>
          </w:tcPr>
          <w:p>
            <w:pPr>
              <w:spacing w:after="0"/>
            </w:pPr>
            <w:r/>
            <w:r>
              <w:rPr>
                <w:rFonts w:ascii="Aptos" w:hAnsi="Aptos" w:eastAsia="Aptos"/>
                <w:b w:val="0"/>
                <w:sz w:val="16"/>
              </w:rPr>
              <w:t>Discretion even without a formal “confidential” label</w:t>
            </w:r>
          </w:p>
        </w:tc>
        <w:tc>
          <w:tcPr>
            <w:tcW w:type="dxa" w:w="7704"/>
            <w:vAlign w:val="center"/>
            <w:tcMar>
              <w:top w:w="80" w:type="dxa"/>
              <w:left w:w="80" w:type="dxa"/>
              <w:bottom w:w="80" w:type="dxa"/>
              <w:right w:w="80" w:type="dxa"/>
            </w:tcMar>
          </w:tcPr>
          <w:p>
            <w:pPr>
              <w:spacing w:after="0"/>
            </w:pPr>
            <w:r/>
            <w:r>
              <w:rPr>
                <w:rFonts w:ascii="Aptos" w:hAnsi="Aptos" w:eastAsia="Aptos"/>
                <w:b w:val="0"/>
                <w:sz w:val="16"/>
              </w:rPr>
              <w:t>Some information is confidential by nature. A separate confidentiality warning should not be required every time.</w:t>
            </w:r>
          </w:p>
        </w:tc>
      </w:tr>
      <w:tr>
        <w:tc>
          <w:tcPr>
            <w:tcW w:type="dxa" w:w="3096"/>
            <w:vAlign w:val="center"/>
            <w:tcMar>
              <w:top w:w="80" w:type="dxa"/>
              <w:left w:w="80" w:type="dxa"/>
              <w:bottom w:w="80" w:type="dxa"/>
              <w:right w:w="80" w:type="dxa"/>
            </w:tcMar>
          </w:tcPr>
          <w:p>
            <w:pPr>
              <w:spacing w:after="0"/>
            </w:pPr>
            <w:r/>
            <w:r>
              <w:rPr>
                <w:rFonts w:ascii="Aptos" w:hAnsi="Aptos" w:eastAsia="Aptos"/>
                <w:b w:val="0"/>
                <w:sz w:val="16"/>
              </w:rPr>
              <w:t>No casual external sharing</w:t>
            </w:r>
          </w:p>
        </w:tc>
        <w:tc>
          <w:tcPr>
            <w:tcW w:type="dxa" w:w="7704"/>
            <w:vAlign w:val="center"/>
            <w:tcMar>
              <w:top w:w="80" w:type="dxa"/>
              <w:left w:w="80" w:type="dxa"/>
              <w:bottom w:w="80" w:type="dxa"/>
              <w:right w:w="80" w:type="dxa"/>
            </w:tcMar>
          </w:tcPr>
          <w:p>
            <w:pPr>
              <w:spacing w:after="0"/>
            </w:pPr>
            <w:r/>
            <w:r>
              <w:rPr>
                <w:rFonts w:ascii="Aptos" w:hAnsi="Aptos" w:eastAsia="Aptos"/>
                <w:b w:val="0"/>
                <w:sz w:val="16"/>
              </w:rPr>
              <w:t>Do not share internal plans or tools externally for advice, validation, comparison, or casual discussion without approval.</w:t>
            </w:r>
          </w:p>
        </w:tc>
      </w:tr>
      <w:tr>
        <w:tc>
          <w:tcPr>
            <w:tcW w:type="dxa" w:w="3096"/>
            <w:vAlign w:val="center"/>
            <w:tcMar>
              <w:top w:w="80" w:type="dxa"/>
              <w:left w:w="80" w:type="dxa"/>
              <w:bottom w:w="80" w:type="dxa"/>
              <w:right w:w="80" w:type="dxa"/>
            </w:tcMar>
          </w:tcPr>
          <w:p>
            <w:pPr>
              <w:spacing w:after="0"/>
            </w:pPr>
            <w:r/>
            <w:r>
              <w:rPr>
                <w:rFonts w:ascii="Aptos" w:hAnsi="Aptos" w:eastAsia="Aptos"/>
                <w:b w:val="0"/>
                <w:sz w:val="16"/>
              </w:rPr>
              <w:t>Use judgment in group/team settings</w:t>
            </w:r>
          </w:p>
        </w:tc>
        <w:tc>
          <w:tcPr>
            <w:tcW w:type="dxa" w:w="7704"/>
            <w:vAlign w:val="center"/>
            <w:tcMar>
              <w:top w:w="80" w:type="dxa"/>
              <w:left w:w="80" w:type="dxa"/>
              <w:bottom w:w="80" w:type="dxa"/>
              <w:right w:w="80" w:type="dxa"/>
            </w:tcMar>
          </w:tcPr>
          <w:p>
            <w:pPr>
              <w:spacing w:after="0"/>
            </w:pPr>
            <w:r/>
            <w:r>
              <w:rPr>
                <w:rFonts w:ascii="Aptos" w:hAnsi="Aptos" w:eastAsia="Aptos"/>
                <w:b w:val="0"/>
                <w:sz w:val="16"/>
              </w:rPr>
              <w:t>If something is discussed in front of a senior/foundation team member, it is still expected to remain internal unless clearly approved for wider sharing.</w:t>
            </w:r>
          </w:p>
        </w:tc>
      </w:tr>
      <w:tr>
        <w:tc>
          <w:tcPr>
            <w:tcW w:type="dxa" w:w="3096"/>
            <w:vAlign w:val="center"/>
            <w:tcMar>
              <w:top w:w="80" w:type="dxa"/>
              <w:left w:w="80" w:type="dxa"/>
              <w:bottom w:w="80" w:type="dxa"/>
              <w:right w:w="80" w:type="dxa"/>
            </w:tcMar>
          </w:tcPr>
          <w:p>
            <w:pPr>
              <w:spacing w:after="0"/>
            </w:pPr>
            <w:r/>
            <w:r>
              <w:rPr>
                <w:rFonts w:ascii="Aptos" w:hAnsi="Aptos" w:eastAsia="Aptos"/>
                <w:b w:val="0"/>
                <w:sz w:val="16"/>
              </w:rPr>
              <w:t>Escalate before sharing</w:t>
            </w:r>
          </w:p>
        </w:tc>
        <w:tc>
          <w:tcPr>
            <w:tcW w:type="dxa" w:w="7704"/>
            <w:vAlign w:val="center"/>
            <w:tcMar>
              <w:top w:w="80" w:type="dxa"/>
              <w:left w:w="80" w:type="dxa"/>
              <w:bottom w:w="80" w:type="dxa"/>
              <w:right w:w="80" w:type="dxa"/>
            </w:tcMar>
          </w:tcPr>
          <w:p>
            <w:pPr>
              <w:spacing w:after="0"/>
            </w:pPr>
            <w:r/>
            <w:r>
              <w:rPr>
                <w:rFonts w:ascii="Aptos" w:hAnsi="Aptos" w:eastAsia="Aptos"/>
                <w:b w:val="0"/>
                <w:sz w:val="16"/>
              </w:rPr>
              <w:t>If unsure whether something can be shared, ask first.</w:t>
            </w:r>
          </w:p>
        </w:tc>
      </w:tr>
      <w:tr>
        <w:tc>
          <w:tcPr>
            <w:tcW w:type="dxa" w:w="3096"/>
            <w:vAlign w:val="center"/>
            <w:tcMar>
              <w:top w:w="80" w:type="dxa"/>
              <w:left w:w="80" w:type="dxa"/>
              <w:bottom w:w="80" w:type="dxa"/>
              <w:right w:w="80" w:type="dxa"/>
            </w:tcMar>
          </w:tcPr>
          <w:p>
            <w:pPr>
              <w:spacing w:after="0"/>
            </w:pPr>
            <w:r/>
            <w:r>
              <w:rPr>
                <w:rFonts w:ascii="Aptos" w:hAnsi="Aptos" w:eastAsia="Aptos"/>
                <w:b w:val="0"/>
                <w:sz w:val="16"/>
              </w:rPr>
              <w:t>Trust as part of senior growth</w:t>
            </w:r>
          </w:p>
        </w:tc>
        <w:tc>
          <w:tcPr>
            <w:tcW w:type="dxa" w:w="7704"/>
            <w:vAlign w:val="center"/>
            <w:tcMar>
              <w:top w:w="80" w:type="dxa"/>
              <w:left w:w="80" w:type="dxa"/>
              <w:bottom w:w="80" w:type="dxa"/>
              <w:right w:w="80" w:type="dxa"/>
            </w:tcMar>
          </w:tcPr>
          <w:p>
            <w:pPr>
              <w:spacing w:after="0"/>
            </w:pPr>
            <w:r/>
            <w:r>
              <w:rPr>
                <w:rFonts w:ascii="Aptos" w:hAnsi="Aptos" w:eastAsia="Aptos"/>
                <w:b w:val="0"/>
                <w:sz w:val="16"/>
              </w:rPr>
              <w:t>Higher compensation and senior responsibility require stronger judgment, confidentiality, and alignment with company interests.</w:t>
            </w:r>
          </w:p>
        </w:tc>
      </w:tr>
    </w:tbl>
    <w:p/>
    <w:p>
      <w:pPr>
        <w:pStyle w:val="Heading2"/>
      </w:pPr>
      <w:r>
        <w:t>Suggested leadership wording for manager discussion</w:t>
      </w:r>
    </w:p>
    <w:tbl>
      <w:tblPr>
        <w:tblStyle w:val="TableGrid"/>
        <w:tblW w:type="auto" w:w="0"/>
        <w:tblLook w:firstColumn="1" w:firstRow="1" w:lastColumn="0" w:lastRow="0" w:noHBand="0" w:noVBand="1" w:val="04A0"/>
      </w:tblPr>
      <w:tblGrid>
        <w:gridCol w:w="10656"/>
      </w:tblGrid>
      <w:tr>
        <w:tc>
          <w:tcPr>
            <w:tcW w:type="dxa" w:w="10656"/>
            <w:shd w:fill="F2F2F2"/>
          </w:tcPr>
          <w:p>
            <w:pPr>
              <w:spacing w:after="0"/>
            </w:pPr>
            <w:r/>
            <w:r>
              <w:rPr>
                <w:rFonts w:ascii="Aptos" w:hAnsi="Aptos" w:eastAsia="Aptos"/>
                <w:b w:val="0"/>
                <w:sz w:val="17"/>
              </w:rPr>
              <w:t>As part of your growth here, I want to set one expectation clearly. Internal tools, sourcing strategy, process ideas, client approach, business plans, and company direction should stay within the company unless I have clearly approved sharing them internally or externally.</w:t>
              <w:br/>
              <w:br/>
              <w:t>Sometimes information can travel casually, even without bad intention. But as you grow into a higher role, discretion and judgment become very important. I need to know that when I share something with you, it stays with you and within the company unless I have clearly approved sharing it. This is not about blame; it is about setting the senior/foundation-team trust standard going forward.</w:t>
            </w:r>
          </w:p>
        </w:tc>
      </w:tr>
    </w:tbl>
    <w:p/>
    <w:p>
      <w:pPr>
        <w:pStyle w:val="Heading1"/>
      </w:pPr>
      <w:r>
        <w:t>90-Day Review Scorecard</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c>
          <w:tcPr>
            <w:tcW w:type="dxa" w:w="2880"/>
            <w:shd w:fill="1F4E79"/>
            <w:vAlign w:val="center"/>
            <w:tcMar>
              <w:top w:w="80" w:type="dxa"/>
              <w:left w:w="80" w:type="dxa"/>
              <w:bottom w:w="80" w:type="dxa"/>
              <w:right w:w="80" w:type="dxa"/>
            </w:tcMar>
            <w:shd w:fill="1F4E79"/>
          </w:tcPr>
          <w:p>
            <w:pPr>
              <w:spacing w:after="0"/>
            </w:pPr>
            <w:r>
              <w:rPr>
                <w:b/>
                <w:color w:val="FFFFFF"/>
              </w:rPr>
            </w:r>
            <w:r>
              <w:rPr>
                <w:rFonts w:ascii="Aptos" w:hAnsi="Aptos" w:eastAsia="Aptos"/>
                <w:b/>
                <w:color w:val="FFFFFF"/>
                <w:sz w:val="16"/>
              </w:rPr>
              <w:t>Category</w:t>
            </w:r>
          </w:p>
        </w:tc>
        <w:tc>
          <w:tcPr>
            <w:tcW w:type="dxa" w:w="1152"/>
            <w:shd w:fill="1F4E79"/>
            <w:vAlign w:val="center"/>
            <w:tcMar>
              <w:top w:w="80" w:type="dxa"/>
              <w:left w:w="80" w:type="dxa"/>
              <w:bottom w:w="80" w:type="dxa"/>
              <w:right w:w="80" w:type="dxa"/>
            </w:tcMar>
            <w:shd w:fill="1F4E79"/>
          </w:tcPr>
          <w:p>
            <w:pPr>
              <w:spacing w:after="0"/>
            </w:pPr>
            <w:r>
              <w:rPr>
                <w:b/>
                <w:color w:val="FFFFFF"/>
              </w:rPr>
            </w:r>
            <w:r>
              <w:rPr>
                <w:rFonts w:ascii="Aptos" w:hAnsi="Aptos" w:eastAsia="Aptos"/>
                <w:b/>
                <w:color w:val="FFFFFF"/>
                <w:sz w:val="16"/>
              </w:rPr>
              <w:t>Weight</w:t>
            </w:r>
          </w:p>
        </w:tc>
        <w:tc>
          <w:tcPr>
            <w:tcW w:type="dxa" w:w="3600"/>
            <w:shd w:fill="1F4E79"/>
            <w:vAlign w:val="center"/>
            <w:tcMar>
              <w:top w:w="80" w:type="dxa"/>
              <w:left w:w="80" w:type="dxa"/>
              <w:bottom w:w="80" w:type="dxa"/>
              <w:right w:w="80" w:type="dxa"/>
            </w:tcMar>
            <w:shd w:fill="1F4E79"/>
          </w:tcPr>
          <w:p>
            <w:pPr>
              <w:spacing w:after="0"/>
            </w:pPr>
            <w:r>
              <w:rPr>
                <w:b/>
                <w:color w:val="FFFFFF"/>
              </w:rPr>
            </w:r>
            <w:r>
              <w:rPr>
                <w:rFonts w:ascii="Aptos" w:hAnsi="Aptos" w:eastAsia="Aptos"/>
                <w:b/>
                <w:color w:val="FFFFFF"/>
                <w:sz w:val="16"/>
              </w:rPr>
              <w:t>Meets Standard</w:t>
            </w:r>
          </w:p>
        </w:tc>
        <w:tc>
          <w:tcPr>
            <w:tcW w:type="dxa" w:w="3168"/>
            <w:shd w:fill="1F4E79"/>
            <w:vAlign w:val="center"/>
            <w:tcMar>
              <w:top w:w="80" w:type="dxa"/>
              <w:left w:w="80" w:type="dxa"/>
              <w:bottom w:w="80" w:type="dxa"/>
              <w:right w:w="80" w:type="dxa"/>
            </w:tcMar>
            <w:shd w:fill="1F4E79"/>
          </w:tcPr>
          <w:p>
            <w:pPr>
              <w:spacing w:after="0"/>
            </w:pPr>
            <w:r>
              <w:rPr>
                <w:b/>
                <w:color w:val="FFFFFF"/>
              </w:rPr>
            </w:r>
            <w:r>
              <w:rPr>
                <w:rFonts w:ascii="Aptos" w:hAnsi="Aptos" w:eastAsia="Aptos"/>
                <w:b/>
                <w:color w:val="FFFFFF"/>
                <w:sz w:val="16"/>
              </w:rPr>
              <w:t>Evidence</w:t>
            </w:r>
          </w:p>
        </w:tc>
      </w:tr>
      <w:tr>
        <w:tc>
          <w:tcPr>
            <w:tcW w:type="dxa" w:w="2880"/>
            <w:vAlign w:val="center"/>
            <w:tcMar>
              <w:top w:w="80" w:type="dxa"/>
              <w:left w:w="80" w:type="dxa"/>
              <w:bottom w:w="80" w:type="dxa"/>
              <w:right w:w="80" w:type="dxa"/>
            </w:tcMar>
          </w:tcPr>
          <w:p>
            <w:pPr>
              <w:spacing w:after="0"/>
            </w:pPr>
            <w:r/>
            <w:r>
              <w:rPr>
                <w:rFonts w:ascii="Aptos" w:hAnsi="Aptos" w:eastAsia="Aptos"/>
                <w:b w:val="0"/>
                <w:sz w:val="15"/>
              </w:rPr>
              <w:t>Retained placements / starts</w:t>
            </w:r>
          </w:p>
        </w:tc>
        <w:tc>
          <w:tcPr>
            <w:tcW w:type="dxa" w:w="1152"/>
            <w:vAlign w:val="center"/>
            <w:tcMar>
              <w:top w:w="80" w:type="dxa"/>
              <w:left w:w="80" w:type="dxa"/>
              <w:bottom w:w="80" w:type="dxa"/>
              <w:right w:w="80" w:type="dxa"/>
            </w:tcMar>
          </w:tcPr>
          <w:p>
            <w:pPr>
              <w:spacing w:after="0"/>
            </w:pPr>
            <w:r/>
            <w:r>
              <w:rPr>
                <w:rFonts w:ascii="Aptos" w:hAnsi="Aptos" w:eastAsia="Aptos"/>
                <w:b w:val="0"/>
                <w:sz w:val="15"/>
              </w:rPr>
              <w:t>30%</w:t>
            </w:r>
          </w:p>
        </w:tc>
        <w:tc>
          <w:tcPr>
            <w:tcW w:type="dxa" w:w="3600"/>
            <w:vAlign w:val="center"/>
            <w:tcMar>
              <w:top w:w="80" w:type="dxa"/>
              <w:left w:w="80" w:type="dxa"/>
              <w:bottom w:w="80" w:type="dxa"/>
              <w:right w:w="80" w:type="dxa"/>
            </w:tcMar>
          </w:tcPr>
          <w:p>
            <w:pPr>
              <w:spacing w:after="0"/>
            </w:pPr>
            <w:r/>
            <w:r>
              <w:rPr>
                <w:rFonts w:ascii="Aptos" w:hAnsi="Aptos" w:eastAsia="Aptos"/>
                <w:b w:val="0"/>
                <w:sz w:val="15"/>
              </w:rPr>
              <w:t>Minimum 3 clean POs/starts; strong performance 4+</w:t>
            </w:r>
          </w:p>
        </w:tc>
        <w:tc>
          <w:tcPr>
            <w:tcW w:type="dxa" w:w="3168"/>
            <w:vAlign w:val="center"/>
            <w:tcMar>
              <w:top w:w="80" w:type="dxa"/>
              <w:left w:w="80" w:type="dxa"/>
              <w:bottom w:w="80" w:type="dxa"/>
              <w:right w:w="80" w:type="dxa"/>
            </w:tcMar>
          </w:tcPr>
          <w:p>
            <w:pPr>
              <w:spacing w:after="0"/>
            </w:pPr>
            <w:r/>
            <w:r>
              <w:rPr>
                <w:rFonts w:ascii="Aptos" w:hAnsi="Aptos" w:eastAsia="Aptos"/>
                <w:b w:val="0"/>
                <w:sz w:val="15"/>
              </w:rPr>
              <w:t>PO/start tracker and 30-day retention status.</w:t>
            </w:r>
          </w:p>
        </w:tc>
      </w:tr>
      <w:tr>
        <w:tc>
          <w:tcPr>
            <w:tcW w:type="dxa" w:w="2880"/>
            <w:vAlign w:val="center"/>
            <w:tcMar>
              <w:top w:w="80" w:type="dxa"/>
              <w:left w:w="80" w:type="dxa"/>
              <w:bottom w:w="80" w:type="dxa"/>
              <w:right w:w="80" w:type="dxa"/>
            </w:tcMar>
          </w:tcPr>
          <w:p>
            <w:pPr>
              <w:spacing w:after="0"/>
            </w:pPr>
            <w:r/>
            <w:r>
              <w:rPr>
                <w:rFonts w:ascii="Aptos" w:hAnsi="Aptos" w:eastAsia="Aptos"/>
                <w:b w:val="0"/>
                <w:sz w:val="15"/>
              </w:rPr>
              <w:t>Submission quality and conversion</w:t>
            </w:r>
          </w:p>
        </w:tc>
        <w:tc>
          <w:tcPr>
            <w:tcW w:type="dxa" w:w="1152"/>
            <w:vAlign w:val="center"/>
            <w:tcMar>
              <w:top w:w="80" w:type="dxa"/>
              <w:left w:w="80" w:type="dxa"/>
              <w:bottom w:w="80" w:type="dxa"/>
              <w:right w:w="80" w:type="dxa"/>
            </w:tcMar>
          </w:tcPr>
          <w:p>
            <w:pPr>
              <w:spacing w:after="0"/>
            </w:pPr>
            <w:r/>
            <w:r>
              <w:rPr>
                <w:rFonts w:ascii="Aptos" w:hAnsi="Aptos" w:eastAsia="Aptos"/>
                <w:b w:val="0"/>
                <w:sz w:val="15"/>
              </w:rPr>
              <w:t>20%</w:t>
            </w:r>
          </w:p>
        </w:tc>
        <w:tc>
          <w:tcPr>
            <w:tcW w:type="dxa" w:w="3600"/>
            <w:vAlign w:val="center"/>
            <w:tcMar>
              <w:top w:w="80" w:type="dxa"/>
              <w:left w:w="80" w:type="dxa"/>
              <w:bottom w:w="80" w:type="dxa"/>
              <w:right w:w="80" w:type="dxa"/>
            </w:tcMar>
          </w:tcPr>
          <w:p>
            <w:pPr>
              <w:spacing w:after="0"/>
            </w:pPr>
            <w:r/>
            <w:r>
              <w:rPr>
                <w:rFonts w:ascii="Aptos" w:hAnsi="Aptos" w:eastAsia="Aptos"/>
                <w:b w:val="0"/>
                <w:sz w:val="15"/>
              </w:rPr>
              <w:t>55–65 quality submissions with strong conversion movement</w:t>
            </w:r>
          </w:p>
        </w:tc>
        <w:tc>
          <w:tcPr>
            <w:tcW w:type="dxa" w:w="3168"/>
            <w:vAlign w:val="center"/>
            <w:tcMar>
              <w:top w:w="80" w:type="dxa"/>
              <w:left w:w="80" w:type="dxa"/>
              <w:bottom w:w="80" w:type="dxa"/>
              <w:right w:w="80" w:type="dxa"/>
            </w:tcMar>
          </w:tcPr>
          <w:p>
            <w:pPr>
              <w:spacing w:after="0"/>
            </w:pPr>
            <w:r/>
            <w:r>
              <w:rPr>
                <w:rFonts w:ascii="Aptos" w:hAnsi="Aptos" w:eastAsia="Aptos"/>
                <w:b w:val="0"/>
                <w:sz w:val="15"/>
              </w:rPr>
              <w:t>Submission tracker, rejection reasons, interview/client movement.</w:t>
            </w:r>
          </w:p>
        </w:tc>
      </w:tr>
      <w:tr>
        <w:tc>
          <w:tcPr>
            <w:tcW w:type="dxa" w:w="2880"/>
            <w:vAlign w:val="center"/>
            <w:tcMar>
              <w:top w:w="80" w:type="dxa"/>
              <w:left w:w="80" w:type="dxa"/>
              <w:bottom w:w="80" w:type="dxa"/>
              <w:right w:w="80" w:type="dxa"/>
            </w:tcMar>
          </w:tcPr>
          <w:p>
            <w:pPr>
              <w:spacing w:after="0"/>
            </w:pPr>
            <w:r/>
            <w:r>
              <w:rPr>
                <w:rFonts w:ascii="Aptos" w:hAnsi="Aptos" w:eastAsia="Aptos"/>
                <w:b w:val="0"/>
                <w:sz w:val="15"/>
              </w:rPr>
              <w:t>Candidate follow-up and risk management</w:t>
            </w:r>
          </w:p>
        </w:tc>
        <w:tc>
          <w:tcPr>
            <w:tcW w:type="dxa" w:w="1152"/>
            <w:vAlign w:val="center"/>
            <w:tcMar>
              <w:top w:w="80" w:type="dxa"/>
              <w:left w:w="80" w:type="dxa"/>
              <w:bottom w:w="80" w:type="dxa"/>
              <w:right w:w="80" w:type="dxa"/>
            </w:tcMar>
          </w:tcPr>
          <w:p>
            <w:pPr>
              <w:spacing w:after="0"/>
            </w:pPr>
            <w:r/>
            <w:r>
              <w:rPr>
                <w:rFonts w:ascii="Aptos" w:hAnsi="Aptos" w:eastAsia="Aptos"/>
                <w:b w:val="0"/>
                <w:sz w:val="15"/>
              </w:rPr>
              <w:t>15%</w:t>
            </w:r>
          </w:p>
        </w:tc>
        <w:tc>
          <w:tcPr>
            <w:tcW w:type="dxa" w:w="3600"/>
            <w:vAlign w:val="center"/>
            <w:tcMar>
              <w:top w:w="80" w:type="dxa"/>
              <w:left w:w="80" w:type="dxa"/>
              <w:bottom w:w="80" w:type="dxa"/>
              <w:right w:w="80" w:type="dxa"/>
            </w:tcMar>
          </w:tcPr>
          <w:p>
            <w:pPr>
              <w:spacing w:after="0"/>
            </w:pPr>
            <w:r/>
            <w:r>
              <w:rPr>
                <w:rFonts w:ascii="Aptos" w:hAnsi="Aptos" w:eastAsia="Aptos"/>
                <w:b w:val="0"/>
                <w:sz w:val="15"/>
              </w:rPr>
              <w:t>2x/week follow-up and proactive risk escalation</w:t>
            </w:r>
          </w:p>
        </w:tc>
        <w:tc>
          <w:tcPr>
            <w:tcW w:type="dxa" w:w="3168"/>
            <w:vAlign w:val="center"/>
            <w:tcMar>
              <w:top w:w="80" w:type="dxa"/>
              <w:left w:w="80" w:type="dxa"/>
              <w:bottom w:w="80" w:type="dxa"/>
              <w:right w:w="80" w:type="dxa"/>
            </w:tcMar>
          </w:tcPr>
          <w:p>
            <w:pPr>
              <w:spacing w:after="0"/>
            </w:pPr>
            <w:r/>
            <w:r>
              <w:rPr>
                <w:rFonts w:ascii="Aptos" w:hAnsi="Aptos" w:eastAsia="Aptos"/>
                <w:b w:val="0"/>
                <w:sz w:val="15"/>
              </w:rPr>
              <w:t>Follow-up log and risk tracker.</w:t>
            </w:r>
          </w:p>
        </w:tc>
      </w:tr>
      <w:tr>
        <w:tc>
          <w:tcPr>
            <w:tcW w:type="dxa" w:w="2880"/>
            <w:vAlign w:val="center"/>
            <w:tcMar>
              <w:top w:w="80" w:type="dxa"/>
              <w:left w:w="80" w:type="dxa"/>
              <w:bottom w:w="80" w:type="dxa"/>
              <w:right w:w="80" w:type="dxa"/>
            </w:tcMar>
          </w:tcPr>
          <w:p>
            <w:pPr>
              <w:spacing w:after="0"/>
            </w:pPr>
            <w:r/>
            <w:r>
              <w:rPr>
                <w:rFonts w:ascii="Aptos" w:hAnsi="Aptos" w:eastAsia="Aptos"/>
                <w:b w:val="0"/>
                <w:sz w:val="15"/>
              </w:rPr>
              <w:t>Sourcer/junior coordination</w:t>
            </w:r>
          </w:p>
        </w:tc>
        <w:tc>
          <w:tcPr>
            <w:tcW w:type="dxa" w:w="1152"/>
            <w:vAlign w:val="center"/>
            <w:tcMar>
              <w:top w:w="80" w:type="dxa"/>
              <w:left w:w="80" w:type="dxa"/>
              <w:bottom w:w="80" w:type="dxa"/>
              <w:right w:w="80" w:type="dxa"/>
            </w:tcMar>
          </w:tcPr>
          <w:p>
            <w:pPr>
              <w:spacing w:after="0"/>
            </w:pPr>
            <w:r/>
            <w:r>
              <w:rPr>
                <w:rFonts w:ascii="Aptos" w:hAnsi="Aptos" w:eastAsia="Aptos"/>
                <w:b w:val="0"/>
                <w:sz w:val="15"/>
              </w:rPr>
              <w:t>10%</w:t>
            </w:r>
          </w:p>
        </w:tc>
        <w:tc>
          <w:tcPr>
            <w:tcW w:type="dxa" w:w="3600"/>
            <w:vAlign w:val="center"/>
            <w:tcMar>
              <w:top w:w="80" w:type="dxa"/>
              <w:left w:w="80" w:type="dxa"/>
              <w:bottom w:w="80" w:type="dxa"/>
              <w:right w:w="80" w:type="dxa"/>
            </w:tcMar>
          </w:tcPr>
          <w:p>
            <w:pPr>
              <w:spacing w:after="0"/>
            </w:pPr>
            <w:r/>
            <w:r>
              <w:rPr>
                <w:rFonts w:ascii="Aptos" w:hAnsi="Aptos" w:eastAsia="Aptos"/>
                <w:b w:val="0"/>
                <w:sz w:val="15"/>
              </w:rPr>
              <w:t>Daily direction and weekly quality review</w:t>
            </w:r>
          </w:p>
        </w:tc>
        <w:tc>
          <w:tcPr>
            <w:tcW w:type="dxa" w:w="3168"/>
            <w:vAlign w:val="center"/>
            <w:tcMar>
              <w:top w:w="80" w:type="dxa"/>
              <w:left w:w="80" w:type="dxa"/>
              <w:bottom w:w="80" w:type="dxa"/>
              <w:right w:w="80" w:type="dxa"/>
            </w:tcMar>
          </w:tcPr>
          <w:p>
            <w:pPr>
              <w:spacing w:after="0"/>
            </w:pPr>
            <w:r/>
            <w:r>
              <w:rPr>
                <w:rFonts w:ascii="Aptos" w:hAnsi="Aptos" w:eastAsia="Aptos"/>
                <w:b w:val="0"/>
                <w:sz w:val="15"/>
              </w:rPr>
              <w:t>Sourcer assignment and output log.</w:t>
            </w:r>
          </w:p>
        </w:tc>
      </w:tr>
      <w:tr>
        <w:tc>
          <w:tcPr>
            <w:tcW w:type="dxa" w:w="2880"/>
            <w:vAlign w:val="center"/>
            <w:tcMar>
              <w:top w:w="80" w:type="dxa"/>
              <w:left w:w="80" w:type="dxa"/>
              <w:bottom w:w="80" w:type="dxa"/>
              <w:right w:w="80" w:type="dxa"/>
            </w:tcMar>
          </w:tcPr>
          <w:p>
            <w:pPr>
              <w:spacing w:after="0"/>
            </w:pPr>
            <w:r/>
            <w:r>
              <w:rPr>
                <w:rFonts w:ascii="Aptos" w:hAnsi="Aptos" w:eastAsia="Aptos"/>
                <w:b w:val="0"/>
                <w:sz w:val="15"/>
              </w:rPr>
              <w:t>Communication/reporting discipline</w:t>
            </w:r>
          </w:p>
        </w:tc>
        <w:tc>
          <w:tcPr>
            <w:tcW w:type="dxa" w:w="1152"/>
            <w:vAlign w:val="center"/>
            <w:tcMar>
              <w:top w:w="80" w:type="dxa"/>
              <w:left w:w="80" w:type="dxa"/>
              <w:bottom w:w="80" w:type="dxa"/>
              <w:right w:w="80" w:type="dxa"/>
            </w:tcMar>
          </w:tcPr>
          <w:p>
            <w:pPr>
              <w:spacing w:after="0"/>
            </w:pPr>
            <w:r/>
            <w:r>
              <w:rPr>
                <w:rFonts w:ascii="Aptos" w:hAnsi="Aptos" w:eastAsia="Aptos"/>
                <w:b w:val="0"/>
                <w:sz w:val="15"/>
              </w:rPr>
              <w:t>10%</w:t>
            </w:r>
          </w:p>
        </w:tc>
        <w:tc>
          <w:tcPr>
            <w:tcW w:type="dxa" w:w="3600"/>
            <w:vAlign w:val="center"/>
            <w:tcMar>
              <w:top w:w="80" w:type="dxa"/>
              <w:left w:w="80" w:type="dxa"/>
              <w:bottom w:w="80" w:type="dxa"/>
              <w:right w:w="80" w:type="dxa"/>
            </w:tcMar>
          </w:tcPr>
          <w:p>
            <w:pPr>
              <w:spacing w:after="0"/>
            </w:pPr>
            <w:r/>
            <w:r>
              <w:rPr>
                <w:rFonts w:ascii="Aptos" w:hAnsi="Aptos" w:eastAsia="Aptos"/>
                <w:b w:val="0"/>
                <w:sz w:val="15"/>
              </w:rPr>
              <w:t>Weekly Friday tracker without chasing; proactive updates</w:t>
            </w:r>
          </w:p>
        </w:tc>
        <w:tc>
          <w:tcPr>
            <w:tcW w:type="dxa" w:w="3168"/>
            <w:vAlign w:val="center"/>
            <w:tcMar>
              <w:top w:w="80" w:type="dxa"/>
              <w:left w:w="80" w:type="dxa"/>
              <w:bottom w:w="80" w:type="dxa"/>
              <w:right w:w="80" w:type="dxa"/>
            </w:tcMar>
          </w:tcPr>
          <w:p>
            <w:pPr>
              <w:spacing w:after="0"/>
            </w:pPr>
            <w:r/>
            <w:r>
              <w:rPr>
                <w:rFonts w:ascii="Aptos" w:hAnsi="Aptos" w:eastAsia="Aptos"/>
                <w:b w:val="0"/>
                <w:sz w:val="15"/>
              </w:rPr>
              <w:t>Weekly tracker and escalation notes.</w:t>
            </w:r>
          </w:p>
        </w:tc>
      </w:tr>
      <w:tr>
        <w:tc>
          <w:tcPr>
            <w:tcW w:type="dxa" w:w="2880"/>
            <w:vAlign w:val="center"/>
            <w:tcMar>
              <w:top w:w="80" w:type="dxa"/>
              <w:left w:w="80" w:type="dxa"/>
              <w:bottom w:w="80" w:type="dxa"/>
              <w:right w:w="80" w:type="dxa"/>
            </w:tcMar>
          </w:tcPr>
          <w:p>
            <w:pPr>
              <w:spacing w:after="0"/>
            </w:pPr>
            <w:r/>
            <w:r>
              <w:rPr>
                <w:rFonts w:ascii="Aptos" w:hAnsi="Aptos" w:eastAsia="Aptos"/>
                <w:b w:val="0"/>
                <w:sz w:val="15"/>
              </w:rPr>
              <w:t>Confidentiality and discretion</w:t>
            </w:r>
          </w:p>
        </w:tc>
        <w:tc>
          <w:tcPr>
            <w:tcW w:type="dxa" w:w="1152"/>
            <w:vAlign w:val="center"/>
            <w:tcMar>
              <w:top w:w="80" w:type="dxa"/>
              <w:left w:w="80" w:type="dxa"/>
              <w:bottom w:w="80" w:type="dxa"/>
              <w:right w:w="80" w:type="dxa"/>
            </w:tcMar>
          </w:tcPr>
          <w:p>
            <w:pPr>
              <w:spacing w:after="0"/>
            </w:pPr>
            <w:r/>
            <w:r>
              <w:rPr>
                <w:rFonts w:ascii="Aptos" w:hAnsi="Aptos" w:eastAsia="Aptos"/>
                <w:b w:val="0"/>
                <w:sz w:val="15"/>
              </w:rPr>
              <w:t>15%</w:t>
            </w:r>
          </w:p>
        </w:tc>
        <w:tc>
          <w:tcPr>
            <w:tcW w:type="dxa" w:w="3600"/>
            <w:vAlign w:val="center"/>
            <w:tcMar>
              <w:top w:w="80" w:type="dxa"/>
              <w:left w:w="80" w:type="dxa"/>
              <w:bottom w:w="80" w:type="dxa"/>
              <w:right w:w="80" w:type="dxa"/>
            </w:tcMar>
          </w:tcPr>
          <w:p>
            <w:pPr>
              <w:spacing w:after="0"/>
            </w:pPr>
            <w:r/>
            <w:r>
              <w:rPr>
                <w:rFonts w:ascii="Aptos" w:hAnsi="Aptos" w:eastAsia="Aptos"/>
                <w:b w:val="0"/>
                <w:sz w:val="15"/>
              </w:rPr>
              <w:t>Internal matters stay internal; strong judgment shown</w:t>
            </w:r>
          </w:p>
        </w:tc>
        <w:tc>
          <w:tcPr>
            <w:tcW w:type="dxa" w:w="3168"/>
            <w:vAlign w:val="center"/>
            <w:tcMar>
              <w:top w:w="80" w:type="dxa"/>
              <w:left w:w="80" w:type="dxa"/>
              <w:bottom w:w="80" w:type="dxa"/>
              <w:right w:w="80" w:type="dxa"/>
            </w:tcMar>
          </w:tcPr>
          <w:p>
            <w:pPr>
              <w:spacing w:after="0"/>
            </w:pPr>
            <w:r/>
            <w:r>
              <w:rPr>
                <w:rFonts w:ascii="Aptos" w:hAnsi="Aptos" w:eastAsia="Aptos"/>
                <w:b w:val="0"/>
                <w:sz w:val="15"/>
              </w:rPr>
              <w:t>No external sharing issues; manager trust maintained.</w:t>
            </w:r>
          </w:p>
        </w:tc>
      </w:tr>
    </w:tbl>
    <w:p/>
    <w:p>
      <w:pPr>
        <w:pStyle w:val="Heading1"/>
      </w:pPr>
      <w:r>
        <w:t>Possible Review Outcomes After 90 Days</w:t>
      </w:r>
    </w:p>
    <w:tbl>
      <w:tblPr>
        <w:tblStyle w:val="TableGrid"/>
        <w:tblW w:type="auto" w:w="0"/>
        <w:jc w:val="center"/>
        <w:tblLayout w:type="autofit"/>
        <w:tblLook w:firstColumn="1" w:firstRow="1" w:lastColumn="0" w:lastRow="0" w:noHBand="0" w:noVBand="1" w:val="04A0"/>
      </w:tblPr>
      <w:tblGrid>
        <w:gridCol w:w="3552"/>
        <w:gridCol w:w="3552"/>
        <w:gridCol w:w="3552"/>
      </w:tblGrid>
      <w:tr>
        <w:tc>
          <w:tcPr>
            <w:tcW w:type="dxa" w:w="2448"/>
            <w:shd w:fill="1F4E79"/>
            <w:vAlign w:val="center"/>
            <w:tcMar>
              <w:top w:w="80" w:type="dxa"/>
              <w:left w:w="80" w:type="dxa"/>
              <w:bottom w:w="80" w:type="dxa"/>
              <w:right w:w="80" w:type="dxa"/>
            </w:tcMar>
            <w:shd w:fill="1F4E79"/>
          </w:tcPr>
          <w:p>
            <w:pPr>
              <w:spacing w:after="0"/>
            </w:pPr>
            <w:r>
              <w:rPr>
                <w:b/>
                <w:color w:val="FFFFFF"/>
              </w:rPr>
            </w:r>
            <w:r>
              <w:rPr>
                <w:rFonts w:ascii="Aptos" w:hAnsi="Aptos" w:eastAsia="Aptos"/>
                <w:b/>
                <w:color w:val="FFFFFF"/>
                <w:sz w:val="16"/>
              </w:rPr>
              <w:t>Outcome</w:t>
            </w:r>
          </w:p>
        </w:tc>
        <w:tc>
          <w:tcPr>
            <w:tcW w:type="dxa" w:w="4320"/>
            <w:shd w:fill="1F4E79"/>
            <w:vAlign w:val="center"/>
            <w:tcMar>
              <w:top w:w="80" w:type="dxa"/>
              <w:left w:w="80" w:type="dxa"/>
              <w:bottom w:w="80" w:type="dxa"/>
              <w:right w:w="80" w:type="dxa"/>
            </w:tcMar>
            <w:shd w:fill="1F4E79"/>
          </w:tcPr>
          <w:p>
            <w:pPr>
              <w:spacing w:after="0"/>
            </w:pPr>
            <w:r>
              <w:rPr>
                <w:b/>
                <w:color w:val="FFFFFF"/>
              </w:rPr>
            </w:r>
            <w:r>
              <w:rPr>
                <w:rFonts w:ascii="Aptos" w:hAnsi="Aptos" w:eastAsia="Aptos"/>
                <w:b/>
                <w:color w:val="FFFFFF"/>
                <w:sz w:val="16"/>
              </w:rPr>
              <w:t>When It Applies</w:t>
            </w:r>
          </w:p>
        </w:tc>
        <w:tc>
          <w:tcPr>
            <w:tcW w:type="dxa" w:w="4032"/>
            <w:shd w:fill="1F4E79"/>
            <w:vAlign w:val="center"/>
            <w:tcMar>
              <w:top w:w="80" w:type="dxa"/>
              <w:left w:w="80" w:type="dxa"/>
              <w:bottom w:w="80" w:type="dxa"/>
              <w:right w:w="80" w:type="dxa"/>
            </w:tcMar>
            <w:shd w:fill="1F4E79"/>
          </w:tcPr>
          <w:p>
            <w:pPr>
              <w:spacing w:after="0"/>
            </w:pPr>
            <w:r>
              <w:rPr>
                <w:b/>
                <w:color w:val="FFFFFF"/>
              </w:rPr>
            </w:r>
            <w:r>
              <w:rPr>
                <w:rFonts w:ascii="Aptos" w:hAnsi="Aptos" w:eastAsia="Aptos"/>
                <w:b/>
                <w:color w:val="FFFFFF"/>
                <w:sz w:val="16"/>
              </w:rPr>
              <w:t>Compensation / Role Action</w:t>
            </w:r>
          </w:p>
        </w:tc>
      </w:tr>
      <w:tr>
        <w:tc>
          <w:tcPr>
            <w:tcW w:type="dxa" w:w="2448"/>
            <w:vAlign w:val="center"/>
            <w:tcMar>
              <w:top w:w="80" w:type="dxa"/>
              <w:left w:w="80" w:type="dxa"/>
              <w:bottom w:w="80" w:type="dxa"/>
              <w:right w:w="80" w:type="dxa"/>
            </w:tcMar>
          </w:tcPr>
          <w:p>
            <w:pPr>
              <w:spacing w:after="0"/>
            </w:pPr>
            <w:r/>
            <w:r>
              <w:rPr>
                <w:rFonts w:ascii="Aptos" w:hAnsi="Aptos" w:eastAsia="Aptos"/>
                <w:b w:val="0"/>
                <w:sz w:val="15"/>
              </w:rPr>
              <w:t>Strongly exceeds expectations</w:t>
            </w:r>
          </w:p>
        </w:tc>
        <w:tc>
          <w:tcPr>
            <w:tcW w:type="dxa" w:w="4320"/>
            <w:vAlign w:val="center"/>
            <w:tcMar>
              <w:top w:w="80" w:type="dxa"/>
              <w:left w:w="80" w:type="dxa"/>
              <w:bottom w:w="80" w:type="dxa"/>
              <w:right w:w="80" w:type="dxa"/>
            </w:tcMar>
          </w:tcPr>
          <w:p>
            <w:pPr>
              <w:spacing w:after="0"/>
            </w:pPr>
            <w:r/>
            <w:r>
              <w:rPr>
                <w:rFonts w:ascii="Aptos" w:hAnsi="Aptos" w:eastAsia="Aptos"/>
                <w:b w:val="0"/>
                <w:sz w:val="15"/>
              </w:rPr>
              <w:t>4+ clean retained starts, strong ownership, excellent communication, no confidentiality concerns</w:t>
            </w:r>
          </w:p>
        </w:tc>
        <w:tc>
          <w:tcPr>
            <w:tcW w:type="dxa" w:w="4032"/>
            <w:vAlign w:val="center"/>
            <w:tcMar>
              <w:top w:w="80" w:type="dxa"/>
              <w:left w:w="80" w:type="dxa"/>
              <w:bottom w:w="80" w:type="dxa"/>
              <w:right w:w="80" w:type="dxa"/>
            </w:tcMar>
          </w:tcPr>
          <w:p>
            <w:pPr>
              <w:spacing w:after="0"/>
            </w:pPr>
            <w:r/>
            <w:r>
              <w:rPr>
                <w:rFonts w:ascii="Aptos" w:hAnsi="Aptos" w:eastAsia="Aptos"/>
                <w:b w:val="0"/>
                <w:sz w:val="15"/>
              </w:rPr>
              <w:t>Review next salary band seriously; may consider ₹55,000–₹60,000 range or expanded senior responsibilities if desk economics support it.</w:t>
            </w:r>
          </w:p>
        </w:tc>
      </w:tr>
      <w:tr>
        <w:tc>
          <w:tcPr>
            <w:tcW w:type="dxa" w:w="2448"/>
            <w:vAlign w:val="center"/>
            <w:tcMar>
              <w:top w:w="80" w:type="dxa"/>
              <w:left w:w="80" w:type="dxa"/>
              <w:bottom w:w="80" w:type="dxa"/>
              <w:right w:w="80" w:type="dxa"/>
            </w:tcMar>
          </w:tcPr>
          <w:p>
            <w:pPr>
              <w:spacing w:after="0"/>
            </w:pPr>
            <w:r/>
            <w:r>
              <w:rPr>
                <w:rFonts w:ascii="Aptos" w:hAnsi="Aptos" w:eastAsia="Aptos"/>
                <w:b w:val="0"/>
                <w:sz w:val="15"/>
              </w:rPr>
              <w:t>Meets expectations</w:t>
            </w:r>
          </w:p>
        </w:tc>
        <w:tc>
          <w:tcPr>
            <w:tcW w:type="dxa" w:w="4320"/>
            <w:vAlign w:val="center"/>
            <w:tcMar>
              <w:top w:w="80" w:type="dxa"/>
              <w:left w:w="80" w:type="dxa"/>
              <w:bottom w:w="80" w:type="dxa"/>
              <w:right w:w="80" w:type="dxa"/>
            </w:tcMar>
          </w:tcPr>
          <w:p>
            <w:pPr>
              <w:spacing w:after="0"/>
            </w:pPr>
            <w:r/>
            <w:r>
              <w:rPr>
                <w:rFonts w:ascii="Aptos" w:hAnsi="Aptos" w:eastAsia="Aptos"/>
                <w:b w:val="0"/>
                <w:sz w:val="15"/>
              </w:rPr>
              <w:t>3 clean retained starts, good quality, reliable follow-up, no major process/trust issues</w:t>
            </w:r>
          </w:p>
        </w:tc>
        <w:tc>
          <w:tcPr>
            <w:tcW w:type="dxa" w:w="4032"/>
            <w:vAlign w:val="center"/>
            <w:tcMar>
              <w:top w:w="80" w:type="dxa"/>
              <w:left w:w="80" w:type="dxa"/>
              <w:bottom w:w="80" w:type="dxa"/>
              <w:right w:w="80" w:type="dxa"/>
            </w:tcMar>
          </w:tcPr>
          <w:p>
            <w:pPr>
              <w:spacing w:after="0"/>
            </w:pPr>
            <w:r/>
            <w:r>
              <w:rPr>
                <w:rFonts w:ascii="Aptos" w:hAnsi="Aptos" w:eastAsia="Aptos"/>
                <w:b w:val="0"/>
                <w:sz w:val="15"/>
              </w:rPr>
              <w:t>Continue at current band and review next step based on business support and consistency.</w:t>
            </w:r>
          </w:p>
        </w:tc>
      </w:tr>
      <w:tr>
        <w:tc>
          <w:tcPr>
            <w:tcW w:type="dxa" w:w="2448"/>
            <w:vAlign w:val="center"/>
            <w:tcMar>
              <w:top w:w="80" w:type="dxa"/>
              <w:left w:w="80" w:type="dxa"/>
              <w:bottom w:w="80" w:type="dxa"/>
              <w:right w:w="80" w:type="dxa"/>
            </w:tcMar>
          </w:tcPr>
          <w:p>
            <w:pPr>
              <w:spacing w:after="0"/>
            </w:pPr>
            <w:r/>
            <w:r>
              <w:rPr>
                <w:rFonts w:ascii="Aptos" w:hAnsi="Aptos" w:eastAsia="Aptos"/>
                <w:b w:val="0"/>
                <w:sz w:val="15"/>
              </w:rPr>
              <w:t>Partially meets expectations</w:t>
            </w:r>
          </w:p>
        </w:tc>
        <w:tc>
          <w:tcPr>
            <w:tcW w:type="dxa" w:w="4320"/>
            <w:vAlign w:val="center"/>
            <w:tcMar>
              <w:top w:w="80" w:type="dxa"/>
              <w:left w:w="80" w:type="dxa"/>
              <w:bottom w:w="80" w:type="dxa"/>
              <w:right w:w="80" w:type="dxa"/>
            </w:tcMar>
          </w:tcPr>
          <w:p>
            <w:pPr>
              <w:spacing w:after="0"/>
            </w:pPr>
            <w:r/>
            <w:r>
              <w:rPr>
                <w:rFonts w:ascii="Aptos" w:hAnsi="Aptos" w:eastAsia="Aptos"/>
                <w:b w:val="0"/>
                <w:sz w:val="15"/>
              </w:rPr>
              <w:t>Activity present but weak conversion, inconsistent reporting, or limited ownership</w:t>
            </w:r>
          </w:p>
        </w:tc>
        <w:tc>
          <w:tcPr>
            <w:tcW w:type="dxa" w:w="4032"/>
            <w:vAlign w:val="center"/>
            <w:tcMar>
              <w:top w:w="80" w:type="dxa"/>
              <w:left w:w="80" w:type="dxa"/>
              <w:bottom w:w="80" w:type="dxa"/>
              <w:right w:w="80" w:type="dxa"/>
            </w:tcMar>
          </w:tcPr>
          <w:p>
            <w:pPr>
              <w:spacing w:after="0"/>
            </w:pPr>
            <w:r/>
            <w:r>
              <w:rPr>
                <w:rFonts w:ascii="Aptos" w:hAnsi="Aptos" w:eastAsia="Aptos"/>
                <w:b w:val="0"/>
                <w:sz w:val="15"/>
              </w:rPr>
              <w:t>Extend review period with tighter milestones before any next band discussion.</w:t>
            </w:r>
          </w:p>
        </w:tc>
      </w:tr>
      <w:tr>
        <w:tc>
          <w:tcPr>
            <w:tcW w:type="dxa" w:w="2448"/>
            <w:vAlign w:val="center"/>
            <w:tcMar>
              <w:top w:w="80" w:type="dxa"/>
              <w:left w:w="80" w:type="dxa"/>
              <w:bottom w:w="80" w:type="dxa"/>
              <w:right w:w="80" w:type="dxa"/>
            </w:tcMar>
          </w:tcPr>
          <w:p>
            <w:pPr>
              <w:spacing w:after="0"/>
            </w:pPr>
            <w:r/>
            <w:r>
              <w:rPr>
                <w:rFonts w:ascii="Aptos" w:hAnsi="Aptos" w:eastAsia="Aptos"/>
                <w:b w:val="0"/>
                <w:sz w:val="15"/>
              </w:rPr>
              <w:t>Does not meet expectations</w:t>
            </w:r>
          </w:p>
        </w:tc>
        <w:tc>
          <w:tcPr>
            <w:tcW w:type="dxa" w:w="4320"/>
            <w:vAlign w:val="center"/>
            <w:tcMar>
              <w:top w:w="80" w:type="dxa"/>
              <w:left w:w="80" w:type="dxa"/>
              <w:bottom w:w="80" w:type="dxa"/>
              <w:right w:w="80" w:type="dxa"/>
            </w:tcMar>
          </w:tcPr>
          <w:p>
            <w:pPr>
              <w:spacing w:after="0"/>
            </w:pPr>
            <w:r/>
            <w:r>
              <w:rPr>
                <w:rFonts w:ascii="Aptos" w:hAnsi="Aptos" w:eastAsia="Aptos"/>
                <w:b w:val="0"/>
                <w:sz w:val="15"/>
              </w:rPr>
              <w:t>Low conversion, avoidable falloffs, poor communication, or confidentiality/trust concerns</w:t>
            </w:r>
          </w:p>
        </w:tc>
        <w:tc>
          <w:tcPr>
            <w:tcW w:type="dxa" w:w="4032"/>
            <w:vAlign w:val="center"/>
            <w:tcMar>
              <w:top w:w="80" w:type="dxa"/>
              <w:left w:w="80" w:type="dxa"/>
              <w:bottom w:w="80" w:type="dxa"/>
              <w:right w:w="80" w:type="dxa"/>
            </w:tcMar>
          </w:tcPr>
          <w:p>
            <w:pPr>
              <w:spacing w:after="0"/>
            </w:pPr>
            <w:r/>
            <w:r>
              <w:rPr>
                <w:rFonts w:ascii="Aptos" w:hAnsi="Aptos" w:eastAsia="Aptos"/>
                <w:b w:val="0"/>
                <w:sz w:val="15"/>
              </w:rPr>
              <w:t>No next band; role expectations and fit need leadership review.</w:t>
            </w:r>
          </w:p>
        </w:tc>
      </w:tr>
    </w:tbl>
    <w:p/>
    <w:p>
      <w:r>
        <w:br w:type="page"/>
      </w:r>
    </w:p>
    <w:p>
      <w:pPr>
        <w:pStyle w:val="Heading1"/>
      </w:pPr>
      <w:r>
        <w:t>Manager Notes / Meeting Summary</w:t>
      </w:r>
    </w:p>
    <w:tbl>
      <w:tblPr>
        <w:tblStyle w:val="TableGrid"/>
        <w:tblW w:type="auto" w:w="0"/>
        <w:jc w:val="center"/>
        <w:tblLayout w:type="autofit"/>
        <w:tblLook w:firstColumn="1" w:firstRow="1" w:lastColumn="0" w:lastRow="0" w:noHBand="0" w:noVBand="1" w:val="04A0"/>
      </w:tblPr>
      <w:tblGrid>
        <w:gridCol w:w="5328"/>
        <w:gridCol w:w="5328"/>
      </w:tblGrid>
      <w:tr>
        <w:tc>
          <w:tcPr>
            <w:tcW w:type="dxa" w:w="3168"/>
            <w:shd w:fill="1F4E79"/>
            <w:vAlign w:val="center"/>
            <w:tcMar>
              <w:top w:w="80" w:type="dxa"/>
              <w:left w:w="80" w:type="dxa"/>
              <w:bottom w:w="80" w:type="dxa"/>
              <w:right w:w="80" w:type="dxa"/>
            </w:tcMar>
            <w:shd w:fill="1F4E79"/>
          </w:tcPr>
          <w:p>
            <w:pPr>
              <w:spacing w:after="0"/>
            </w:pPr>
            <w:r>
              <w:rPr>
                <w:b/>
                <w:color w:val="FFFFFF"/>
              </w:rPr>
            </w:r>
            <w:r>
              <w:rPr>
                <w:rFonts w:ascii="Aptos" w:hAnsi="Aptos" w:eastAsia="Aptos"/>
                <w:b/>
                <w:color w:val="FFFFFF"/>
                <w:sz w:val="16"/>
              </w:rPr>
              <w:t>Topic</w:t>
            </w:r>
          </w:p>
        </w:tc>
        <w:tc>
          <w:tcPr>
            <w:tcW w:type="dxa" w:w="7632"/>
            <w:shd w:fill="1F4E79"/>
            <w:vAlign w:val="center"/>
            <w:tcMar>
              <w:top w:w="80" w:type="dxa"/>
              <w:left w:w="80" w:type="dxa"/>
              <w:bottom w:w="80" w:type="dxa"/>
              <w:right w:w="80" w:type="dxa"/>
            </w:tcMar>
            <w:shd w:fill="1F4E79"/>
          </w:tcPr>
          <w:p>
            <w:pPr>
              <w:spacing w:after="0"/>
            </w:pPr>
            <w:r>
              <w:rPr>
                <w:b/>
                <w:color w:val="FFFFFF"/>
              </w:rPr>
            </w:r>
            <w:r>
              <w:rPr>
                <w:rFonts w:ascii="Aptos" w:hAnsi="Aptos" w:eastAsia="Aptos"/>
                <w:b/>
                <w:color w:val="FFFFFF"/>
                <w:sz w:val="16"/>
              </w:rPr>
              <w:t>Notes</w:t>
            </w:r>
          </w:p>
        </w:tc>
      </w:tr>
      <w:tr>
        <w:tc>
          <w:tcPr>
            <w:tcW w:type="dxa" w:w="3168"/>
            <w:vAlign w:val="center"/>
            <w:tcMar>
              <w:top w:w="80" w:type="dxa"/>
              <w:left w:w="80" w:type="dxa"/>
              <w:bottom w:w="80" w:type="dxa"/>
              <w:right w:w="80" w:type="dxa"/>
            </w:tcMar>
          </w:tcPr>
          <w:p>
            <w:pPr>
              <w:spacing w:after="0"/>
            </w:pPr>
            <w:r/>
            <w:r>
              <w:rPr>
                <w:rFonts w:ascii="Aptos" w:hAnsi="Aptos" w:eastAsia="Aptos"/>
                <w:b w:val="0"/>
                <w:sz w:val="16"/>
              </w:rPr>
              <w:t>Salary revision discussed</w:t>
            </w:r>
          </w:p>
        </w:tc>
        <w:tc>
          <w:tcPr>
            <w:tcW w:type="dxa" w:w="7632"/>
            <w:vAlign w:val="center"/>
            <w:tcMar>
              <w:top w:w="80" w:type="dxa"/>
              <w:left w:w="80" w:type="dxa"/>
              <w:bottom w:w="80" w:type="dxa"/>
              <w:right w:w="80" w:type="dxa"/>
            </w:tcMar>
          </w:tcPr>
          <w:p>
            <w:pPr>
              <w:spacing w:after="0"/>
            </w:pPr>
            <w:r/>
            <w:r>
              <w:rPr>
                <w:rFonts w:ascii="Aptos" w:hAnsi="Aptos" w:eastAsia="Aptos"/>
                <w:b w:val="0"/>
                <w:sz w:val="16"/>
              </w:rPr>
              <w:t>Fixed salary revised to ₹50,000/month effective immediately.</w:t>
            </w:r>
          </w:p>
        </w:tc>
      </w:tr>
      <w:tr>
        <w:tc>
          <w:tcPr>
            <w:tcW w:type="dxa" w:w="3168"/>
            <w:vAlign w:val="center"/>
            <w:tcMar>
              <w:top w:w="80" w:type="dxa"/>
              <w:left w:w="80" w:type="dxa"/>
              <w:bottom w:w="80" w:type="dxa"/>
              <w:right w:w="80" w:type="dxa"/>
            </w:tcMar>
          </w:tcPr>
          <w:p>
            <w:pPr>
              <w:spacing w:after="0"/>
            </w:pPr>
            <w:r/>
            <w:r>
              <w:rPr>
                <w:rFonts w:ascii="Aptos" w:hAnsi="Aptos" w:eastAsia="Aptos"/>
                <w:b w:val="0"/>
                <w:sz w:val="16"/>
              </w:rPr>
              <w:t>90-day review explained</w:t>
            </w:r>
          </w:p>
        </w:tc>
        <w:tc>
          <w:tcPr>
            <w:tcW w:type="dxa" w:w="7632"/>
            <w:vAlign w:val="center"/>
            <w:tcMar>
              <w:top w:w="80" w:type="dxa"/>
              <w:left w:w="80" w:type="dxa"/>
              <w:bottom w:w="80" w:type="dxa"/>
              <w:right w:w="80" w:type="dxa"/>
            </w:tcMar>
          </w:tcPr>
          <w:p>
            <w:pPr>
              <w:spacing w:after="0"/>
            </w:pPr>
            <w:r/>
            <w:r>
              <w:rPr>
                <w:rFonts w:ascii="Aptos" w:hAnsi="Aptos" w:eastAsia="Aptos"/>
                <w:b w:val="0"/>
                <w:sz w:val="16"/>
              </w:rPr>
              <w:t>Review is structured growth review, not automatic hike.</w:t>
            </w:r>
          </w:p>
        </w:tc>
      </w:tr>
      <w:tr>
        <w:tc>
          <w:tcPr>
            <w:tcW w:type="dxa" w:w="3168"/>
            <w:vAlign w:val="center"/>
            <w:tcMar>
              <w:top w:w="80" w:type="dxa"/>
              <w:left w:w="80" w:type="dxa"/>
              <w:bottom w:w="80" w:type="dxa"/>
              <w:right w:w="80" w:type="dxa"/>
            </w:tcMar>
          </w:tcPr>
          <w:p>
            <w:pPr>
              <w:spacing w:after="0"/>
            </w:pPr>
            <w:r/>
            <w:r>
              <w:rPr>
                <w:rFonts w:ascii="Aptos" w:hAnsi="Aptos" w:eastAsia="Aptos"/>
                <w:b w:val="0"/>
                <w:sz w:val="16"/>
              </w:rPr>
              <w:t>First 30-day conversion expectation</w:t>
            </w:r>
          </w:p>
        </w:tc>
        <w:tc>
          <w:tcPr>
            <w:tcW w:type="dxa" w:w="7632"/>
            <w:vAlign w:val="center"/>
            <w:tcMar>
              <w:top w:w="80" w:type="dxa"/>
              <w:left w:w="80" w:type="dxa"/>
              <w:bottom w:w="80" w:type="dxa"/>
              <w:right w:w="80" w:type="dxa"/>
            </w:tcMar>
          </w:tcPr>
          <w:p>
            <w:pPr>
              <w:spacing w:after="0"/>
            </w:pPr>
            <w:r/>
            <w:r>
              <w:rPr>
                <w:rFonts w:ascii="Aptos" w:hAnsi="Aptos" w:eastAsia="Aptos"/>
                <w:b w:val="0"/>
                <w:sz w:val="16"/>
              </w:rPr>
              <w:t>1–2 clean POs/starts expected from live pipeline, assuming active client demand.</w:t>
            </w:r>
          </w:p>
        </w:tc>
      </w:tr>
      <w:tr>
        <w:tc>
          <w:tcPr>
            <w:tcW w:type="dxa" w:w="3168"/>
            <w:vAlign w:val="center"/>
            <w:tcMar>
              <w:top w:w="80" w:type="dxa"/>
              <w:left w:w="80" w:type="dxa"/>
              <w:bottom w:w="80" w:type="dxa"/>
              <w:right w:w="80" w:type="dxa"/>
            </w:tcMar>
          </w:tcPr>
          <w:p>
            <w:pPr>
              <w:spacing w:after="0"/>
            </w:pPr>
            <w:r/>
            <w:r>
              <w:rPr>
                <w:rFonts w:ascii="Aptos" w:hAnsi="Aptos" w:eastAsia="Aptos"/>
                <w:b w:val="0"/>
                <w:sz w:val="16"/>
              </w:rPr>
              <w:t>Confidentiality expectation</w:t>
            </w:r>
          </w:p>
        </w:tc>
        <w:tc>
          <w:tcPr>
            <w:tcW w:type="dxa" w:w="7632"/>
            <w:vAlign w:val="center"/>
            <w:tcMar>
              <w:top w:w="80" w:type="dxa"/>
              <w:left w:w="80" w:type="dxa"/>
              <w:bottom w:w="80" w:type="dxa"/>
              <w:right w:w="80" w:type="dxa"/>
            </w:tcMar>
          </w:tcPr>
          <w:p>
            <w:pPr>
              <w:spacing w:after="0"/>
            </w:pPr>
            <w:r/>
            <w:r>
              <w:rPr>
                <w:rFonts w:ascii="Aptos" w:hAnsi="Aptos" w:eastAsia="Aptos"/>
                <w:b w:val="0"/>
                <w:sz w:val="16"/>
              </w:rPr>
              <w:t>Internal matters must stay internal unless approved.</w:t>
            </w:r>
          </w:p>
        </w:tc>
      </w:tr>
      <w:tr>
        <w:tc>
          <w:tcPr>
            <w:tcW w:type="dxa" w:w="3168"/>
            <w:vAlign w:val="center"/>
            <w:tcMar>
              <w:top w:w="80" w:type="dxa"/>
              <w:left w:w="80" w:type="dxa"/>
              <w:bottom w:w="80" w:type="dxa"/>
              <w:right w:w="80" w:type="dxa"/>
            </w:tcMar>
          </w:tcPr>
          <w:p>
            <w:pPr>
              <w:spacing w:after="0"/>
            </w:pPr>
            <w:r/>
            <w:r>
              <w:rPr>
                <w:rFonts w:ascii="Aptos" w:hAnsi="Aptos" w:eastAsia="Aptos"/>
                <w:b w:val="0"/>
                <w:sz w:val="16"/>
              </w:rPr>
              <w:t>Future incentive plan</w:t>
            </w:r>
          </w:p>
        </w:tc>
        <w:tc>
          <w:tcPr>
            <w:tcW w:type="dxa" w:w="7632"/>
            <w:vAlign w:val="center"/>
            <w:tcMar>
              <w:top w:w="80" w:type="dxa"/>
              <w:left w:w="80" w:type="dxa"/>
              <w:bottom w:w="80" w:type="dxa"/>
              <w:right w:w="80" w:type="dxa"/>
            </w:tcMar>
          </w:tcPr>
          <w:p>
            <w:pPr>
              <w:spacing w:after="0"/>
            </w:pPr>
            <w:r/>
            <w:r>
              <w:rPr>
                <w:rFonts w:ascii="Aptos" w:hAnsi="Aptos" w:eastAsia="Aptos"/>
                <w:b w:val="0"/>
                <w:sz w:val="16"/>
              </w:rPr>
              <w:t>Healthcare team incentive program may be reviewed once desk economics stabilize; not a one-off guarantee.</w:t>
            </w:r>
          </w:p>
        </w:tc>
      </w:tr>
      <w:tr>
        <w:tc>
          <w:tcPr>
            <w:tcW w:type="dxa" w:w="3168"/>
            <w:vAlign w:val="center"/>
            <w:tcMar>
              <w:top w:w="80" w:type="dxa"/>
              <w:left w:w="80" w:type="dxa"/>
              <w:bottom w:w="80" w:type="dxa"/>
              <w:right w:w="80" w:type="dxa"/>
            </w:tcMar>
          </w:tcPr>
          <w:p>
            <w:pPr>
              <w:spacing w:after="0"/>
            </w:pPr>
            <w:r/>
            <w:r>
              <w:rPr>
                <w:rFonts w:ascii="Aptos" w:hAnsi="Aptos" w:eastAsia="Aptos"/>
                <w:b w:val="0"/>
                <w:sz w:val="16"/>
              </w:rPr>
              <w:t>Employee questions/concerns</w:t>
            </w:r>
          </w:p>
        </w:tc>
        <w:tc>
          <w:tcPr>
            <w:tcW w:type="dxa" w:w="7632"/>
            <w:vAlign w:val="center"/>
            <w:tcMar>
              <w:top w:w="80" w:type="dxa"/>
              <w:left w:w="80" w:type="dxa"/>
              <w:bottom w:w="80" w:type="dxa"/>
              <w:right w:w="80" w:type="dxa"/>
            </w:tcMar>
          </w:tcPr>
          <w:p>
            <w:pPr>
              <w:spacing w:after="0"/>
            </w:pPr>
            <w:r/>
            <w:r>
              <w:rPr>
                <w:rFonts w:ascii="Aptos" w:hAnsi="Aptos" w:eastAsia="Aptos"/>
                <w:b w:val="0"/>
                <w:sz w:val="16"/>
              </w:rPr>
            </w:r>
          </w:p>
        </w:tc>
      </w:tr>
      <w:tr>
        <w:tc>
          <w:tcPr>
            <w:tcW w:type="dxa" w:w="3168"/>
            <w:vAlign w:val="center"/>
            <w:tcMar>
              <w:top w:w="80" w:type="dxa"/>
              <w:left w:w="80" w:type="dxa"/>
              <w:bottom w:w="80" w:type="dxa"/>
              <w:right w:w="80" w:type="dxa"/>
            </w:tcMar>
          </w:tcPr>
          <w:p>
            <w:pPr>
              <w:spacing w:after="0"/>
            </w:pPr>
            <w:r/>
            <w:r>
              <w:rPr>
                <w:rFonts w:ascii="Aptos" w:hAnsi="Aptos" w:eastAsia="Aptos"/>
                <w:b w:val="0"/>
                <w:sz w:val="16"/>
              </w:rPr>
              <w:t>Next check-in date</w:t>
            </w:r>
          </w:p>
        </w:tc>
        <w:tc>
          <w:tcPr>
            <w:tcW w:type="dxa" w:w="7632"/>
            <w:vAlign w:val="center"/>
            <w:tcMar>
              <w:top w:w="80" w:type="dxa"/>
              <w:left w:w="80" w:type="dxa"/>
              <w:bottom w:w="80" w:type="dxa"/>
              <w:right w:w="80" w:type="dxa"/>
            </w:tcMar>
          </w:tcPr>
          <w:p>
            <w:pPr>
              <w:spacing w:after="0"/>
            </w:pPr>
            <w:r/>
            <w:r>
              <w:rPr>
                <w:rFonts w:ascii="Aptos" w:hAnsi="Aptos" w:eastAsia="Aptos"/>
                <w:b w:val="0"/>
                <w:sz w:val="16"/>
              </w:rPr>
            </w:r>
          </w:p>
        </w:tc>
      </w:tr>
    </w:tbl>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4"/>
      </w:rPr>
      <w:t>Confidential Internal Document | Healthcare Recruiting Growth Review | Prepared for Leadership Discussion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365F9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365F91"/>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90-Day Healthcare Recruiting Growth Review Plan</dc:title>
  <dc:subject>Performance growth plan and senior/foundation team expectations</dc:subject>
  <dc:creator>Hire’in Solutions</dc:creator>
  <cp:keywords/>
  <dc:description>generated by python-docx</dc:description>
  <cp:lastModifiedBy/>
  <cp:revision>1</cp:revision>
  <dcterms:created xsi:type="dcterms:W3CDTF">2013-12-23T23:15:00Z</dcterms:created>
  <dcterms:modified xsi:type="dcterms:W3CDTF">2013-12-23T23:15:00Z</dcterms:modified>
  <cp:category/>
</cp:coreProperties>
</file>