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jc w:val="center"/>
      </w:pPr>
      <w:r>
        <w:rPr>
          <w:rFonts w:ascii="Arial" w:cs="Arial" w:eastAsia="Arial" w:hAnsi="Arial"/>
          <w:b/>
          <w:bCs/>
          <w:color w:val="1F4E79"/>
          <w:sz w:val="56"/>
          <w:szCs w:val="56"/>
        </w:rPr>
        <w:t xml:space="preserve">HIRE'IN SOLUTIONS</w:t>
      </w:r>
    </w:p>
    <w:p>
      <w:pPr>
        <w:spacing w:after="100"/>
        <w:jc w:val="center"/>
      </w:pPr>
      <w:r>
        <w:rPr>
          <w:rFonts w:ascii="Arial" w:cs="Arial" w:eastAsia="Arial" w:hAnsi="Arial"/>
          <w:b/>
          <w:bCs/>
          <w:color w:val="6C3483"/>
          <w:sz w:val="44"/>
          <w:szCs w:val="44"/>
        </w:rPr>
        <w:t xml:space="preserve">Certified IT</w:t>
      </w:r>
    </w:p>
    <w:p>
      <w:pPr>
        <w:spacing w:after="100"/>
        <w:jc w:val="center"/>
      </w:pPr>
      <w:r>
        <w:rPr>
          <w:rFonts w:ascii="Arial" w:cs="Arial" w:eastAsia="Arial" w:hAnsi="Arial"/>
          <w:b/>
          <w:bCs/>
          <w:color w:val="6C3483"/>
          <w:sz w:val="40"/>
          <w:szCs w:val="40"/>
        </w:rPr>
        <w:t xml:space="preserve">TA Performance Track (CITP)</w:t>
      </w:r>
    </w:p>
    <w:p>
      <w:pPr>
        <w:spacing w:after="100"/>
        <w:jc w:val="center"/>
      </w:pPr>
      <w:r>
        <w:rPr>
          <w:rFonts w:ascii="Arial" w:cs="Arial" w:eastAsia="Arial" w:hAnsi="Arial"/>
          <w:color w:val="444444"/>
          <w:sz w:val="32"/>
          <w:szCs w:val="32"/>
        </w:rPr>
        <w:t xml:space="preserve">Complete 4-Tier Certification with Prerequisites</w:t>
      </w:r>
    </w:p>
    <w:p>
      <w:pPr>
        <w:pBdr>
          <w:bottom w:val="single" w:color="6C3483" w:sz="6" w:space="1"/>
        </w:pBdr>
        <w:spacing w:after="200" w:before="200"/>
      </w:pPr>
    </w:p>
    <w:p>
      <w:pPr>
        <w:spacing w:after="80"/>
        <w:jc w:val="center"/>
      </w:pPr>
      <w:r>
        <w:rPr>
          <w:rFonts w:ascii="Arial" w:cs="Arial" w:eastAsia="Arial" w:hAnsi="Arial"/>
          <w:color w:val="555555"/>
          <w:sz w:val="26"/>
          <w:szCs w:val="26"/>
        </w:rPr>
        <w:t xml:space="preserve">For IT TA Experts  |  Prerequisite: CFC Certification</w:t>
      </w:r>
    </w:p>
    <w:p>
      <w:pPr>
        <w:spacing w:after="80"/>
        <w:jc w:val="center"/>
      </w:pPr>
      <w:r>
        <w:rPr>
          <w:rFonts w:ascii="Arial" w:cs="Arial" w:eastAsia="Arial" w:hAnsi="Arial"/>
          <w:i/>
          <w:iCs/>
          <w:color w:val="777777"/>
          <w:sz w:val="24"/>
          <w:szCs w:val="24"/>
        </w:rPr>
        <w:t xml:space="preserve">Making Lives Better, One Placement at a Time</w:t>
      </w:r>
    </w:p>
    <w:p>
      <w:pPr>
        <w:spacing w:after="200"/>
      </w:pPr>
    </w:p>
    <w:p>
      <w:pPr>
        <w:jc w:val="center"/>
      </w:pPr>
      <w:r>
        <w:rPr>
          <w:rFonts w:ascii="Arial" w:cs="Arial" w:eastAsia="Arial" w:hAnsi="Arial"/>
          <w:color w:val="999999"/>
          <w:sz w:val="20"/>
          <w:szCs w:val="20"/>
        </w:rPr>
        <w:t xml:space="preserve">CONFIDENTIAL — Internal Use Only</w:t>
      </w:r>
    </w:p>
    <w:p>
      <w:r>
        <w:br w:type="page"/>
      </w:r>
    </w:p>
    <w:p>
      <w:pPr>
        <w:pStyle w:val="Heading1"/>
      </w:pPr>
      <w:r>
        <w:t xml:space="preserve">Table of 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Section 1: CITP Overview</w:t>
      </w:r>
    </w:p>
    <w:p>
      <w:pPr>
        <w:spacing w:after="200"/>
      </w:pPr>
    </w:p>
    <w:p>
      <w:pPr>
        <w:pStyle w:val="Heading2"/>
      </w:pPr>
      <w:r>
        <w:t xml:space="preserve">1.1 Hard Prerequisite</w:t>
      </w:r>
    </w:p>
    <w:p>
      <w:pPr>
        <w:spacing w:after="120"/>
      </w:pPr>
      <w:r>
        <w:rPr>
          <w:b/>
          <w:bCs/>
        </w:rPr>
        <w:t xml:space="preserve">No employee may begin any CITP module without holding a current Common Foundation Certification (CFC). The CFC is the gate. This track builds specialist IT depth on top of that foundation.</w:t>
      </w:r>
    </w:p>
    <w:p>
      <w:pPr>
        <w:spacing w:after="200"/>
      </w:pPr>
    </w:p>
    <w:p>
      <w:pPr>
        <w:pStyle w:val="Heading2"/>
      </w:pPr>
      <w:r>
        <w:t xml:space="preserve">1.2 Four-Tier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00"/>
        <w:gridCol w:w="2760"/>
      </w:tblGrid>
      <w:tr>
        <w:tc>
          <w:tcPr>
            <w:tcW w:type="dxa" w:w="1600"/>
            <w:tcBorders>
              <w:top w:val="single" w:color="6C3483" w:sz="2"/>
              <w:left w:val="single" w:color="6C3483" w:sz="2"/>
              <w:bottom w:val="single" w:color="6C3483" w:sz="2"/>
              <w:right w:val="single" w:color="6C3483" w:sz="2"/>
            </w:tcBorders>
            <w:shd w:fill="6C3483"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Tier</w:t>
            </w:r>
          </w:p>
        </w:tc>
        <w:tc>
          <w:tcPr>
            <w:tcW w:type="dxa" w:w="2400"/>
            <w:tcBorders>
              <w:top w:val="single" w:color="6C3483" w:sz="2"/>
              <w:left w:val="single" w:color="6C3483" w:sz="2"/>
              <w:bottom w:val="single" w:color="6C3483" w:sz="2"/>
              <w:right w:val="single" w:color="6C3483" w:sz="2"/>
            </w:tcBorders>
            <w:shd w:fill="6C3483" w:val="clear"/>
            <w:tcMar>
              <w:top w:type="dxa" w:w="80"/>
              <w:left w:type="dxa" w:w="120"/>
              <w:bottom w:type="dxa" w:w="80"/>
              <w:right w:type="dxa" w:w="120"/>
            </w:tcMar>
          </w:tcPr>
          <w:p>
            <w:pPr>
              <w:jc w:val="left"/>
            </w:pPr>
            <w:r>
              <w:rPr>
                <w:rFonts w:ascii="Arial" w:cs="Arial" w:eastAsia="Arial" w:hAnsi="Arial"/>
                <w:b/>
                <w:bCs/>
                <w:color w:val="FFFFFF"/>
                <w:sz w:val="22"/>
                <w:szCs w:val="22"/>
              </w:rPr>
              <w:t xml:space="preserve">Title</w:t>
            </w:r>
          </w:p>
        </w:tc>
        <w:tc>
          <w:tcPr>
            <w:tcW w:type="dxa" w:w="2600"/>
            <w:tcBorders>
              <w:top w:val="single" w:color="6C3483" w:sz="2"/>
              <w:left w:val="single" w:color="6C3483" w:sz="2"/>
              <w:bottom w:val="single" w:color="6C3483" w:sz="2"/>
              <w:right w:val="single" w:color="6C3483" w:sz="2"/>
            </w:tcBorders>
            <w:shd w:fill="6C3483"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Prerequisite</w:t>
            </w:r>
          </w:p>
        </w:tc>
        <w:tc>
          <w:tcPr>
            <w:tcW w:type="dxa" w:w="2760"/>
            <w:tcBorders>
              <w:top w:val="single" w:color="6C3483" w:sz="2"/>
              <w:left w:val="single" w:color="6C3483" w:sz="2"/>
              <w:bottom w:val="single" w:color="6C3483" w:sz="2"/>
              <w:right w:val="single" w:color="6C3483" w:sz="2"/>
            </w:tcBorders>
            <w:shd w:fill="6C3483" w:val="clear"/>
            <w:tcMar>
              <w:top w:type="dxa" w:w="80"/>
              <w:left w:type="dxa" w:w="120"/>
              <w:bottom w:type="dxa" w:w="80"/>
              <w:right w:type="dxa" w:w="120"/>
            </w:tcMar>
          </w:tcPr>
          <w:p>
            <w:pPr>
              <w:jc w:val="left"/>
            </w:pPr>
            <w:r>
              <w:rPr>
                <w:rFonts w:ascii="Arial" w:cs="Arial" w:eastAsia="Arial" w:hAnsi="Arial"/>
                <w:b/>
                <w:bCs/>
                <w:color w:val="FFFFFF"/>
                <w:sz w:val="22"/>
                <w:szCs w:val="22"/>
              </w:rPr>
              <w:t xml:space="preserve">XP to Earn</w:t>
            </w:r>
          </w:p>
        </w:tc>
      </w:tr>
      <w:tr>
        <w:tc>
          <w:tcPr>
            <w:tcW w:type="dxa" w:w="16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pPr>
              <w:jc w:val="left"/>
            </w:pPr>
            <w:r>
              <w:rPr>
                <w:rFonts w:ascii="Arial" w:cs="Arial" w:eastAsia="Arial" w:hAnsi="Arial"/>
                <w:b/>
                <w:bCs/>
                <w:color w:val="222222"/>
                <w:sz w:val="22"/>
                <w:szCs w:val="22"/>
              </w:rPr>
              <w:t xml:space="preserve">Tier 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IT TA Foundations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CFC Certified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1,250 XP</w:t>
            </w:r>
          </w:p>
        </w:tc>
      </w:tr>
      <w:tr>
        <w:tc>
          <w:tcPr>
            <w:tcW w:type="dxa" w:w="16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pPr>
              <w:jc w:val="left"/>
            </w:pPr>
            <w:r>
              <w:rPr>
                <w:rFonts w:ascii="Arial" w:cs="Arial" w:eastAsia="Arial" w:hAnsi="Arial"/>
                <w:b/>
                <w:bCs/>
                <w:color w:val="222222"/>
                <w:sz w:val="22"/>
                <w:szCs w:val="22"/>
              </w:rPr>
              <w:t xml:space="preserve">Tier 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IT TA Advanced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Tier 1 + 3 months + performance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1,400 XP</w:t>
            </w:r>
          </w:p>
        </w:tc>
      </w:tr>
      <w:tr>
        <w:tc>
          <w:tcPr>
            <w:tcW w:type="dxa" w:w="16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pPr>
              <w:jc w:val="left"/>
            </w:pPr>
            <w:r>
              <w:rPr>
                <w:rFonts w:ascii="Arial" w:cs="Arial" w:eastAsia="Arial" w:hAnsi="Arial"/>
                <w:b/>
                <w:bCs/>
                <w:color w:val="222222"/>
                <w:sz w:val="22"/>
                <w:szCs w:val="22"/>
              </w:rPr>
              <w:t xml:space="preserve">Tier 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IT TA Senior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Tier 2 + 6 months + top quartile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1,600 XP</w:t>
            </w:r>
          </w:p>
        </w:tc>
      </w:tr>
      <w:tr>
        <w:tc>
          <w:tcPr>
            <w:tcW w:type="dxa" w:w="16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pPr>
              <w:jc w:val="left"/>
            </w:pPr>
            <w:r>
              <w:rPr>
                <w:rFonts w:ascii="Arial" w:cs="Arial" w:eastAsia="Arial" w:hAnsi="Arial"/>
                <w:b/>
                <w:bCs/>
                <w:color w:val="222222"/>
                <w:sz w:val="22"/>
                <w:szCs w:val="22"/>
              </w:rPr>
              <w:t xml:space="preserve">Tier 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IT TA Lead</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Tier 3 + 12 months + leadership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1,800 XP</w:t>
            </w:r>
          </w:p>
        </w:tc>
      </w:tr>
    </w:tbl>
    <w:p>
      <w:r>
        <w:br w:type="page"/>
      </w:r>
    </w:p>
    <w:p>
      <w:pPr>
        <w:pStyle w:val="Heading1"/>
      </w:pPr>
      <w:r>
        <w:t xml:space="preserve">Section 2: Tier 1 — IT TA Foundations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2600"/>
        <w:gridCol w:w="1100"/>
        <w:gridCol w:w="1660"/>
      </w:tblGrid>
      <w:tr>
        <w:tc>
          <w:tcPr>
            <w:tcW w:type="dxa" w:w="1100"/>
            <w:tcBorders>
              <w:top w:val="single" w:color="6C3483" w:sz="2"/>
              <w:left w:val="single" w:color="6C3483" w:sz="2"/>
              <w:bottom w:val="single" w:color="6C3483" w:sz="2"/>
              <w:right w:val="single" w:color="6C3483" w:sz="2"/>
            </w:tcBorders>
            <w:shd w:fill="6C3483"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Code</w:t>
            </w:r>
          </w:p>
        </w:tc>
        <w:tc>
          <w:tcPr>
            <w:tcW w:type="dxa" w:w="2900"/>
            <w:tcBorders>
              <w:top w:val="single" w:color="6C3483" w:sz="2"/>
              <w:left w:val="single" w:color="6C3483" w:sz="2"/>
              <w:bottom w:val="single" w:color="6C3483" w:sz="2"/>
              <w:right w:val="single" w:color="6C3483" w:sz="2"/>
            </w:tcBorders>
            <w:shd w:fill="6C3483"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Module Title</w:t>
            </w:r>
          </w:p>
        </w:tc>
        <w:tc>
          <w:tcPr>
            <w:tcW w:type="dxa" w:w="2600"/>
            <w:tcBorders>
              <w:top w:val="single" w:color="6C3483" w:sz="2"/>
              <w:left w:val="single" w:color="6C3483" w:sz="2"/>
              <w:bottom w:val="single" w:color="6C3483" w:sz="2"/>
              <w:right w:val="single" w:color="6C3483" w:sz="2"/>
            </w:tcBorders>
            <w:shd w:fill="6C3483"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Prerequisite</w:t>
            </w:r>
          </w:p>
        </w:tc>
        <w:tc>
          <w:tcPr>
            <w:tcW w:type="dxa" w:w="1100"/>
            <w:tcBorders>
              <w:top w:val="single" w:color="6C3483" w:sz="2"/>
              <w:left w:val="single" w:color="6C3483" w:sz="2"/>
              <w:bottom w:val="single" w:color="6C3483" w:sz="2"/>
              <w:right w:val="single" w:color="6C3483" w:sz="2"/>
            </w:tcBorders>
            <w:shd w:fill="6C3483"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Duration</w:t>
            </w:r>
          </w:p>
        </w:tc>
        <w:tc>
          <w:tcPr>
            <w:tcW w:type="dxa" w:w="1660"/>
            <w:tcBorders>
              <w:top w:val="single" w:color="6C3483" w:sz="2"/>
              <w:left w:val="single" w:color="6C3483" w:sz="2"/>
              <w:bottom w:val="single" w:color="6C3483" w:sz="2"/>
              <w:right w:val="single" w:color="6C3483" w:sz="2"/>
            </w:tcBorders>
            <w:shd w:fill="6C3483" w:val="clear"/>
            <w:tcMar>
              <w:top w:type="dxa" w:w="80"/>
              <w:left w:type="dxa" w:w="120"/>
              <w:bottom w:type="dxa" w:w="80"/>
              <w:right w:type="dxa" w:w="120"/>
            </w:tcMar>
          </w:tcPr>
          <w:p>
            <w:pPr>
              <w:jc w:val="left"/>
            </w:pPr>
            <w:r>
              <w:rPr>
                <w:rFonts w:ascii="Arial" w:cs="Arial" w:eastAsia="Arial" w:hAnsi="Arial"/>
                <w:b/>
                <w:bCs/>
                <w:color w:val="FFFFFF"/>
                <w:sz w:val="22"/>
                <w:szCs w:val="22"/>
              </w:rPr>
              <w:t xml:space="preserve">XP</w:t>
            </w:r>
          </w:p>
        </w:tc>
      </w:tr>
      <w:tr>
        <w:tc>
          <w:tcPr>
            <w:tcW w:type="dxa" w:w="11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pPr>
              <w:jc w:val="left"/>
            </w:pPr>
            <w:r>
              <w:rPr>
                <w:rFonts w:ascii="Arial" w:cs="Arial" w:eastAsia="Arial" w:hAnsi="Arial"/>
                <w:b/>
                <w:bCs/>
                <w:color w:val="222222"/>
                <w:sz w:val="22"/>
                <w:szCs w:val="22"/>
              </w:rPr>
              <w:t xml:space="preserve">CITP-101</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IT Industry Fundamentals and Role Families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CFC Certified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4 hours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+100</w:t>
            </w:r>
          </w:p>
        </w:tc>
      </w:tr>
      <w:tr>
        <w:tc>
          <w:tcPr>
            <w:tcW w:type="dxa" w:w="11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pPr>
              <w:jc w:val="left"/>
            </w:pPr>
            <w:r>
              <w:rPr>
                <w:rFonts w:ascii="Arial" w:cs="Arial" w:eastAsia="Arial" w:hAnsi="Arial"/>
                <w:b/>
                <w:bCs/>
                <w:color w:val="222222"/>
                <w:sz w:val="22"/>
                <w:szCs w:val="22"/>
              </w:rPr>
              <w:t xml:space="preserve">CITP-102</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Technology Stack Awareness and Technical Fluency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CITP-101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4 hours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+100</w:t>
            </w:r>
          </w:p>
        </w:tc>
      </w:tr>
      <w:tr>
        <w:tc>
          <w:tcPr>
            <w:tcW w:type="dxa" w:w="11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pPr>
              <w:jc w:val="left"/>
            </w:pPr>
            <w:r>
              <w:rPr>
                <w:rFonts w:ascii="Arial" w:cs="Arial" w:eastAsia="Arial" w:hAnsi="Arial"/>
                <w:b/>
                <w:bCs/>
                <w:color w:val="222222"/>
                <w:sz w:val="22"/>
                <w:szCs w:val="22"/>
              </w:rPr>
              <w:t xml:space="preserve">CITP-103</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IT Recruitment SOP, Authorization, and Definition of Done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CITP-102</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 hours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+100</w:t>
            </w:r>
          </w:p>
        </w:tc>
      </w:tr>
      <w:tr>
        <w:tc>
          <w:tcPr>
            <w:tcW w:type="dxa" w:w="11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pPr>
              <w:jc w:val="left"/>
            </w:pPr>
            <w:r>
              <w:rPr>
                <w:rFonts w:ascii="Arial" w:cs="Arial" w:eastAsia="Arial" w:hAnsi="Arial"/>
                <w:b/>
                <w:bCs/>
                <w:color w:val="222222"/>
                <w:sz w:val="22"/>
                <w:szCs w:val="22"/>
              </w:rPr>
              <w:t xml:space="preserve">CITP-104</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IT Communication, Outreach, and Technical Screening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CITP-103</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 hours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+100</w:t>
            </w:r>
          </w:p>
        </w:tc>
      </w:tr>
      <w:tr>
        <w:tc>
          <w:tcPr>
            <w:tcW w:type="dxa" w:w="11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pPr>
              <w:jc w:val="left"/>
            </w:pPr>
            <w:r>
              <w:rPr>
                <w:rFonts w:ascii="Arial" w:cs="Arial" w:eastAsia="Arial" w:hAnsi="Arial"/>
                <w:b/>
                <w:bCs/>
                <w:color w:val="222222"/>
                <w:sz w:val="22"/>
                <w:szCs w:val="22"/>
              </w:rPr>
              <w:t xml:space="preserve">CITP-105</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IT Submission Quality and Recruiter Summary Writing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CITP-104</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2 hours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+100</w:t>
            </w:r>
          </w:p>
        </w:tc>
      </w:tr>
    </w:tbl>
    <w:p>
      <w:pPr>
        <w:spacing w:after="200"/>
      </w:pPr>
    </w:p>
    <w:p>
      <w:pPr>
        <w:spacing w:after="120"/>
      </w:pPr>
      <w:r>
        <w:rPr>
          <w:b/>
          <w:bCs/>
        </w:rPr>
        <w:t xml:space="preserve">Flow: </w:t>
      </w:r>
      <w:r>
        <w:t xml:space="preserve">CFC → CITP-101 → 102 → 103 → 104 → 105 → Tier 1 Assessment (+500 XP + Badge)</w:t>
      </w:r>
    </w:p>
    <w:p>
      <w:pPr>
        <w:spacing w:after="200"/>
      </w:pPr>
    </w:p>
    <w:p>
      <w:pPr>
        <w:pStyle w:val="Heading2"/>
      </w:pPr>
      <w:r>
        <w:t xml:space="preserve">2.1 CITP-101: IT Industry Fundamentals and Role Families</w:t>
      </w:r>
    </w:p>
    <w:p>
      <w:pPr>
        <w:spacing w:after="120"/>
      </w:pPr>
      <w:r>
        <w:rPr>
          <w:b/>
          <w:bCs/>
        </w:rPr>
        <w:t xml:space="preserve">Prerequisite: </w:t>
      </w:r>
      <w:r>
        <w:t xml:space="preserve">CFC Certified</w:t>
      </w:r>
    </w:p>
    <w:p>
      <w:pPr>
        <w:spacing w:after="120"/>
      </w:pPr>
      <w:r>
        <w:rPr>
          <w:b/>
          <w:bCs/>
        </w:rPr>
        <w:t xml:space="preserve">Duration: </w:t>
      </w:r>
      <w:r>
        <w:t xml:space="preserve">4 hours</w:t>
      </w:r>
    </w:p>
    <w:p>
      <w:pPr>
        <w:spacing w:after="200"/>
      </w:pPr>
    </w:p>
    <w:p>
      <w:pPr>
        <w:pStyle w:val="Heading3"/>
      </w:pPr>
      <w:r>
        <w:t xml:space="preserve">Learning Objectives</w:t>
      </w:r>
    </w:p>
    <w:p>
      <w:pPr>
        <w:pStyle w:val="ListParagraph"/>
        <w:numPr>
          <w:ilvl w:val="0"/>
          <w:numId w:val="2"/>
        </w:numPr>
        <w:spacing w:after="60"/>
      </w:pPr>
      <w:r>
        <w:t xml:space="preserve">Identify IT role families: Software Engineering (frontend, backend, full-stack, mobile), QA (manual, automation, SDET), Data (engineering, science, analytics, ML/AI), DevOps/SRE, Cloud, Security, Product, PM, ERP, Support, UX.</w:t>
      </w:r>
    </w:p>
    <w:p>
      <w:pPr>
        <w:pStyle w:val="ListParagraph"/>
        <w:numPr>
          <w:ilvl w:val="0"/>
          <w:numId w:val="2"/>
        </w:numPr>
        <w:spacing w:after="60"/>
      </w:pPr>
      <w:r>
        <w:t xml:space="preserve">Understand engagement types: contract W2, Corp-to-Corp, CTH, full-time, and their implications.</w:t>
      </w:r>
    </w:p>
    <w:p>
      <w:pPr>
        <w:pStyle w:val="ListParagraph"/>
        <w:numPr>
          <w:ilvl w:val="0"/>
          <w:numId w:val="2"/>
        </w:numPr>
        <w:spacing w:after="60"/>
      </w:pPr>
      <w:r>
        <w:t xml:space="preserve">Explain work models: remote, hybrid, onsite, and timezone constraints.</w:t>
      </w:r>
    </w:p>
    <w:p>
      <w:pPr>
        <w:pStyle w:val="ListParagraph"/>
        <w:numPr>
          <w:ilvl w:val="0"/>
          <w:numId w:val="2"/>
        </w:numPr>
        <w:spacing w:after="60"/>
      </w:pPr>
      <w:r>
        <w:t xml:space="preserve">Understand work authorization categories: US Citizen, Green Card, H-1B, OPT, CPT, EAD, L1.</w:t>
      </w:r>
    </w:p>
    <w:p>
      <w:pPr>
        <w:spacing w:after="200"/>
      </w:pPr>
    </w:p>
    <w:p>
      <w:pPr>
        <w:pStyle w:val="Heading3"/>
      </w:pPr>
      <w:r>
        <w:t xml:space="preserve">Scenario Challenge: The Role Family Confusion</w:t>
      </w:r>
    </w:p>
    <w:p>
      <w:pPr>
        <w:spacing w:after="120"/>
      </w:pPr>
      <w:r>
        <w:rPr>
          <w:b/>
          <w:bCs/>
        </w:rPr>
        <w:t xml:space="preserve">Situation: A client asks for a Senior Full Stack Developer. The JD lists React, Node.js, PostgreSQL, and AWS. A candidate applies who has 8 years of experience but primarily in .NET/C# with SQL Server and Azure. They call themselves a Full Stack Developer.</w:t>
      </w:r>
    </w:p>
    <w:p>
      <w:pPr>
        <w:spacing w:after="120"/>
      </w:pPr>
      <w:r>
        <w:t xml:space="preserve">Question: Is this a match? What questions would you ask to validate? What do you tell the client?</w:t>
      </w:r>
    </w:p>
    <w:p>
      <w:pPr>
        <w:spacing w:after="200"/>
      </w:pPr>
    </w:p>
    <w:p>
      <w:pPr>
        <w:pStyle w:val="Heading2"/>
      </w:pPr>
      <w:r>
        <w:t xml:space="preserve">2.2 CITP-102: Technology Stack Awareness and Technical Fluency</w:t>
      </w:r>
    </w:p>
    <w:p>
      <w:pPr>
        <w:spacing w:after="120"/>
      </w:pPr>
      <w:r>
        <w:rPr>
          <w:b/>
          <w:bCs/>
        </w:rPr>
        <w:t xml:space="preserve">Prerequisite: </w:t>
      </w:r>
      <w:r>
        <w:t xml:space="preserve">CITP-101</w:t>
      </w:r>
    </w:p>
    <w:p>
      <w:pPr>
        <w:spacing w:after="120"/>
      </w:pPr>
      <w:r>
        <w:rPr>
          <w:b/>
          <w:bCs/>
        </w:rPr>
        <w:t xml:space="preserve">Duration: </w:t>
      </w:r>
      <w:r>
        <w:t xml:space="preserve">4 hours</w:t>
      </w:r>
    </w:p>
    <w:p>
      <w:pPr>
        <w:spacing w:after="200"/>
      </w:pPr>
    </w:p>
    <w:p>
      <w:pPr>
        <w:pStyle w:val="ListParagraph"/>
        <w:numPr>
          <w:ilvl w:val="0"/>
          <w:numId w:val="2"/>
        </w:numPr>
        <w:spacing w:after="60"/>
      </w:pPr>
      <w:r>
        <w:t xml:space="preserve">Understand common technology groupings: frontend, backend, database, cloud, DevOps, data, QA.</w:t>
      </w:r>
    </w:p>
    <w:p>
      <w:pPr>
        <w:pStyle w:val="ListParagraph"/>
        <w:numPr>
          <w:ilvl w:val="0"/>
          <w:numId w:val="2"/>
        </w:numPr>
        <w:spacing w:after="60"/>
      </w:pPr>
      <w:r>
        <w:t xml:space="preserve">Distinguish between similar-sounding technologies: Java vs JavaScript, SQL vs NoSQL, React vs Angular.</w:t>
      </w:r>
    </w:p>
    <w:p>
      <w:pPr>
        <w:pStyle w:val="ListParagraph"/>
        <w:numPr>
          <w:ilvl w:val="0"/>
          <w:numId w:val="2"/>
        </w:numPr>
        <w:spacing w:after="60"/>
      </w:pPr>
      <w:r>
        <w:t xml:space="preserve">Recognize when a resume lists tools at keyword level versus genuine hands-on depth.</w:t>
      </w:r>
    </w:p>
    <w:p>
      <w:pPr>
        <w:pStyle w:val="ListParagraph"/>
        <w:numPr>
          <w:ilvl w:val="0"/>
          <w:numId w:val="2"/>
        </w:numPr>
        <w:spacing w:after="60"/>
      </w:pPr>
      <w:r>
        <w:t xml:space="preserve">Ask basic technical validation questions without needing to code.</w:t>
      </w:r>
    </w:p>
    <w:p>
      <w:pPr>
        <w:spacing w:after="200"/>
      </w:pPr>
    </w:p>
    <w:p>
      <w:pPr>
        <w:pStyle w:val="Heading3"/>
      </w:pPr>
      <w:r>
        <w:t xml:space="preserve">Red Flag Spotter Challenge</w:t>
      </w:r>
    </w:p>
    <w:p>
      <w:pPr>
        <w:spacing w:after="120"/>
      </w:pPr>
      <w:r>
        <w:t xml:space="preserve">Given three IT candidate resumes, identify all red flags: keyword stuffing, old technology listed as current, inflated ownership claims, inconsistent project timelines, and vague role descriptions. Scored on accuracy.</w:t>
      </w:r>
    </w:p>
    <w:p>
      <w:pPr>
        <w:spacing w:after="200"/>
      </w:pPr>
    </w:p>
    <w:p>
      <w:pPr>
        <w:pStyle w:val="Heading2"/>
      </w:pPr>
      <w:r>
        <w:t xml:space="preserve">2.3 CITP-103: IT Recruitment SOP, Authorization, and Definition of Done</w:t>
      </w:r>
    </w:p>
    <w:p>
      <w:pPr>
        <w:spacing w:after="120"/>
      </w:pPr>
      <w:r>
        <w:rPr>
          <w:b/>
          <w:bCs/>
        </w:rPr>
        <w:t xml:space="preserve">Prerequisite: </w:t>
      </w:r>
      <w:r>
        <w:t xml:space="preserve">CITP-102</w:t>
      </w:r>
    </w:p>
    <w:p>
      <w:pPr>
        <w:spacing w:after="120"/>
      </w:pPr>
      <w:r>
        <w:rPr>
          <w:b/>
          <w:bCs/>
        </w:rPr>
        <w:t xml:space="preserve">Duration: </w:t>
      </w:r>
      <w:r>
        <w:t xml:space="preserve">3 hours</w:t>
      </w:r>
    </w:p>
    <w:p>
      <w:pPr>
        <w:spacing w:after="200"/>
      </w:pPr>
    </w:p>
    <w:p>
      <w:pPr>
        <w:pStyle w:val="ListParagraph"/>
        <w:numPr>
          <w:ilvl w:val="0"/>
          <w:numId w:val="2"/>
        </w:numPr>
        <w:spacing w:after="60"/>
      </w:pPr>
      <w:r>
        <w:t xml:space="preserve">Master the 6-stage IT SOP with IT-specific requirements at each stage.</w:t>
      </w:r>
    </w:p>
    <w:p>
      <w:pPr>
        <w:pStyle w:val="ListParagraph"/>
        <w:numPr>
          <w:ilvl w:val="0"/>
          <w:numId w:val="2"/>
        </w:numPr>
        <w:spacing w:after="60"/>
      </w:pPr>
      <w:r>
        <w:t xml:space="preserve">Separate must-have from nice-to-have skills during intake.</w:t>
      </w:r>
    </w:p>
    <w:p>
      <w:pPr>
        <w:pStyle w:val="ListParagraph"/>
        <w:numPr>
          <w:ilvl w:val="0"/>
          <w:numId w:val="2"/>
        </w:numPr>
        <w:spacing w:after="60"/>
      </w:pPr>
      <w:r>
        <w:t xml:space="preserve">Confirm work authorization before submission.</w:t>
      </w:r>
    </w:p>
    <w:p>
      <w:pPr>
        <w:pStyle w:val="ListParagraph"/>
        <w:numPr>
          <w:ilvl w:val="0"/>
          <w:numId w:val="2"/>
        </w:numPr>
        <w:spacing w:after="60"/>
      </w:pPr>
      <w:r>
        <w:t xml:space="preserve">Apply the IT Definition of Done at each stage.</w:t>
      </w:r>
    </w:p>
    <w:p>
      <w:pPr>
        <w:spacing w:after="200"/>
      </w:pPr>
    </w:p>
    <w:p>
      <w:pPr>
        <w:pStyle w:val="Heading2"/>
      </w:pPr>
      <w:r>
        <w:t xml:space="preserve">2.4 CITP-104: IT Communication, Outreach, and Technical Screening</w:t>
      </w:r>
    </w:p>
    <w:p>
      <w:pPr>
        <w:spacing w:after="120"/>
      </w:pPr>
      <w:r>
        <w:rPr>
          <w:b/>
          <w:bCs/>
        </w:rPr>
        <w:t xml:space="preserve">Prerequisite: </w:t>
      </w:r>
      <w:r>
        <w:t xml:space="preserve">CITP-103</w:t>
      </w:r>
    </w:p>
    <w:p>
      <w:pPr>
        <w:spacing w:after="120"/>
      </w:pPr>
      <w:r>
        <w:rPr>
          <w:b/>
          <w:bCs/>
        </w:rPr>
        <w:t xml:space="preserve">Duration: </w:t>
      </w:r>
      <w:r>
        <w:t xml:space="preserve">3 hours</w:t>
      </w:r>
    </w:p>
    <w:p>
      <w:pPr>
        <w:spacing w:after="200"/>
      </w:pPr>
    </w:p>
    <w:p>
      <w:pPr>
        <w:pStyle w:val="ListParagraph"/>
        <w:numPr>
          <w:ilvl w:val="0"/>
          <w:numId w:val="2"/>
        </w:numPr>
        <w:spacing w:after="60"/>
      </w:pPr>
      <w:r>
        <w:t xml:space="preserve">Deliver IT-specific call, voicemail, and SMS scripts that sound informed, not generic.</w:t>
      </w:r>
    </w:p>
    <w:p>
      <w:pPr>
        <w:pStyle w:val="ListParagraph"/>
        <w:numPr>
          <w:ilvl w:val="0"/>
          <w:numId w:val="2"/>
        </w:numPr>
        <w:spacing w:after="60"/>
      </w:pPr>
      <w:r>
        <w:t xml:space="preserve">Present roles by leading with stack relevance, work model, and project context.</w:t>
      </w:r>
    </w:p>
    <w:p>
      <w:pPr>
        <w:pStyle w:val="ListParagraph"/>
        <w:numPr>
          <w:ilvl w:val="0"/>
          <w:numId w:val="2"/>
        </w:numPr>
        <w:spacing w:after="60"/>
      </w:pPr>
      <w:r>
        <w:t xml:space="preserve">Screen IT candidates for actual hands-on depth, not just resume keywords.</w:t>
      </w:r>
    </w:p>
    <w:p>
      <w:pPr>
        <w:pStyle w:val="ListParagraph"/>
        <w:numPr>
          <w:ilvl w:val="0"/>
          <w:numId w:val="2"/>
        </w:numPr>
        <w:spacing w:after="60"/>
      </w:pPr>
      <w:r>
        <w:t xml:space="preserve">Handle IT-specific objections around remote work, compensation, and authorization.</w:t>
      </w:r>
    </w:p>
    <w:p>
      <w:pPr>
        <w:spacing w:after="200"/>
      </w:pPr>
    </w:p>
    <w:p>
      <w:pPr>
        <w:pStyle w:val="Heading3"/>
      </w:pPr>
      <w:r>
        <w:t xml:space="preserve">Live Drill: IT Outreach Role-Play</w:t>
      </w:r>
    </w:p>
    <w:p>
      <w:pPr>
        <w:spacing w:after="120"/>
      </w:pPr>
      <w:r>
        <w:t xml:space="preserve">Deliver a live first-time call, voicemail, and SMS for a Senior QA Automation Engineer role, remote PST, requiring Playwright and API testing. Manager evaluates stack awareness, relevance-based positioning, and credibility.</w:t>
      </w:r>
    </w:p>
    <w:p>
      <w:pPr>
        <w:spacing w:after="200"/>
      </w:pPr>
    </w:p>
    <w:p>
      <w:pPr>
        <w:pStyle w:val="Heading2"/>
      </w:pPr>
      <w:r>
        <w:t xml:space="preserve">2.5 CITP-105: IT Submission Quality and Recruiter Summary Writing</w:t>
      </w:r>
    </w:p>
    <w:p>
      <w:pPr>
        <w:spacing w:after="120"/>
      </w:pPr>
      <w:r>
        <w:rPr>
          <w:b/>
          <w:bCs/>
        </w:rPr>
        <w:t xml:space="preserve">Prerequisite: </w:t>
      </w:r>
      <w:r>
        <w:t xml:space="preserve">CITP-104</w:t>
      </w:r>
    </w:p>
    <w:p>
      <w:pPr>
        <w:spacing w:after="120"/>
      </w:pPr>
      <w:r>
        <w:rPr>
          <w:b/>
          <w:bCs/>
        </w:rPr>
        <w:t xml:space="preserve">Duration: </w:t>
      </w:r>
      <w:r>
        <w:t xml:space="preserve">2 hours</w:t>
      </w:r>
    </w:p>
    <w:p>
      <w:pPr>
        <w:spacing w:after="200"/>
      </w:pPr>
    </w:p>
    <w:p>
      <w:pPr>
        <w:pStyle w:val="ListParagraph"/>
        <w:numPr>
          <w:ilvl w:val="0"/>
          <w:numId w:val="2"/>
        </w:numPr>
        <w:spacing w:after="60"/>
      </w:pPr>
      <w:r>
        <w:t xml:space="preserve">Write recruiter summaries that explain why the candidate fits, not just what they have done.</w:t>
      </w:r>
    </w:p>
    <w:p>
      <w:pPr>
        <w:pStyle w:val="ListParagraph"/>
        <w:numPr>
          <w:ilvl w:val="0"/>
          <w:numId w:val="2"/>
        </w:numPr>
        <w:spacing w:after="60"/>
      </w:pPr>
      <w:r>
        <w:t xml:space="preserve">Highlight must-have alignment specifically in the summary.</w:t>
      </w:r>
    </w:p>
    <w:p>
      <w:pPr>
        <w:pStyle w:val="ListParagraph"/>
        <w:numPr>
          <w:ilvl w:val="0"/>
          <w:numId w:val="2"/>
        </w:numPr>
        <w:spacing w:after="60"/>
      </w:pPr>
      <w:r>
        <w:t xml:space="preserve">Document risks honestly.</w:t>
      </w:r>
    </w:p>
    <w:p>
      <w:pPr>
        <w:spacing w:after="200"/>
      </w:pPr>
    </w:p>
    <w:p>
      <w:pPr>
        <w:pStyle w:val="Heading3"/>
      </w:pPr>
      <w:r>
        <w:t xml:space="preserve">Submission Showdown</w:t>
      </w:r>
    </w:p>
    <w:p>
      <w:pPr>
        <w:spacing w:after="120"/>
      </w:pPr>
      <w:r>
        <w:t xml:space="preserve">Two TA Experts prepare competing submissions for the same IT requisition. Manager evaluates which is stronger. Winner earns +200 XP.</w:t>
      </w:r>
    </w:p>
    <w:p>
      <w:r>
        <w:br w:type="page"/>
      </w:r>
    </w:p>
    <w:p>
      <w:pPr>
        <w:pStyle w:val="Heading1"/>
      </w:pPr>
      <w:r>
        <w:t xml:space="preserve">Section 3: Tiers 2–4 — Module Catalog and Prerequisites</w:t>
      </w:r>
    </w:p>
    <w:p>
      <w:pPr>
        <w:spacing w:after="200"/>
      </w:pPr>
    </w:p>
    <w:p>
      <w:pPr>
        <w:pStyle w:val="Heading2"/>
      </w:pPr>
      <w:r>
        <w:t xml:space="preserve">3.1 Tier 2: IT TA Advanced</w:t>
      </w:r>
    </w:p>
    <w:p>
      <w:pPr>
        <w:spacing w:after="120"/>
      </w:pPr>
      <w:r>
        <w:rPr>
          <w:b/>
          <w:bCs/>
        </w:rPr>
        <w:t xml:space="preserve">Entry Prerequisite: </w:t>
      </w:r>
      <w:r>
        <w:t xml:space="preserve">Tier 1 Certified + 3 months + scorecard baseline met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2600"/>
        <w:gridCol w:w="1100"/>
        <w:gridCol w:w="1660"/>
      </w:tblGrid>
      <w:tr>
        <w:tc>
          <w:tcPr>
            <w:tcW w:type="dxa" w:w="1100"/>
            <w:tcBorders>
              <w:top w:val="single" w:color="6C3483" w:sz="2"/>
              <w:left w:val="single" w:color="6C3483" w:sz="2"/>
              <w:bottom w:val="single" w:color="6C3483" w:sz="2"/>
              <w:right w:val="single" w:color="6C3483" w:sz="2"/>
            </w:tcBorders>
            <w:shd w:fill="6C3483"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Code</w:t>
            </w:r>
          </w:p>
        </w:tc>
        <w:tc>
          <w:tcPr>
            <w:tcW w:type="dxa" w:w="2900"/>
            <w:tcBorders>
              <w:top w:val="single" w:color="6C3483" w:sz="2"/>
              <w:left w:val="single" w:color="6C3483" w:sz="2"/>
              <w:bottom w:val="single" w:color="6C3483" w:sz="2"/>
              <w:right w:val="single" w:color="6C3483" w:sz="2"/>
            </w:tcBorders>
            <w:shd w:fill="6C3483"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Module Title</w:t>
            </w:r>
          </w:p>
        </w:tc>
        <w:tc>
          <w:tcPr>
            <w:tcW w:type="dxa" w:w="2600"/>
            <w:tcBorders>
              <w:top w:val="single" w:color="6C3483" w:sz="2"/>
              <w:left w:val="single" w:color="6C3483" w:sz="2"/>
              <w:bottom w:val="single" w:color="6C3483" w:sz="2"/>
              <w:right w:val="single" w:color="6C3483" w:sz="2"/>
            </w:tcBorders>
            <w:shd w:fill="6C3483"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Prerequisite</w:t>
            </w:r>
          </w:p>
        </w:tc>
        <w:tc>
          <w:tcPr>
            <w:tcW w:type="dxa" w:w="1100"/>
            <w:tcBorders>
              <w:top w:val="single" w:color="6C3483" w:sz="2"/>
              <w:left w:val="single" w:color="6C3483" w:sz="2"/>
              <w:bottom w:val="single" w:color="6C3483" w:sz="2"/>
              <w:right w:val="single" w:color="6C3483" w:sz="2"/>
            </w:tcBorders>
            <w:shd w:fill="6C3483"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Duration</w:t>
            </w:r>
          </w:p>
        </w:tc>
        <w:tc>
          <w:tcPr>
            <w:tcW w:type="dxa" w:w="1660"/>
            <w:tcBorders>
              <w:top w:val="single" w:color="6C3483" w:sz="2"/>
              <w:left w:val="single" w:color="6C3483" w:sz="2"/>
              <w:bottom w:val="single" w:color="6C3483" w:sz="2"/>
              <w:right w:val="single" w:color="6C3483" w:sz="2"/>
            </w:tcBorders>
            <w:shd w:fill="6C3483" w:val="clear"/>
            <w:tcMar>
              <w:top w:type="dxa" w:w="80"/>
              <w:left w:type="dxa" w:w="120"/>
              <w:bottom w:type="dxa" w:w="80"/>
              <w:right w:type="dxa" w:w="120"/>
            </w:tcMar>
          </w:tcPr>
          <w:p>
            <w:pPr>
              <w:jc w:val="left"/>
            </w:pPr>
            <w:r>
              <w:rPr>
                <w:rFonts w:ascii="Arial" w:cs="Arial" w:eastAsia="Arial" w:hAnsi="Arial"/>
                <w:b/>
                <w:bCs/>
                <w:color w:val="FFFFFF"/>
                <w:sz w:val="22"/>
                <w:szCs w:val="22"/>
              </w:rPr>
              <w:t xml:space="preserve">XP</w:t>
            </w:r>
          </w:p>
        </w:tc>
      </w:tr>
      <w:tr>
        <w:tc>
          <w:tcPr>
            <w:tcW w:type="dxa" w:w="11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pPr>
              <w:jc w:val="left"/>
            </w:pPr>
            <w:r>
              <w:rPr>
                <w:rFonts w:ascii="Arial" w:cs="Arial" w:eastAsia="Arial" w:hAnsi="Arial"/>
                <w:b/>
                <w:bCs/>
                <w:color w:val="222222"/>
                <w:sz w:val="22"/>
                <w:szCs w:val="22"/>
              </w:rPr>
              <w:t xml:space="preserve">CITP-201</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Advanced IT Stack Assessment and Market Intelligence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Tier 1 Certified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 hrs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+100</w:t>
            </w:r>
          </w:p>
        </w:tc>
      </w:tr>
      <w:tr>
        <w:tc>
          <w:tcPr>
            <w:tcW w:type="dxa" w:w="11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pPr>
              <w:jc w:val="left"/>
            </w:pPr>
            <w:r>
              <w:rPr>
                <w:rFonts w:ascii="Arial" w:cs="Arial" w:eastAsia="Arial" w:hAnsi="Arial"/>
                <w:b/>
                <w:bCs/>
                <w:color w:val="222222"/>
                <w:sz w:val="22"/>
                <w:szCs w:val="22"/>
              </w:rPr>
              <w:t xml:space="preserve">CITP-202</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IT Consultative Intake and Client Advisory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CITP-201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 hrs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+100</w:t>
            </w:r>
          </w:p>
        </w:tc>
      </w:tr>
      <w:tr>
        <w:tc>
          <w:tcPr>
            <w:tcW w:type="dxa" w:w="11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pPr>
              <w:jc w:val="left"/>
            </w:pPr>
            <w:r>
              <w:rPr>
                <w:rFonts w:ascii="Arial" w:cs="Arial" w:eastAsia="Arial" w:hAnsi="Arial"/>
                <w:b/>
                <w:bCs/>
                <w:color w:val="222222"/>
                <w:sz w:val="22"/>
                <w:szCs w:val="22"/>
              </w:rPr>
              <w:t xml:space="preserve">CITP-203</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IT Negotiation: Rates, Counteroffers, and Close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CITP-201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 hrs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+100</w:t>
            </w:r>
          </w:p>
        </w:tc>
      </w:tr>
      <w:tr>
        <w:tc>
          <w:tcPr>
            <w:tcW w:type="dxa" w:w="11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pPr>
              <w:jc w:val="left"/>
            </w:pPr>
            <w:r>
              <w:rPr>
                <w:rFonts w:ascii="Arial" w:cs="Arial" w:eastAsia="Arial" w:hAnsi="Arial"/>
                <w:b/>
                <w:bCs/>
                <w:color w:val="222222"/>
                <w:sz w:val="22"/>
                <w:szCs w:val="22"/>
              </w:rPr>
              <w:t xml:space="preserve">CITP-204</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IT Post-Placement Care and Redeployment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CITP-201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2 hrs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+100</w:t>
            </w:r>
          </w:p>
        </w:tc>
      </w:tr>
    </w:tbl>
    <w:p>
      <w:pPr>
        <w:spacing w:after="200"/>
      </w:pPr>
    </w:p>
    <w:p>
      <w:pPr>
        <w:pStyle w:val="Heading2"/>
      </w:pPr>
      <w:r>
        <w:t xml:space="preserve">3.2 Tier 3: IT TA Senior</w:t>
      </w:r>
    </w:p>
    <w:p>
      <w:pPr>
        <w:spacing w:after="120"/>
      </w:pPr>
      <w:r>
        <w:rPr>
          <w:b/>
          <w:bCs/>
        </w:rPr>
        <w:t xml:space="preserve">Entry Prerequisite: </w:t>
      </w:r>
      <w:r>
        <w:t xml:space="preserve">Tier 2 Certified + 6 months + top quartile + mentoring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2600"/>
        <w:gridCol w:w="1100"/>
        <w:gridCol w:w="1660"/>
      </w:tblGrid>
      <w:tr>
        <w:tc>
          <w:tcPr>
            <w:tcW w:type="dxa" w:w="1100"/>
            <w:tcBorders>
              <w:top w:val="single" w:color="6C3483" w:sz="2"/>
              <w:left w:val="single" w:color="6C3483" w:sz="2"/>
              <w:bottom w:val="single" w:color="6C3483" w:sz="2"/>
              <w:right w:val="single" w:color="6C3483" w:sz="2"/>
            </w:tcBorders>
            <w:shd w:fill="6C3483"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Code</w:t>
            </w:r>
          </w:p>
        </w:tc>
        <w:tc>
          <w:tcPr>
            <w:tcW w:type="dxa" w:w="2900"/>
            <w:tcBorders>
              <w:top w:val="single" w:color="6C3483" w:sz="2"/>
              <w:left w:val="single" w:color="6C3483" w:sz="2"/>
              <w:bottom w:val="single" w:color="6C3483" w:sz="2"/>
              <w:right w:val="single" w:color="6C3483" w:sz="2"/>
            </w:tcBorders>
            <w:shd w:fill="6C3483"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Module Title</w:t>
            </w:r>
          </w:p>
        </w:tc>
        <w:tc>
          <w:tcPr>
            <w:tcW w:type="dxa" w:w="2600"/>
            <w:tcBorders>
              <w:top w:val="single" w:color="6C3483" w:sz="2"/>
              <w:left w:val="single" w:color="6C3483" w:sz="2"/>
              <w:bottom w:val="single" w:color="6C3483" w:sz="2"/>
              <w:right w:val="single" w:color="6C3483" w:sz="2"/>
            </w:tcBorders>
            <w:shd w:fill="6C3483"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Prerequisite</w:t>
            </w:r>
          </w:p>
        </w:tc>
        <w:tc>
          <w:tcPr>
            <w:tcW w:type="dxa" w:w="1100"/>
            <w:tcBorders>
              <w:top w:val="single" w:color="6C3483" w:sz="2"/>
              <w:left w:val="single" w:color="6C3483" w:sz="2"/>
              <w:bottom w:val="single" w:color="6C3483" w:sz="2"/>
              <w:right w:val="single" w:color="6C3483" w:sz="2"/>
            </w:tcBorders>
            <w:shd w:fill="6C3483"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Duration</w:t>
            </w:r>
          </w:p>
        </w:tc>
        <w:tc>
          <w:tcPr>
            <w:tcW w:type="dxa" w:w="1660"/>
            <w:tcBorders>
              <w:top w:val="single" w:color="6C3483" w:sz="2"/>
              <w:left w:val="single" w:color="6C3483" w:sz="2"/>
              <w:bottom w:val="single" w:color="6C3483" w:sz="2"/>
              <w:right w:val="single" w:color="6C3483" w:sz="2"/>
            </w:tcBorders>
            <w:shd w:fill="6C3483" w:val="clear"/>
            <w:tcMar>
              <w:top w:type="dxa" w:w="80"/>
              <w:left w:type="dxa" w:w="120"/>
              <w:bottom w:type="dxa" w:w="80"/>
              <w:right w:type="dxa" w:w="120"/>
            </w:tcMar>
          </w:tcPr>
          <w:p>
            <w:pPr>
              <w:jc w:val="left"/>
            </w:pPr>
            <w:r>
              <w:rPr>
                <w:rFonts w:ascii="Arial" w:cs="Arial" w:eastAsia="Arial" w:hAnsi="Arial"/>
                <w:b/>
                <w:bCs/>
                <w:color w:val="FFFFFF"/>
                <w:sz w:val="22"/>
                <w:szCs w:val="22"/>
              </w:rPr>
              <w:t xml:space="preserve">XP</w:t>
            </w:r>
          </w:p>
        </w:tc>
      </w:tr>
      <w:tr>
        <w:tc>
          <w:tcPr>
            <w:tcW w:type="dxa" w:w="11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pPr>
              <w:jc w:val="left"/>
            </w:pPr>
            <w:r>
              <w:rPr>
                <w:rFonts w:ascii="Arial" w:cs="Arial" w:eastAsia="Arial" w:hAnsi="Arial"/>
                <w:b/>
                <w:bCs/>
                <w:color w:val="222222"/>
                <w:sz w:val="22"/>
                <w:szCs w:val="22"/>
              </w:rPr>
              <w:t xml:space="preserve">CITP-301</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Emerging Technology Trends and Architecture Awareness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Tier 2 Certified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 hrs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+100</w:t>
            </w:r>
          </w:p>
        </w:tc>
      </w:tr>
      <w:tr>
        <w:tc>
          <w:tcPr>
            <w:tcW w:type="dxa" w:w="11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pPr>
              <w:jc w:val="left"/>
            </w:pPr>
            <w:r>
              <w:rPr>
                <w:rFonts w:ascii="Arial" w:cs="Arial" w:eastAsia="Arial" w:hAnsi="Arial"/>
                <w:b/>
                <w:bCs/>
                <w:color w:val="222222"/>
                <w:sz w:val="22"/>
                <w:szCs w:val="22"/>
              </w:rPr>
              <w:t xml:space="preserve">CITP-302</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Complex IT Close Scenarios and Competing Offers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CITP-301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 hrs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+100</w:t>
            </w:r>
          </w:p>
        </w:tc>
      </w:tr>
      <w:tr>
        <w:tc>
          <w:tcPr>
            <w:tcW w:type="dxa" w:w="11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pPr>
              <w:jc w:val="left"/>
            </w:pPr>
            <w:r>
              <w:rPr>
                <w:rFonts w:ascii="Arial" w:cs="Arial" w:eastAsia="Arial" w:hAnsi="Arial"/>
                <w:b/>
                <w:bCs/>
                <w:color w:val="222222"/>
                <w:sz w:val="22"/>
                <w:szCs w:val="22"/>
              </w:rPr>
              <w:t xml:space="preserve">CITP-303</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IT Client Partnership and Account Expansion</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CITP-301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 hrs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+100</w:t>
            </w:r>
          </w:p>
        </w:tc>
      </w:tr>
      <w:tr>
        <w:tc>
          <w:tcPr>
            <w:tcW w:type="dxa" w:w="11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pPr>
              <w:jc w:val="left"/>
            </w:pPr>
            <w:r>
              <w:rPr>
                <w:rFonts w:ascii="Arial" w:cs="Arial" w:eastAsia="Arial" w:hAnsi="Arial"/>
                <w:b/>
                <w:bCs/>
                <w:color w:val="222222"/>
                <w:sz w:val="22"/>
                <w:szCs w:val="22"/>
              </w:rPr>
              <w:t xml:space="preserve">CITP-304</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IT Mentoring and Knowledge Transfer</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CITP-301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2 hrs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+100</w:t>
            </w:r>
          </w:p>
        </w:tc>
      </w:tr>
    </w:tbl>
    <w:p>
      <w:pPr>
        <w:spacing w:after="200"/>
      </w:pPr>
    </w:p>
    <w:p>
      <w:pPr>
        <w:pStyle w:val="Heading2"/>
      </w:pPr>
      <w:r>
        <w:t xml:space="preserve">3.3 Tier 4: IT TA Lead</w:t>
      </w:r>
    </w:p>
    <w:p>
      <w:pPr>
        <w:spacing w:after="120"/>
      </w:pPr>
      <w:r>
        <w:rPr>
          <w:b/>
          <w:bCs/>
        </w:rPr>
        <w:t xml:space="preserve">Entry Prerequisite: </w:t>
      </w:r>
      <w:r>
        <w:t xml:space="preserve">Tier 3 Certified + 12 months + sustained leadership + client depth</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900"/>
        <w:gridCol w:w="2600"/>
        <w:gridCol w:w="1100"/>
        <w:gridCol w:w="1660"/>
      </w:tblGrid>
      <w:tr>
        <w:tc>
          <w:tcPr>
            <w:tcW w:type="dxa" w:w="1100"/>
            <w:tcBorders>
              <w:top w:val="single" w:color="6C3483" w:sz="2"/>
              <w:left w:val="single" w:color="6C3483" w:sz="2"/>
              <w:bottom w:val="single" w:color="6C3483" w:sz="2"/>
              <w:right w:val="single" w:color="6C3483" w:sz="2"/>
            </w:tcBorders>
            <w:shd w:fill="6C3483" w:val="clear"/>
            <w:tcMar>
              <w:top w:type="dxa" w:w="80"/>
              <w:left w:type="dxa" w:w="120"/>
              <w:bottom w:type="dxa" w:w="80"/>
              <w:right w:type="dxa" w:w="120"/>
            </w:tcMar>
          </w:tcPr>
          <w:p>
            <w:pPr>
              <w:jc w:val="left"/>
            </w:pPr>
            <w:r>
              <w:rPr>
                <w:rFonts w:ascii="Arial" w:cs="Arial" w:eastAsia="Arial" w:hAnsi="Arial"/>
                <w:b/>
                <w:bCs/>
                <w:color w:val="FFFFFF"/>
                <w:sz w:val="22"/>
                <w:szCs w:val="22"/>
              </w:rPr>
              <w:t xml:space="preserve">Code</w:t>
            </w:r>
          </w:p>
        </w:tc>
        <w:tc>
          <w:tcPr>
            <w:tcW w:type="dxa" w:w="2900"/>
            <w:tcBorders>
              <w:top w:val="single" w:color="6C3483" w:sz="2"/>
              <w:left w:val="single" w:color="6C3483" w:sz="2"/>
              <w:bottom w:val="single" w:color="6C3483" w:sz="2"/>
              <w:right w:val="single" w:color="6C3483" w:sz="2"/>
            </w:tcBorders>
            <w:shd w:fill="6C3483"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Module Title</w:t>
            </w:r>
          </w:p>
        </w:tc>
        <w:tc>
          <w:tcPr>
            <w:tcW w:type="dxa" w:w="2600"/>
            <w:tcBorders>
              <w:top w:val="single" w:color="6C3483" w:sz="2"/>
              <w:left w:val="single" w:color="6C3483" w:sz="2"/>
              <w:bottom w:val="single" w:color="6C3483" w:sz="2"/>
              <w:right w:val="single" w:color="6C3483" w:sz="2"/>
            </w:tcBorders>
            <w:shd w:fill="6C3483" w:val="clear"/>
            <w:tcMar>
              <w:top w:type="dxa" w:w="80"/>
              <w:left w:type="dxa" w:w="120"/>
              <w:bottom w:type="dxa" w:w="80"/>
              <w:right w:type="dxa" w:w="120"/>
            </w:tcMar>
          </w:tcPr>
          <w:p>
            <w:pPr>
              <w:jc w:val="left"/>
            </w:pPr>
            <w:r>
              <w:rPr>
                <w:rFonts w:ascii="Arial" w:cs="Arial" w:eastAsia="Arial" w:hAnsi="Arial"/>
                <w:b/>
                <w:bCs/>
                <w:color w:val="FFFFFF"/>
                <w:sz w:val="22"/>
                <w:szCs w:val="22"/>
              </w:rPr>
              <w:t xml:space="preserve">Prerequisite</w:t>
            </w:r>
          </w:p>
        </w:tc>
        <w:tc>
          <w:tcPr>
            <w:tcW w:type="dxa" w:w="1100"/>
            <w:tcBorders>
              <w:top w:val="single" w:color="6C3483" w:sz="2"/>
              <w:left w:val="single" w:color="6C3483" w:sz="2"/>
              <w:bottom w:val="single" w:color="6C3483" w:sz="2"/>
              <w:right w:val="single" w:color="6C3483" w:sz="2"/>
            </w:tcBorders>
            <w:shd w:fill="6C3483" w:val="clear"/>
            <w:tcMar>
              <w:top w:type="dxa" w:w="80"/>
              <w:left w:type="dxa" w:w="120"/>
              <w:bottom w:type="dxa" w:w="80"/>
              <w:right w:type="dxa" w:w="120"/>
            </w:tcMar>
          </w:tcPr>
          <w:p>
            <w:pPr>
              <w:jc w:val="left"/>
            </w:pPr>
            <w:r>
              <w:rPr>
                <w:rFonts w:ascii="Arial" w:cs="Arial" w:eastAsia="Arial" w:hAnsi="Arial"/>
                <w:b/>
                <w:bCs/>
                <w:color w:val="FFFFFF"/>
                <w:sz w:val="22"/>
                <w:szCs w:val="22"/>
              </w:rPr>
              <w:t xml:space="preserve">Duration</w:t>
            </w:r>
          </w:p>
        </w:tc>
        <w:tc>
          <w:tcPr>
            <w:tcW w:type="dxa" w:w="1660"/>
            <w:tcBorders>
              <w:top w:val="single" w:color="6C3483" w:sz="2"/>
              <w:left w:val="single" w:color="6C3483" w:sz="2"/>
              <w:bottom w:val="single" w:color="6C3483" w:sz="2"/>
              <w:right w:val="single" w:color="6C3483" w:sz="2"/>
            </w:tcBorders>
            <w:shd w:fill="6C3483" w:val="clear"/>
            <w:tcMar>
              <w:top w:type="dxa" w:w="80"/>
              <w:left w:type="dxa" w:w="120"/>
              <w:bottom w:type="dxa" w:w="80"/>
              <w:right w:type="dxa" w:w="120"/>
            </w:tcMar>
          </w:tcPr>
          <w:p>
            <w:pPr>
              <w:jc w:val="left"/>
            </w:pPr>
            <w:r>
              <w:rPr>
                <w:rFonts w:ascii="Arial" w:cs="Arial" w:eastAsia="Arial" w:hAnsi="Arial"/>
                <w:b/>
                <w:bCs/>
                <w:color w:val="FFFFFF"/>
                <w:sz w:val="22"/>
                <w:szCs w:val="22"/>
              </w:rPr>
              <w:t xml:space="preserve">XP</w:t>
            </w:r>
          </w:p>
        </w:tc>
      </w:tr>
      <w:tr>
        <w:tc>
          <w:tcPr>
            <w:tcW w:type="dxa" w:w="11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pPr>
              <w:jc w:val="left"/>
            </w:pPr>
            <w:r>
              <w:rPr>
                <w:rFonts w:ascii="Arial" w:cs="Arial" w:eastAsia="Arial" w:hAnsi="Arial"/>
                <w:b/>
                <w:bCs/>
                <w:color w:val="222222"/>
                <w:sz w:val="22"/>
                <w:szCs w:val="22"/>
              </w:rPr>
              <w:t xml:space="preserve">CITP-401</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IT Team Leadership and Performance Coaching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Tier 3 Certified</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4 hrs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+100</w:t>
            </w:r>
          </w:p>
        </w:tc>
      </w:tr>
      <w:tr>
        <w:tc>
          <w:tcPr>
            <w:tcW w:type="dxa" w:w="11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pPr>
              <w:jc w:val="left"/>
            </w:pPr>
            <w:r>
              <w:rPr>
                <w:rFonts w:ascii="Arial" w:cs="Arial" w:eastAsia="Arial" w:hAnsi="Arial"/>
                <w:b/>
                <w:bCs/>
                <w:color w:val="222222"/>
                <w:sz w:val="22"/>
                <w:szCs w:val="22"/>
              </w:rPr>
              <w:t xml:space="preserve">CITP-402</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Strategic IT Account Management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CITP-401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 hrs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+100</w:t>
            </w:r>
          </w:p>
        </w:tc>
      </w:tr>
      <w:tr>
        <w:tc>
          <w:tcPr>
            <w:tcW w:type="dxa" w:w="11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pPr>
              <w:jc w:val="left"/>
            </w:pPr>
            <w:r>
              <w:rPr>
                <w:rFonts w:ascii="Arial" w:cs="Arial" w:eastAsia="Arial" w:hAnsi="Arial"/>
                <w:b/>
                <w:bCs/>
                <w:color w:val="222222"/>
                <w:sz w:val="22"/>
                <w:szCs w:val="22"/>
              </w:rPr>
              <w:t xml:space="preserve">CITP-403</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IT Training Design and Delivery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CITP-401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 hrs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+100</w:t>
            </w:r>
          </w:p>
        </w:tc>
      </w:tr>
      <w:tr>
        <w:tc>
          <w:tcPr>
            <w:tcW w:type="dxa" w:w="110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pPr>
              <w:jc w:val="left"/>
            </w:pPr>
            <w:r>
              <w:rPr>
                <w:rFonts w:ascii="Arial" w:cs="Arial" w:eastAsia="Arial" w:hAnsi="Arial"/>
                <w:b/>
                <w:bCs/>
                <w:color w:val="222222"/>
                <w:sz w:val="22"/>
                <w:szCs w:val="22"/>
              </w:rPr>
              <w:t xml:space="preserve">CITP-404</w:t>
            </w:r>
          </w:p>
        </w:tc>
        <w:tc>
          <w:tcPr>
            <w:tcW w:type="dxa" w:w="2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IT Business Development Fundamentals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CITP-401</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 hrs</w:t>
            </w:r>
          </w:p>
        </w:tc>
        <w:tc>
          <w:tcPr>
            <w:tcW w:type="dxa" w:w="1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+100</w:t>
            </w:r>
          </w:p>
        </w:tc>
      </w:tr>
    </w:tbl>
    <w:p>
      <w:r>
        <w:br w:type="page"/>
      </w:r>
    </w:p>
    <w:p>
      <w:pPr>
        <w:pStyle w:val="Heading1"/>
      </w:pPr>
      <w:r>
        <w:t xml:space="preserve">Section 4: IT-Specific Performance Scorecard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6C3483" w:sz="2"/>
              <w:left w:val="single" w:color="6C3483" w:sz="2"/>
              <w:bottom w:val="single" w:color="6C3483" w:sz="2"/>
              <w:right w:val="single" w:color="6C3483" w:sz="2"/>
            </w:tcBorders>
            <w:shd w:fill="6C3483" w:val="clear"/>
            <w:tcMar>
              <w:top w:type="dxa" w:w="80"/>
              <w:left w:type="dxa" w:w="120"/>
              <w:bottom w:type="dxa" w:w="80"/>
              <w:right w:type="dxa" w:w="120"/>
            </w:tcMar>
          </w:tcPr>
          <w:p>
            <w:pPr>
              <w:jc w:val="left"/>
            </w:pPr>
            <w:r>
              <w:rPr>
                <w:rFonts w:ascii="Arial" w:cs="Arial" w:eastAsia="Arial" w:hAnsi="Arial"/>
                <w:b/>
                <w:bCs/>
                <w:color w:val="FFFFFF"/>
                <w:sz w:val="22"/>
                <w:szCs w:val="22"/>
              </w:rPr>
              <w:t xml:space="preserve">Metric</w:t>
            </w:r>
          </w:p>
        </w:tc>
        <w:tc>
          <w:tcPr>
            <w:tcW w:type="dxa" w:w="3200"/>
            <w:tcBorders>
              <w:top w:val="single" w:color="6C3483" w:sz="2"/>
              <w:left w:val="single" w:color="6C3483" w:sz="2"/>
              <w:bottom w:val="single" w:color="6C3483" w:sz="2"/>
              <w:right w:val="single" w:color="6C3483" w:sz="2"/>
            </w:tcBorders>
            <w:shd w:fill="6C3483"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What It Measures</w:t>
            </w:r>
          </w:p>
        </w:tc>
        <w:tc>
          <w:tcPr>
            <w:tcW w:type="dxa" w:w="2960"/>
            <w:tcBorders>
              <w:top w:val="single" w:color="6C3483" w:sz="2"/>
              <w:left w:val="single" w:color="6C3483" w:sz="2"/>
              <w:bottom w:val="single" w:color="6C3483" w:sz="2"/>
              <w:right w:val="single" w:color="6C3483" w:sz="2"/>
            </w:tcBorders>
            <w:shd w:fill="6C3483" w:val="clear"/>
            <w:tcMar>
              <w:top w:type="dxa" w:w="80"/>
              <w:left w:type="dxa" w:w="120"/>
              <w:bottom w:type="dxa" w:w="80"/>
              <w:right w:type="dxa" w:w="120"/>
            </w:tcMar>
          </w:tcPr>
          <w:p>
            <w:pPr>
              <w:jc w:val="left"/>
            </w:pPr>
            <w:r>
              <w:rPr>
                <w:rFonts w:ascii="Arial" w:cs="Arial" w:eastAsia="Arial" w:hAnsi="Arial"/>
                <w:b/>
                <w:bCs/>
                <w:color w:val="FFFFFF"/>
                <w:sz w:val="22"/>
                <w:szCs w:val="22"/>
              </w:rPr>
              <w:t xml:space="preserve">Weight</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Qualified IT Screens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Volume of properly validated technical candidates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Must-Have Match Accuracy</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Percentage of submissions with validated must-have alignment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Submission Quality Rate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Client-ready submissions with strong recruiter summaries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15%</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Submittal-to-Interview Ratio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Technical matching effectiveness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Interview-to-Offer Ratio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Candidate prep and technical fit assessment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Offer-to-Join Ratio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Close discipline, counteroffer management, candidate control</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Post-Placement Touchpoints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Relationship maintenance and retention effort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Certification Progress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Module completions, assessment scores, XP earned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Candidate Experience Score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Feedback from placed and rejected candidates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5%</w:t>
            </w:r>
          </w:p>
        </w:tc>
      </w:tr>
    </w:tbl>
    <w:p>
      <w:r>
        <w:br w:type="page"/>
      </w:r>
    </w:p>
    <w:p>
      <w:pPr>
        <w:pStyle w:val="Heading1"/>
      </w:pPr>
      <w:r>
        <w:t xml:space="preserve">Gamification, Engagement, and Scenario-Based Learning System</w:t>
      </w:r>
    </w:p>
    <w:p>
      <w:pPr>
        <w:spacing w:after="200"/>
      </w:pPr>
    </w:p>
    <w:p>
      <w:pPr>
        <w:pStyle w:val="Heading2"/>
      </w:pPr>
      <w:r>
        <w:t xml:space="preserve">Why Gamification Matters for Training</w:t>
      </w:r>
    </w:p>
    <w:p>
      <w:pPr>
        <w:spacing w:after="120"/>
      </w:pPr>
      <w:r>
        <w:t xml:space="preserve">Research shows that 83 percent of employees who receive gamified training feel more motivated, and 33 percent of employees want more game-like features in their learning. At Hire'in Solutions, we do not just hand people documents and expect them to learn. We make training interactive, competitive, engaging, and tied to real-world outcomes. Every module in this certification track includes gamification elements and scenario-based learning.</w:t>
      </w:r>
    </w:p>
    <w:p>
      <w:pPr>
        <w:spacing w:after="200"/>
      </w:pPr>
    </w:p>
    <w:p>
      <w:pPr>
        <w:pStyle w:val="Heading2"/>
      </w:pPr>
      <w:r>
        <w:t xml:space="preserve">The Hire'in XP and Badge System</w:t>
      </w:r>
    </w:p>
    <w:p>
      <w:pPr>
        <w:spacing w:after="120"/>
      </w:pPr>
      <w:r>
        <w:t xml:space="preserve">Every TA Expert earns Experience Points (XP) as they progress through the certification track. XP is earned by completing modules, passing assessments, winning scenario challenges, and demonstrating skill in live drills. XP accumulates across the full certification journey and creates visible progress.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6C3483" w:sz="2"/>
              <w:left w:val="single" w:color="6C3483" w:sz="2"/>
              <w:bottom w:val="single" w:color="6C3483" w:sz="2"/>
              <w:right w:val="single" w:color="6C3483" w:sz="2"/>
            </w:tcBorders>
            <w:shd w:fill="6C3483" w:val="clear"/>
            <w:tcMar>
              <w:top w:type="dxa" w:w="80"/>
              <w:left w:type="dxa" w:w="120"/>
              <w:bottom w:type="dxa" w:w="80"/>
              <w:right w:type="dxa" w:w="120"/>
            </w:tcMar>
          </w:tcPr>
          <w:p>
            <w:pPr>
              <w:jc w:val="left"/>
            </w:pPr>
            <w:r>
              <w:rPr>
                <w:rFonts w:ascii="Arial" w:cs="Arial" w:eastAsia="Arial" w:hAnsi="Arial"/>
                <w:b/>
                <w:bCs/>
                <w:color w:val="FFFFFF"/>
                <w:sz w:val="22"/>
                <w:szCs w:val="22"/>
              </w:rPr>
              <w:t xml:space="preserve">Action</w:t>
            </w:r>
          </w:p>
        </w:tc>
        <w:tc>
          <w:tcPr>
            <w:tcW w:type="dxa" w:w="2400"/>
            <w:tcBorders>
              <w:top w:val="single" w:color="6C3483" w:sz="2"/>
              <w:left w:val="single" w:color="6C3483" w:sz="2"/>
              <w:bottom w:val="single" w:color="6C3483" w:sz="2"/>
              <w:right w:val="single" w:color="6C3483" w:sz="2"/>
            </w:tcBorders>
            <w:shd w:fill="6C3483" w:val="clear"/>
            <w:tcMar>
              <w:top w:type="dxa" w:w="80"/>
              <w:left w:type="dxa" w:w="120"/>
              <w:bottom w:type="dxa" w:w="80"/>
              <w:right w:type="dxa" w:w="120"/>
            </w:tcMar>
          </w:tcPr>
          <w:p>
            <w:pPr>
              <w:jc w:val="left"/>
            </w:pPr>
            <w:r>
              <w:rPr>
                <w:rFonts w:ascii="Arial" w:cs="Arial" w:eastAsia="Arial" w:hAnsi="Arial"/>
                <w:b/>
                <w:bCs/>
                <w:color w:val="FFFFFF"/>
                <w:sz w:val="22"/>
                <w:szCs w:val="22"/>
              </w:rPr>
              <w:t xml:space="preserve">XP Earned</w:t>
            </w:r>
          </w:p>
        </w:tc>
        <w:tc>
          <w:tcPr>
            <w:tcW w:type="dxa" w:w="2400"/>
            <w:tcBorders>
              <w:top w:val="single" w:color="6C3483" w:sz="2"/>
              <w:left w:val="single" w:color="6C3483" w:sz="2"/>
              <w:bottom w:val="single" w:color="6C3483" w:sz="2"/>
              <w:right w:val="single" w:color="6C3483" w:sz="2"/>
            </w:tcBorders>
            <w:shd w:fill="6C3483" w:val="clear"/>
            <w:tcMar>
              <w:top w:type="dxa" w:w="80"/>
              <w:left w:type="dxa" w:w="120"/>
              <w:bottom w:type="dxa" w:w="80"/>
              <w:right w:type="dxa" w:w="120"/>
            </w:tcMar>
          </w:tcPr>
          <w:p>
            <w:pPr>
              <w:jc w:val="left"/>
            </w:pPr>
            <w:r>
              <w:rPr>
                <w:rFonts w:ascii="Arial" w:cs="Arial" w:eastAsia="Arial" w:hAnsi="Arial"/>
                <w:b/>
                <w:bCs/>
                <w:color w:val="FFFFFF"/>
                <w:sz w:val="22"/>
                <w:szCs w:val="22"/>
              </w:rPr>
              <w:t xml:space="preserve">Badge Unlocked</w:t>
            </w:r>
          </w:p>
        </w:tc>
        <w:tc>
          <w:tcPr>
            <w:tcW w:type="dxa" w:w="2160"/>
            <w:tcBorders>
              <w:top w:val="single" w:color="6C3483" w:sz="2"/>
              <w:left w:val="single" w:color="6C3483" w:sz="2"/>
              <w:bottom w:val="single" w:color="6C3483" w:sz="2"/>
              <w:right w:val="single" w:color="6C3483" w:sz="2"/>
            </w:tcBorders>
            <w:shd w:fill="6C3483" w:val="clear"/>
            <w:tcMar>
              <w:top w:type="dxa" w:w="80"/>
              <w:left w:type="dxa" w:w="120"/>
              <w:bottom w:type="dxa" w:w="80"/>
              <w:right w:type="dxa" w:w="120"/>
            </w:tcMar>
          </w:tcPr>
          <w:p>
            <w:pPr>
              <w:jc w:val="left"/>
            </w:pPr>
            <w:r>
              <w:rPr>
                <w:rFonts w:ascii="Arial" w:cs="Arial" w:eastAsia="Arial" w:hAnsi="Arial"/>
                <w:b/>
                <w:bCs/>
                <w:color w:val="FFFFFF"/>
                <w:sz w:val="22"/>
                <w:szCs w:val="22"/>
              </w:rPr>
              <w:t xml:space="preserve">Visibility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Complete a module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+100 XP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Personal + Team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Pass assessment (80%+)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+150 XP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Personal + Team</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Pass assessment (90%+)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+250 XP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Excellence Badge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Team + Company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Win scenario challenge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+200 XP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Scenario Master Badge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Team + Company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Complete full tier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+500 XP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Tier Certification Badge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Company + Website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Mentor a Tier 1 colleague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+300 XP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Mentor Badge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Team + Company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First placement post-certification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+500 XP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Impact Badge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Company-wide</w:t>
            </w:r>
          </w:p>
        </w:tc>
      </w:tr>
    </w:tbl>
    <w:p>
      <w:pPr>
        <w:spacing w:after="200"/>
      </w:pPr>
    </w:p>
    <w:p>
      <w:pPr>
        <w:pStyle w:val="Heading2"/>
      </w:pPr>
      <w:r>
        <w:t xml:space="preserve">Team Leaderboard</w:t>
      </w:r>
    </w:p>
    <w:p>
      <w:pPr>
        <w:spacing w:after="120"/>
      </w:pPr>
      <w:r>
        <w:t xml:space="preserve">A monthly Team Leaderboard tracks XP across the team. This is not about shaming low performers. It is about creating visible momentum. The top XP earner each month receives recognition and a small reward. The leaderboard resets monthly to keep it fresh and give everyone a chance to lead.</w:t>
      </w:r>
    </w:p>
    <w:p>
      <w:pPr>
        <w:spacing w:after="200"/>
      </w:pPr>
    </w:p>
    <w:p>
      <w:pPr>
        <w:pStyle w:val="Heading2"/>
      </w:pPr>
      <w:r>
        <w:t xml:space="preserve">Scenario-Based Learning Approach</w:t>
      </w:r>
    </w:p>
    <w:p>
      <w:pPr>
        <w:spacing w:after="120"/>
      </w:pPr>
      <w:r>
        <w:t xml:space="preserve">Every module in this track includes at least one scenario challenge. Scenarios are realistic situations that a TA Expert would face on a real requisition. They are not theoretical questions. They test judgment, communication, and decision-making under realistic conditions.</w:t>
      </w:r>
    </w:p>
    <w:p>
      <w:pPr>
        <w:spacing w:after="200"/>
      </w:pPr>
    </w:p>
    <w:p>
      <w:pPr>
        <w:pStyle w:val="Heading3"/>
      </w:pPr>
      <w:r>
        <w:t xml:space="preserve">How Scenarios Work</w:t>
      </w:r>
    </w:p>
    <w:p>
      <w:pPr>
        <w:pStyle w:val="ListParagraph"/>
        <w:numPr>
          <w:ilvl w:val="0"/>
          <w:numId w:val="2"/>
        </w:numPr>
        <w:spacing w:after="60"/>
      </w:pPr>
      <w:r>
        <w:t xml:space="preserve">Each scenario presents a realistic situation with enough detail to require real thinking.</w:t>
      </w:r>
    </w:p>
    <w:p>
      <w:pPr>
        <w:pStyle w:val="ListParagraph"/>
        <w:numPr>
          <w:ilvl w:val="0"/>
          <w:numId w:val="2"/>
        </w:numPr>
        <w:spacing w:after="60"/>
      </w:pPr>
      <w:r>
        <w:t xml:space="preserve">The TA Expert must make a decision, draft a response, or identify the right action.</w:t>
      </w:r>
    </w:p>
    <w:p>
      <w:pPr>
        <w:pStyle w:val="ListParagraph"/>
        <w:numPr>
          <w:ilvl w:val="0"/>
          <w:numId w:val="2"/>
        </w:numPr>
        <w:spacing w:after="60"/>
      </w:pPr>
      <w:r>
        <w:t xml:space="preserve">There is no single correct answer for most scenarios. The evaluation is based on quality of reasoning, process discipline, and communication.</w:t>
      </w:r>
    </w:p>
    <w:p>
      <w:pPr>
        <w:pStyle w:val="ListParagraph"/>
        <w:numPr>
          <w:ilvl w:val="0"/>
          <w:numId w:val="2"/>
        </w:numPr>
        <w:spacing w:after="60"/>
      </w:pPr>
      <w:r>
        <w:t xml:space="preserve">Scenarios are evaluated by the manager using a rubric that scores: requirement understanding, risk identification, communication quality, documentation quality, and judgment.</w:t>
      </w:r>
    </w:p>
    <w:p>
      <w:pPr>
        <w:pStyle w:val="ListParagraph"/>
        <w:numPr>
          <w:ilvl w:val="0"/>
          <w:numId w:val="2"/>
        </w:numPr>
        <w:spacing w:after="60"/>
      </w:pPr>
      <w:r>
        <w:t xml:space="preserve">Top scenario performers earn bonus XP and the Scenario Master badge.</w:t>
      </w:r>
    </w:p>
    <w:p>
      <w:pPr>
        <w:spacing w:after="200"/>
      </w:pPr>
    </w:p>
    <w:p>
      <w:pPr>
        <w:pStyle w:val="Heading2"/>
      </w:pPr>
      <w:r>
        <w:t xml:space="preserve">Engagement Features Built Into Every Module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6C3483" w:sz="2"/>
              <w:left w:val="single" w:color="6C3483" w:sz="2"/>
              <w:bottom w:val="single" w:color="6C3483" w:sz="2"/>
              <w:right w:val="single" w:color="6C3483" w:sz="2"/>
            </w:tcBorders>
            <w:shd w:fill="6C3483" w:val="clear"/>
            <w:tcMar>
              <w:top w:type="dxa" w:w="80"/>
              <w:left w:type="dxa" w:w="120"/>
              <w:bottom w:type="dxa" w:w="80"/>
              <w:right w:type="dxa" w:w="120"/>
            </w:tcMar>
          </w:tcPr>
          <w:p>
            <w:pPr>
              <w:jc w:val="left"/>
            </w:pPr>
            <w:r>
              <w:rPr>
                <w:rFonts w:ascii="Arial" w:cs="Arial" w:eastAsia="Arial" w:hAnsi="Arial"/>
                <w:b/>
                <w:bCs/>
                <w:color w:val="FFFFFF"/>
                <w:sz w:val="22"/>
                <w:szCs w:val="22"/>
              </w:rPr>
              <w:t xml:space="preserve">Feature</w:t>
            </w:r>
          </w:p>
        </w:tc>
        <w:tc>
          <w:tcPr>
            <w:tcW w:type="dxa" w:w="6240"/>
            <w:tcBorders>
              <w:top w:val="single" w:color="6C3483" w:sz="2"/>
              <w:left w:val="single" w:color="6C3483" w:sz="2"/>
              <w:bottom w:val="single" w:color="6C3483" w:sz="2"/>
              <w:right w:val="single" w:color="6C3483" w:sz="2"/>
            </w:tcBorders>
            <w:shd w:fill="6C3483" w:val="clear"/>
            <w:tcMar>
              <w:top w:type="dxa" w:w="80"/>
              <w:left w:type="dxa" w:w="120"/>
              <w:bottom w:type="dxa" w:w="80"/>
              <w:right w:type="dxa" w:w="120"/>
            </w:tcMar>
          </w:tcPr>
          <w:p>
            <w:pPr>
              <w:jc w:val="left"/>
            </w:pPr>
            <w:r>
              <w:rPr>
                <w:rFonts w:ascii="Arial" w:cs="Arial" w:eastAsia="Arial" w:hAnsi="Arial"/>
                <w:b/>
                <w:bCs/>
                <w:color w:val="FFFFFF"/>
                <w:sz w:val="22"/>
                <w:szCs w:val="22"/>
              </w:rPr>
              <w:t xml:space="preserve">How It Works</w:t>
            </w:r>
          </w:p>
        </w:tc>
      </w:tr>
      <w:tr>
        <w:tc>
          <w:tcPr>
            <w:tcW w:type="dxa" w:w="312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Scenario Challenge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At least one realistic scenario per module. TA Expert must respond in writing or live role-play. Manager evaluates and scores.</w:t>
            </w:r>
          </w:p>
        </w:tc>
      </w:tr>
      <w:tr>
        <w:tc>
          <w:tcPr>
            <w:tcW w:type="dxa" w:w="312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Quick-Fire Quiz</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5 rapid questions at the end of each module. Must answer in under 60 seconds each. Tests recall and speed.</w:t>
            </w:r>
          </w:p>
        </w:tc>
      </w:tr>
      <w:tr>
        <w:tc>
          <w:tcPr>
            <w:tcW w:type="dxa" w:w="312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Peer Review Exercise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TA Experts review a colleague's scenario response and provide constructive feedback. Builds coaching skills early.</w:t>
            </w:r>
          </w:p>
        </w:tc>
      </w:tr>
      <w:tr>
        <w:tc>
          <w:tcPr>
            <w:tcW w:type="dxa" w:w="312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Live Role-Play Drill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Communication modules include live or recorded call/VM/SMS drills with manager feedback. Simulates real candidate outreach.</w:t>
            </w:r>
          </w:p>
        </w:tc>
      </w:tr>
      <w:tr>
        <w:tc>
          <w:tcPr>
            <w:tcW w:type="dxa" w:w="312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Red Flag Spotter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Given a candidate profile or screening scenario, identify all red flags. Scored on accuracy and completeness.</w:t>
            </w:r>
          </w:p>
        </w:tc>
      </w:tr>
      <w:tr>
        <w:tc>
          <w:tcPr>
            <w:tcW w:type="dxa" w:w="312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Submission Showdown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Two TA Experts prepare competing submissions for the same requisition. Manager evaluates which is stronger and why.</w:t>
            </w:r>
          </w:p>
        </w:tc>
      </w:tr>
      <w:tr>
        <w:tc>
          <w:tcPr>
            <w:tcW w:type="dxa" w:w="3120"/>
            <w:tcBorders>
              <w:top w:val="single" w:color="CCCCCC" w:sz="1"/>
              <w:left w:val="single" w:color="CCCCCC" w:sz="1"/>
              <w:bottom w:val="single" w:color="CCCCCC" w:sz="1"/>
              <w:right w:val="single" w:color="CCCCCC" w:sz="1"/>
            </w:tcBorders>
            <w:shd w:fill="E8DAEF" w:val="clear"/>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XP Bonus Challenges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222222"/>
                <w:sz w:val="22"/>
                <w:szCs w:val="22"/>
              </w:rPr>
              <w:t xml:space="preserve">Optional stretch challenges for extra XP: research a market trend, present a finding to the team, propose a process improvement.</w:t>
            </w:r>
          </w:p>
        </w:tc>
      </w:tr>
    </w:tbl>
    <w:p>
      <w:pPr>
        <w:spacing w:after="200"/>
      </w:pPr>
    </w:p>
    <w:p>
      <w:pPr>
        <w:pStyle w:val="Heading2"/>
      </w:pPr>
      <w:r>
        <w:t xml:space="preserve">Monthly Engagement Rituals</w:t>
      </w:r>
    </w:p>
    <w:p>
      <w:pPr>
        <w:pStyle w:val="ListParagraph"/>
        <w:numPr>
          <w:ilvl w:val="0"/>
          <w:numId w:val="2"/>
        </w:numPr>
        <w:spacing w:after="60"/>
      </w:pPr>
      <w:r>
        <w:t xml:space="preserve">Monday Kickoff: Manager shares one real-world example or learning from the previous week.</w:t>
      </w:r>
    </w:p>
    <w:p>
      <w:pPr>
        <w:pStyle w:val="ListParagraph"/>
        <w:numPr>
          <w:ilvl w:val="0"/>
          <w:numId w:val="2"/>
        </w:numPr>
        <w:spacing w:after="60"/>
      </w:pPr>
      <w:r>
        <w:t xml:space="preserve">Wednesday Scenario Drop: A new scenario challenge is posted for voluntary participation. Top response earns bonus XP.</w:t>
      </w:r>
    </w:p>
    <w:p>
      <w:pPr>
        <w:pStyle w:val="ListParagraph"/>
        <w:numPr>
          <w:ilvl w:val="0"/>
          <w:numId w:val="2"/>
        </w:numPr>
        <w:spacing w:after="60"/>
      </w:pPr>
      <w:r>
        <w:t xml:space="preserve">Friday Wins: Team shares one win, one lesson, and one thing they would do differently.</w:t>
      </w:r>
    </w:p>
    <w:p>
      <w:pPr>
        <w:pStyle w:val="ListParagraph"/>
        <w:numPr>
          <w:ilvl w:val="0"/>
          <w:numId w:val="2"/>
        </w:numPr>
        <w:spacing w:after="60"/>
      </w:pPr>
      <w:r>
        <w:t xml:space="preserve">Monthly Leaderboard Review: XP totals are shared. Top performer is recognized.</w:t>
      </w:r>
    </w:p>
    <w:p>
      <w:pPr>
        <w:pStyle w:val="ListParagraph"/>
        <w:numPr>
          <w:ilvl w:val="0"/>
          <w:numId w:val="2"/>
        </w:numPr>
        <w:spacing w:after="60"/>
      </w:pPr>
      <w:r>
        <w:t xml:space="preserve">Quarterly Certification Celebration: Team members who complete a tier are publicly recognized.</w:t>
      </w:r>
    </w:p>
    <w:p>
      <w:r>
        <w:br w:type="page"/>
      </w:r>
    </w:p>
    <w:p>
      <w:pPr>
        <w:pStyle w:val="Heading1"/>
      </w:pPr>
      <w:r>
        <w:t xml:space="preserve">Section 5: Acknowledgement</w:t>
      </w:r>
    </w:p>
    <w:p>
      <w:pPr>
        <w:spacing w:after="200"/>
      </w:pPr>
    </w:p>
    <w:p>
      <w:pPr>
        <w:spacing w:after="120"/>
      </w:pPr>
      <w:r>
        <w:t xml:space="preserve">I, ________________________________, confirm completion of the indicated CITP certification tier.</w:t>
      </w:r>
    </w:p>
    <w:p>
      <w:pPr>
        <w:spacing w:after="200"/>
      </w:pPr>
    </w:p>
    <w:p>
      <w:pPr>
        <w:spacing w:after="120"/>
      </w:pPr>
      <w:r>
        <w:rPr>
          <w:b/>
          <w:bCs/>
        </w:rPr>
        <w:t xml:space="preserve">Tier Completed: </w:t>
      </w:r>
      <w:r>
        <w:t xml:space="preserve">1  /  2  /  3  /  4  (circle one)</w:t>
      </w:r>
    </w:p>
    <w:p>
      <w:pPr>
        <w:spacing w:after="120"/>
      </w:pPr>
      <w:r>
        <w:rPr>
          <w:b/>
          <w:bCs/>
        </w:rPr>
        <w:t xml:space="preserve">Assessment Score: </w:t>
      </w:r>
      <w:r>
        <w:t xml:space="preserve">__________</w:t>
      </w:r>
    </w:p>
    <w:p>
      <w:pPr>
        <w:spacing w:after="120"/>
      </w:pPr>
      <w:r>
        <w:rPr>
          <w:b/>
          <w:bCs/>
        </w:rPr>
        <w:t xml:space="preserve">Total XP Earned: </w:t>
      </w:r>
      <w:r>
        <w:t xml:space="preserve">__________</w:t>
      </w:r>
    </w:p>
    <w:p>
      <w:pPr>
        <w:spacing w:after="120"/>
      </w:pPr>
      <w:r>
        <w:rPr>
          <w:b/>
          <w:bCs/>
        </w:rPr>
        <w:t xml:space="preserve">Employee: </w:t>
      </w:r>
      <w:r>
        <w:t xml:space="preserve">__________________________ Date: __________</w:t>
      </w:r>
    </w:p>
    <w:p>
      <w:pPr>
        <w:spacing w:after="120"/>
      </w:pPr>
      <w:r>
        <w:rPr>
          <w:b/>
          <w:bCs/>
        </w:rPr>
        <w:t xml:space="preserve">Manager: </w:t>
      </w:r>
      <w:r>
        <w:t xml:space="preserve">__________________________ Date: 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999999"/>
        <w:sz w:val="16"/>
        <w:szCs w:val="16"/>
      </w:rPr>
      <w:t xml:space="preserve">Hire'in Solutions</w:t>
    </w:r>
    <w:r>
      <w:t xml:space="preserve">	</w:t>
    </w: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Hire'in Solutions  |  Certified IT TA Performance Track (CITP)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6C3483"/>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6C348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2026-03-12T00:02:50.698Z</dcterms:created>
  <dcterms:modified xsi:type="dcterms:W3CDTF">2026-03-12T00:02:50.698Z</dcterms:modified>
</cp:coreProperties>
</file>

<file path=docProps/custom.xml><?xml version="1.0" encoding="utf-8"?>
<Properties xmlns="http://schemas.openxmlformats.org/officeDocument/2006/custom-properties" xmlns:vt="http://schemas.openxmlformats.org/officeDocument/2006/docPropsVTypes"/>
</file>