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Hire’in Solutions</w:t>
        <w:br/>
        <w:t>Corrected SOP Quiz Bank v3</w:t>
      </w:r>
    </w:p>
    <w:p>
      <w:pPr>
        <w:jc w:val="center"/>
      </w:pPr>
      <w:r>
        <w:rPr>
          <w:b/>
          <w:sz w:val="26"/>
        </w:rPr>
        <w:t>QA Fix Report, Seeding Guide, and Tech Task #1568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</w:rPr>
              <w:t>Version</w:t>
            </w:r>
          </w:p>
        </w:tc>
        <w:tc>
          <w:tcPr>
            <w:tcW w:type="dxa" w:w="5256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3.0</w:t>
            </w:r>
          </w:p>
        </w:tc>
      </w:tr>
      <w:tr>
        <w:tc>
          <w:tcPr>
            <w:tcW w:type="dxa" w:w="52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</w:rPr>
              <w:t>Prepared For</w:t>
            </w:r>
          </w:p>
        </w:tc>
        <w:tc>
          <w:tcPr>
            <w:tcW w:type="dxa" w:w="5256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Hire’in SOP Training / Replit Seeding</w:t>
            </w:r>
          </w:p>
        </w:tc>
      </w:tr>
      <w:tr>
        <w:tc>
          <w:tcPr>
            <w:tcW w:type="dxa" w:w="52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</w:rPr>
              <w:t>Purpose</w:t>
            </w:r>
          </w:p>
        </w:tc>
        <w:tc>
          <w:tcPr>
            <w:tcW w:type="dxa" w:w="5256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Fix v2 Q5 repeated distractors, answer-key clustering, Q1 generic distractor pattern, and app-schema readiness gap.</w:t>
            </w:r>
          </w:p>
        </w:tc>
      </w:tr>
      <w:tr>
        <w:tc>
          <w:tcPr>
            <w:tcW w:type="dxa" w:w="52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</w:rPr>
              <w:t>Date</w:t>
            </w:r>
          </w:p>
        </w:tc>
        <w:tc>
          <w:tcPr>
            <w:tcW w:type="dxa" w:w="5256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2026-07-24</w:t>
            </w:r>
          </w:p>
        </w:tc>
      </w:tr>
    </w:tbl>
    <w:p>
      <w:pPr>
        <w:pStyle w:val="Heading1"/>
      </w:pPr>
      <w:r>
        <w:t>1. Executive Decision</w:t>
      </w:r>
    </w:p>
    <w:p>
      <w:r>
        <w:t>Do not seed Quiz Bank v2. Use Quiz Bank v3 after completing Tech Task #1568. The content issue in v2 was real: Q5 used the same distractor pattern across modules, which made the hardest analysis-level item predictable. v3 replaces Q5 with module-specific plausible distractors and balances the answer key inside every module.</w:t>
      </w:r>
    </w:p>
    <w:p>
      <w:pPr>
        <w:pStyle w:val="Heading1"/>
      </w:pPr>
      <w:r>
        <w:t>2. What Changed in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880"/>
            <w:vAlign w:val="top"/>
            <w:shd w:fill="1F4E78"/>
          </w:tcPr>
          <w:p>
            <w:pPr>
              <w:spacing w:after="0" w:before="0"/>
            </w:pPr>
            <w:r/>
            <w:r>
              <w:rPr>
                <w:b/>
              </w:rPr>
              <w:t>Issue</w:t>
            </w:r>
          </w:p>
        </w:tc>
        <w:tc>
          <w:tcPr>
            <w:tcW w:type="dxa" w:w="5184"/>
            <w:vAlign w:val="top"/>
            <w:shd w:fill="1F4E78"/>
          </w:tcPr>
          <w:p>
            <w:pPr>
              <w:spacing w:after="0" w:before="0"/>
            </w:pPr>
            <w:r/>
            <w:r>
              <w:rPr>
                <w:b/>
              </w:rPr>
              <w:t>v3 Fix</w:t>
            </w:r>
          </w:p>
        </w:tc>
        <w:tc>
          <w:tcPr>
            <w:tcW w:type="dxa" w:w="1728"/>
            <w:vAlign w:val="top"/>
            <w:shd w:fill="1F4E78"/>
          </w:tcPr>
          <w:p>
            <w:pPr>
              <w:spacing w:after="0" w:before="0"/>
            </w:pPr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Q5 wrong answers repeated across 21 modules</w:t>
            </w:r>
          </w:p>
        </w:tc>
        <w:tc>
          <w:tcPr>
            <w:tcW w:type="dxa" w:w="5184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Replaced all Q5 distractors with module-specific plausible wrong answers.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Fixed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Q5 was easy to game by pattern</w:t>
            </w:r>
          </w:p>
        </w:tc>
        <w:tc>
          <w:tcPr>
            <w:tcW w:type="dxa" w:w="5184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Each Q5 has a unique distractor triplet and module-specific misconception.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Fixed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Within-module answer clustering</w:t>
            </w:r>
          </w:p>
        </w:tc>
        <w:tc>
          <w:tcPr>
            <w:tcW w:type="dxa" w:w="5184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Every module now has exactly two A, two B, two C, and two D correct answers.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Fixed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Q1 wrong answers used a generic rotating pool</w:t>
            </w:r>
          </w:p>
        </w:tc>
        <w:tc>
          <w:tcPr>
            <w:tcW w:type="dxa" w:w="5184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Q1 distractors rewritten for each SOP to reflect realistic process misunderstandings.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Fixed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App schema missing new quiz fields</w:t>
            </w:r>
          </w:p>
        </w:tc>
        <w:tc>
          <w:tcPr>
            <w:tcW w:type="dxa" w:w="5184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Task #1568 included to add required schema fields before import.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Blocking tech task</w:t>
            </w:r>
          </w:p>
        </w:tc>
      </w:tr>
    </w:tbl>
    <w:p>
      <w:pPr>
        <w:pStyle w:val="Heading1"/>
      </w:pPr>
      <w:r>
        <w:t>3. QA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744"/>
            <w:vAlign w:val="top"/>
            <w:shd w:fill="1F4E78"/>
          </w:tcPr>
          <w:p>
            <w:pPr>
              <w:spacing w:after="0" w:before="0"/>
            </w:pPr>
            <w:r/>
            <w:r>
              <w:rPr>
                <w:b/>
              </w:rPr>
              <w:t>QA Check</w:t>
            </w:r>
          </w:p>
        </w:tc>
        <w:tc>
          <w:tcPr>
            <w:tcW w:type="dxa" w:w="6048"/>
            <w:vAlign w:val="top"/>
            <w:shd w:fill="1F4E78"/>
          </w:tcPr>
          <w:p>
            <w:pPr>
              <w:spacing w:after="0" w:before="0"/>
            </w:pPr>
            <w:r/>
            <w:r>
              <w:rPr>
                <w:b/>
              </w:rPr>
              <w:t>Result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Total SOP-linked modules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21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Total questions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168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Questions per module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8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Auto-gradable questions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168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Open-text questions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0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Duplicate question prompts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0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Overall answer distribution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{'A': 42, 'B': 42, 'C': 42, 'D': 42}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Max same correct letter inside any module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2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Q5 unique distractor triples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21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Q5 repeated distractor texts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0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Schema readiness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#1568 add question_type, cognitive_level, tags, auto_gradable, points to section_quiz_questions</w:t>
            </w:r>
          </w:p>
        </w:tc>
      </w:tr>
    </w:tbl>
    <w:p>
      <w:pPr>
        <w:pStyle w:val="Heading1"/>
      </w:pPr>
      <w:r>
        <w:t>4. Seeding Readiness Verdict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168"/>
            <w:vAlign w:val="top"/>
            <w:shd w:fill="1F4E78"/>
          </w:tcPr>
          <w:p>
            <w:pPr>
              <w:spacing w:after="0" w:before="0"/>
            </w:pPr>
            <w:r/>
            <w:r>
              <w:rPr>
                <w:b/>
              </w:rPr>
              <w:t>Item</w:t>
            </w:r>
          </w:p>
        </w:tc>
        <w:tc>
          <w:tcPr>
            <w:tcW w:type="dxa" w:w="6624"/>
            <w:vAlign w:val="top"/>
            <w:shd w:fill="1F4E78"/>
          </w:tcPr>
          <w:p>
            <w:pPr>
              <w:spacing w:after="0" w:before="0"/>
            </w:pPr>
            <w:r/>
            <w:r>
              <w:rPr>
                <w:b/>
              </w:rPr>
              <w:t>Verdict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Training/quiz content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Ready — use v3 only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JSON structure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Ready — nested trainingModules[].quizQuestions[] and flat quizQuestions[] are present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CSV flat export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Ready — 168 rows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XLSX workbook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Ready for HR/Admin review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App schema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Not ready until Task #1568 is completed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Production seed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Allowed only after schema update and one import QA pass</w:t>
            </w:r>
          </w:p>
        </w:tc>
      </w:tr>
    </w:tbl>
    <w:p>
      <w:pPr>
        <w:pStyle w:val="Heading1"/>
      </w:pPr>
      <w:r>
        <w:t>5. Task #1568 — Required Schema Update</w:t>
      </w:r>
    </w:p>
    <w:p>
      <w:r>
        <w:t>Before importing v3, update the quiz-question schema so the app can preserve question type, cognitive level, tags, auto-grading, points, options, and answer metadata. If this is not done, the JSON may import but critical fields will be lost.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456"/>
            <w:vAlign w:val="top"/>
            <w:shd w:fill="1F4E78"/>
          </w:tcPr>
          <w:p>
            <w:pPr>
              <w:spacing w:after="0" w:before="0"/>
            </w:pPr>
            <w:r/>
            <w:r>
              <w:rPr>
                <w:b/>
              </w:rPr>
              <w:t>Field</w:t>
            </w:r>
          </w:p>
        </w:tc>
        <w:tc>
          <w:tcPr>
            <w:tcW w:type="dxa" w:w="6336"/>
            <w:vAlign w:val="top"/>
            <w:shd w:fill="1F4E78"/>
          </w:tcPr>
          <w:p>
            <w:pPr>
              <w:spacing w:after="0" w:before="0"/>
            </w:pPr>
            <w:r/>
            <w:r>
              <w:rPr>
                <w:b/>
              </w:rPr>
              <w:t>Recommended Type / Rule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question_type</w:t>
            </w:r>
          </w:p>
        </w:tc>
        <w:tc>
          <w:tcPr>
            <w:tcW w:type="dxa" w:w="6336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TEXT NOT NULL DEFAULT single_choice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cognitive_level</w:t>
            </w:r>
          </w:p>
        </w:tc>
        <w:tc>
          <w:tcPr>
            <w:tcW w:type="dxa" w:w="6336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TEXT NULL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tags</w:t>
            </w:r>
          </w:p>
        </w:tc>
        <w:tc>
          <w:tcPr>
            <w:tcW w:type="dxa" w:w="6336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JSONB NOT NULL DEFAULT []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auto_gradable</w:t>
            </w:r>
          </w:p>
        </w:tc>
        <w:tc>
          <w:tcPr>
            <w:tcW w:type="dxa" w:w="6336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BOOLEAN NOT NULL DEFAULT TRUE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points</w:t>
            </w:r>
          </w:p>
        </w:tc>
        <w:tc>
          <w:tcPr>
            <w:tcW w:type="dxa" w:w="6336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INTEGER NOT NULL DEFAULT 1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options</w:t>
            </w:r>
          </w:p>
        </w:tc>
        <w:tc>
          <w:tcPr>
            <w:tcW w:type="dxa" w:w="6336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JSONB NOT NULL DEFAULT []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correct_option</w:t>
            </w:r>
          </w:p>
        </w:tc>
        <w:tc>
          <w:tcPr>
            <w:tcW w:type="dxa" w:w="6336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TEXT NULL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correct_answer_text</w:t>
            </w:r>
          </w:p>
        </w:tc>
        <w:tc>
          <w:tcPr>
            <w:tcW w:type="dxa" w:w="6336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TEXT NULL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requires_human_review</w:t>
            </w:r>
          </w:p>
        </w:tc>
        <w:tc>
          <w:tcPr>
            <w:tcW w:type="dxa" w:w="6336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BOOLEAN NOT NULL DEFAULT FALSE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quiz_version</w:t>
            </w:r>
          </w:p>
        </w:tc>
        <w:tc>
          <w:tcPr>
            <w:tcW w:type="dxa" w:w="6336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TEXT NULL</w:t>
            </w:r>
          </w:p>
        </w:tc>
      </w:tr>
    </w:tbl>
    <w:p>
      <w:pPr>
        <w:pStyle w:val="Heading1"/>
      </w:pPr>
      <w:r>
        <w:t>6. Import Rules for Replit</w:t>
      </w:r>
    </w:p>
    <w:p>
      <w:pPr>
        <w:pStyle w:val="ListBullet"/>
      </w:pPr>
      <w:r>
        <w:t>Import from hirein_sop_quiz_bank_v3_seed.json as the canonical seed file.</w:t>
      </w:r>
    </w:p>
    <w:p>
      <w:pPr>
        <w:pStyle w:val="ListBullet"/>
      </w:pPr>
      <w:r>
        <w:t>Map every quiz module by trainingId and sopCode.</w:t>
      </w:r>
    </w:p>
    <w:p>
      <w:pPr>
        <w:pStyle w:val="ListBullet"/>
      </w:pPr>
      <w:r>
        <w:t>Preserve option key order A/B/C/D from the JSON; do not reshuffle during import.</w:t>
      </w:r>
    </w:p>
    <w:p>
      <w:pPr>
        <w:pStyle w:val="ListBullet"/>
      </w:pPr>
      <w:r>
        <w:t>Render scenario_single_choice with scenario styling but grade it as a single-choice MCQ.</w:t>
      </w:r>
    </w:p>
    <w:p>
      <w:pPr>
        <w:pStyle w:val="ListBullet"/>
      </w:pPr>
      <w:r>
        <w:t>Validate 21 modules, 168 questions, 8 questions per module, and 0 open-text questions after import.</w:t>
      </w:r>
    </w:p>
    <w:p>
      <w:pPr>
        <w:pStyle w:val="ListBullet"/>
      </w:pPr>
      <w:r>
        <w:t>Do not seed v2 in production or staging except for comparison testing.</w:t>
      </w:r>
    </w:p>
    <w:p>
      <w:pPr>
        <w:pStyle w:val="Heading1"/>
      </w:pPr>
      <w:r>
        <w:t>7. Sample Q5 Fixes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016"/>
            <w:vAlign w:val="top"/>
            <w:shd w:fill="1F4E78"/>
          </w:tcPr>
          <w:p>
            <w:pPr>
              <w:spacing w:after="0" w:before="0"/>
            </w:pPr>
            <w:r/>
            <w:r>
              <w:rPr>
                <w:b/>
              </w:rPr>
              <w:t>SOP</w:t>
            </w:r>
          </w:p>
        </w:tc>
        <w:tc>
          <w:tcPr>
            <w:tcW w:type="dxa" w:w="4320"/>
            <w:vAlign w:val="top"/>
            <w:shd w:fill="1F4E78"/>
          </w:tcPr>
          <w:p>
            <w:pPr>
              <w:spacing w:after="0" w:before="0"/>
            </w:pPr>
            <w:r/>
            <w:r>
              <w:rPr>
                <w:b/>
              </w:rPr>
              <w:t>Correct Misunderstanding</w:t>
            </w:r>
          </w:p>
        </w:tc>
        <w:tc>
          <w:tcPr>
            <w:tcW w:type="dxa" w:w="4320"/>
            <w:vAlign w:val="top"/>
            <w:shd w:fill="1F4E78"/>
          </w:tcPr>
          <w:p>
            <w:pPr>
              <w:spacing w:after="0" w:before="0"/>
            </w:pPr>
            <w:r/>
            <w:r>
              <w:rPr>
                <w:b/>
              </w:rPr>
              <w:t>Example Plausible Distractor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HIS-SOP-GOV-001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Treating the published SOP as a flexible reference instead of the locked version that controls process, training, and audit.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Confusing reviewer feedback with final approval authority for published SOP changes.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HIS-SOP-REQ-001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Treating the unified execution brief as optional when the role is urgent, causing recruiters to work from different interpretations.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Assuming the original JD is enough even when the recruiter pitch, must-haves, and disqualifiers are unclear.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HIS-SOP-TA-001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Starting sourcing before intake, rate, pay, margin, must-haves, and kickoff ownership are complete in the approved system.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Accepting a role for sourcing before confirming pay range, location, and must-have requirements.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HIS-SOP-TA-002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Treating candidate ownership, duplicate checks, or consent/RTR as optional when outreach volume is high.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Assuming a sourced profile belongs to the recruiter even if no valid contact or ownership record exists.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HIS-SOP-TA-003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Submitting a candidate before screening notes, pay/location fit, required documents, and QC readiness are complete.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Believing a strong resume can replace documented screening, pay alignment, and candidate confirmation.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HIS-SOP-TA-004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Treating the process as complete after submission instead of managing interview, offer, start, and post-start follow-through.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Assuming an interview scheduled by phone is complete even when it is not confirmed in the system.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HIS-SOP-HC-001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Treating healthcare credential packet readiness as an onboarding issue rather than a submission-quality and compliance control.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Assuming an active license alone proves the full credential packet is submission-ready.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HIS-SOP-IT-001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Treating keyword match as enough for IT submission without validating technical depth, recency, authorization, and role fit.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b w:val="0"/>
              </w:rPr>
              <w:t>Assuming keyword overlap means technical match even when recent hands-on experience is unclear.</w:t>
            </w:r>
          </w:p>
        </w:tc>
      </w:tr>
    </w:tbl>
    <w:p>
      <w:pPr>
        <w:pStyle w:val="Heading1"/>
      </w:pPr>
      <w:r>
        <w:t>8. Assessment Design Notes</w:t>
      </w:r>
    </w:p>
    <w:p>
      <w:r>
        <w:t>The v3 changes follow assessment design principles: distractors should be plausible and diverse, answer-key locations should not create placement bias, and options should avoid giveaway patterns. Scenario questions remain auto-gradable so the app does not create a human review bottleneck.</w:t>
      </w:r>
    </w:p>
    <w:p>
      <w:pPr>
        <w:pStyle w:val="Heading1"/>
      </w:pPr>
      <w:r>
        <w:t>9. Source Notes</w:t>
      </w:r>
    </w:p>
    <w:p>
      <w:pPr>
        <w:pStyle w:val="ListBullet"/>
      </w:pPr>
      <w:r>
        <w:t>James Cook University MCQ guidance: plausible distractors and even key distribution to avoid placement bias.</w:t>
      </w:r>
    </w:p>
    <w:p>
      <w:pPr>
        <w:pStyle w:val="ListBullet"/>
      </w:pPr>
      <w:r>
        <w:t>NC State DELTA MCQ guidance: distractors should be plausible, aligned with the same concept, and avoid cueing.</w:t>
      </w:r>
    </w:p>
    <w:p>
      <w:pPr>
        <w:pStyle w:val="ListBullet"/>
      </w:pPr>
      <w:r>
        <w:t>University of Waterloo MCQ guidance: use plausible but incorrect alternatives and avoid verbal association clues.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Hire’in Solutions — SOP Quiz Bank v3 QA &amp; Seeding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