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F3A6E"/>
          <w:sz w:val="54"/>
        </w:rPr>
        <w:t>Authentication, Authorization</w:t>
        <w:br/>
        <w:t>and Access-Control Architecture</w:t>
      </w:r>
    </w:p>
    <w:p>
      <w:pPr>
        <w:jc w:val="center"/>
      </w:pPr>
      <w:r>
        <w:rPr>
          <w:b/>
          <w:color w:val="F96D3E"/>
          <w:sz w:val="28"/>
        </w:rPr>
        <w:t>Production-Ready RBAC and Replit Implementation Recommendation</w:t>
      </w:r>
    </w:p>
    <w:p>
      <w:pPr>
        <w:spacing w:before="360"/>
        <w:jc w:val="center"/>
      </w:pPr>
      <w:r>
        <w:rPr>
          <w:color w:val="1F2937"/>
          <w:sz w:val="24"/>
        </w:rPr>
        <w:t>Hire’in Multi-Portal Platform</w:t>
      </w:r>
    </w:p>
    <w:p>
      <w:pPr>
        <w:spacing w:before="2200"/>
        <w:jc w:val="center"/>
      </w:pPr>
      <w:r>
        <w:rPr>
          <w:color w:val="6B7280"/>
          <w:sz w:val="20"/>
        </w:rPr>
        <w:t>Prepared as Final Architecture Guidance</w:t>
        <w:br/>
        <w:t>Version 1.0 | July 2026</w:t>
      </w:r>
    </w:p>
    <w:p>
      <w:r>
        <w:br w:type="page"/>
      </w:r>
    </w:p>
    <w:p>
      <w:pPr>
        <w:pStyle w:val="Heading1"/>
      </w:pPr>
      <w:r>
        <w:t>1. Executive Recommendation</w:t>
      </w:r>
    </w:p>
    <w:tbl>
      <w:tblPr>
        <w:tblW w:type="auto" w:w="0"/>
        <w:jc w:val="center"/>
        <w:tblLook w:firstColumn="1" w:firstRow="1" w:lastColumn="0" w:lastRow="0" w:noHBand="0" w:noVBand="1" w:val="04A0"/>
      </w:tblPr>
      <w:tblGrid>
        <w:gridCol w:w="10166"/>
      </w:tblGrid>
      <w:tr>
        <w:tc>
          <w:tcPr>
            <w:tcW w:type="dxa" w:w="10166"/>
            <w:shd w:fill="FFF7ED"/>
            <w:tcBorders>
              <w:top w:val="single" w:sz="10" w:color="F96D3E"/>
              <w:left w:val="single" w:sz="10" w:color="F96D3E"/>
              <w:bottom w:val="single" w:sz="10" w:color="F96D3E"/>
              <w:right w:val="single" w:sz="10" w:color="F96D3E"/>
            </w:tcBorders>
          </w:tcPr>
          <w:p>
            <w:pPr>
              <w:spacing w:after="40"/>
            </w:pPr>
            <w:r>
              <w:rPr>
                <w:b/>
                <w:color w:val="F96D3E"/>
                <w:sz w:val="22"/>
              </w:rPr>
              <w:t>Architecture decision</w:t>
              <w:br/>
            </w:r>
            <w:r>
              <w:rPr>
                <w:color w:val="1F2937"/>
                <w:sz w:val="19"/>
              </w:rPr>
              <w:t>Refactor the current role-based implementation into one centralized, tenant-aware authorization model. Use RBAC for reusable permission bundles, resource and reporting relationships for scope, product entitlements for tool access, and separate organizational metadata for designation, department and public profile display.</w:t>
            </w:r>
          </w:p>
        </w:tc>
      </w:tr>
    </w:tbl>
    <w:p>
      <w:pPr>
        <w:spacing w:after="0"/>
      </w:pPr>
    </w:p>
    <w:p>
      <w:r>
        <w:t>The current issue is not only that three different concepts are called “role.” The deeper defect is that different modules independently interpret user attributes to decide access. That makes authorization inconsistent, difficult to audit and unsafe to extend for external customers.</w:t>
      </w:r>
    </w:p>
    <w:p>
      <w:r>
        <w:t>The final recommendation is a hybrid model:</w:t>
      </w:r>
    </w:p>
    <w:p>
      <w:pPr>
        <w:pStyle w:val="ListBullet"/>
        <w:spacing w:after="40"/>
      </w:pPr>
      <w:r>
        <w:t>Authentication establishes who the user is.</w:t>
      </w:r>
    </w:p>
    <w:p>
      <w:pPr>
        <w:pStyle w:val="ListBullet"/>
        <w:spacing w:after="40"/>
      </w:pPr>
      <w:r>
        <w:t>Tenant membership establishes which organization the user belongs to.</w:t>
      </w:r>
    </w:p>
    <w:p>
      <w:pPr>
        <w:pStyle w:val="ListBullet"/>
        <w:spacing w:after="40"/>
      </w:pPr>
      <w:r>
        <w:t>Product entitlement establishes whether the tenant and user can enter a product.</w:t>
      </w:r>
    </w:p>
    <w:p>
      <w:pPr>
        <w:pStyle w:val="ListBullet"/>
        <w:spacing w:after="40"/>
      </w:pPr>
      <w:r>
        <w:t>Roles provide reusable permission bundles.</w:t>
      </w:r>
    </w:p>
    <w:p>
      <w:pPr>
        <w:pStyle w:val="ListBullet"/>
        <w:spacing w:after="40"/>
      </w:pPr>
      <w:r>
        <w:t>Permissions define permitted actions.</w:t>
      </w:r>
    </w:p>
    <w:p>
      <w:pPr>
        <w:pStyle w:val="ListBullet"/>
        <w:spacing w:after="40"/>
      </w:pPr>
      <w:r>
        <w:t>Relationship and resource scope determine which records the action may affect.</w:t>
      </w:r>
    </w:p>
    <w:p>
      <w:pPr>
        <w:pStyle w:val="ListBullet"/>
        <w:spacing w:after="40"/>
      </w:pPr>
      <w:r>
        <w:t>Designation, department, public title and author profile remain non-security metadata.</w:t>
      </w:r>
    </w:p>
    <w:p>
      <w:pPr>
        <w:pStyle w:val="ListBullet"/>
        <w:spacing w:after="40"/>
      </w:pPr>
      <w:r>
        <w:t>SOP rollout defines release audience and timing; it must not function as authorization.</w:t>
      </w:r>
    </w:p>
    <w:p>
      <w:pPr>
        <w:pStyle w:val="Heading1"/>
      </w:pPr>
      <w:r>
        <w:t>2. Decisions Confirmed</w:t>
      </w:r>
    </w:p>
    <w:tbl>
      <w:tblPr>
        <w:tblStyle w:val="TableGrid"/>
        <w:tblW w:type="auto" w:w="0"/>
        <w:jc w:val="center"/>
        <w:tblLook w:firstColumn="1" w:firstRow="1" w:lastColumn="0" w:lastRow="0" w:noHBand="0" w:noVBand="1" w:val="04A0"/>
      </w:tblPr>
      <w:tblGrid>
        <w:gridCol w:w="5083"/>
        <w:gridCol w:w="5083"/>
      </w:tblGrid>
      <w:tr>
        <w:tc>
          <w:tcPr>
            <w:tcW w:type="dxa" w:w="3024"/>
            <w:shd w:fill="1F3A6E"/>
            <w:vAlign w:val="center"/>
          </w:tcPr>
          <w:p>
            <w:pPr>
              <w:spacing w:after="0"/>
            </w:pPr>
            <w:r/>
            <w:r>
              <w:rPr>
                <w:rFonts w:ascii="Aptos" w:hAnsi="Aptos"/>
                <w:b/>
                <w:color w:val="FFFFFF"/>
                <w:sz w:val="17"/>
              </w:rPr>
              <w:t>Decision area</w:t>
            </w:r>
          </w:p>
        </w:tc>
        <w:tc>
          <w:tcPr>
            <w:tcW w:type="dxa" w:w="7056"/>
            <w:shd w:fill="1F3A6E"/>
            <w:vAlign w:val="center"/>
          </w:tcPr>
          <w:p>
            <w:pPr>
              <w:spacing w:after="0"/>
            </w:pPr>
            <w:r/>
            <w:r>
              <w:rPr>
                <w:rFonts w:ascii="Aptos" w:hAnsi="Aptos"/>
                <w:b/>
                <w:color w:val="FFFFFF"/>
                <w:sz w:val="17"/>
              </w:rPr>
              <w:t>Final decision</w:t>
            </w:r>
          </w:p>
        </w:tc>
      </w:tr>
      <w:tr>
        <w:tc>
          <w:tcPr>
            <w:tcW w:type="dxa" w:w="3024"/>
            <w:vAlign w:val="center"/>
          </w:tcPr>
          <w:p>
            <w:pPr>
              <w:spacing w:after="0"/>
            </w:pPr>
            <w:r/>
            <w:r>
              <w:rPr>
                <w:rFonts w:ascii="Aptos" w:hAnsi="Aptos"/>
                <w:b w:val="0"/>
                <w:color w:val="1F2937"/>
                <w:sz w:val="16"/>
              </w:rPr>
              <w:t>Multiple responsibilities</w:t>
            </w:r>
          </w:p>
        </w:tc>
        <w:tc>
          <w:tcPr>
            <w:tcW w:type="dxa" w:w="7056"/>
            <w:vAlign w:val="center"/>
          </w:tcPr>
          <w:p>
            <w:pPr>
              <w:spacing w:after="0"/>
            </w:pPr>
            <w:r/>
            <w:r>
              <w:rPr>
                <w:rFonts w:ascii="Aptos" w:hAnsi="Aptos"/>
                <w:b w:val="0"/>
                <w:color w:val="1F2937"/>
                <w:sz w:val="16"/>
              </w:rPr>
              <w:t>A user may hold several roles/functions simultaneously.</w:t>
            </w:r>
          </w:p>
        </w:tc>
      </w:tr>
      <w:tr>
        <w:tc>
          <w:tcPr>
            <w:tcW w:type="dxa" w:w="3024"/>
            <w:vAlign w:val="center"/>
            <w:shd w:fill="F9FAFB"/>
          </w:tcPr>
          <w:p>
            <w:pPr>
              <w:spacing w:after="0"/>
            </w:pPr>
            <w:r/>
            <w:r>
              <w:rPr>
                <w:rFonts w:ascii="Aptos" w:hAnsi="Aptos"/>
                <w:b w:val="0"/>
                <w:color w:val="1F2937"/>
                <w:sz w:val="16"/>
              </w:rPr>
              <w:t>Manager visibility</w:t>
            </w:r>
          </w:p>
        </w:tc>
        <w:tc>
          <w:tcPr>
            <w:tcW w:type="dxa" w:w="7056"/>
            <w:vAlign w:val="center"/>
            <w:shd w:fill="F9FAFB"/>
          </w:tcPr>
          <w:p>
            <w:pPr>
              <w:spacing w:after="0"/>
            </w:pPr>
            <w:r/>
            <w:r>
              <w:rPr>
                <w:rFonts w:ascii="Aptos" w:hAnsi="Aptos"/>
                <w:b w:val="0"/>
                <w:color w:val="1F2937"/>
                <w:sz w:val="16"/>
              </w:rPr>
              <w:t>Managers may access direct reports only, unless a separate broader permission is explicitly granted.</w:t>
            </w:r>
          </w:p>
        </w:tc>
      </w:tr>
      <w:tr>
        <w:tc>
          <w:tcPr>
            <w:tcW w:type="dxa" w:w="3024"/>
            <w:vAlign w:val="center"/>
          </w:tcPr>
          <w:p>
            <w:pPr>
              <w:spacing w:after="0"/>
            </w:pPr>
            <w:r/>
            <w:r>
              <w:rPr>
                <w:rFonts w:ascii="Aptos" w:hAnsi="Aptos"/>
                <w:b w:val="0"/>
                <w:color w:val="1F2937"/>
                <w:sz w:val="16"/>
              </w:rPr>
              <w:t>Administrator SOP responsibility</w:t>
            </w:r>
          </w:p>
        </w:tc>
        <w:tc>
          <w:tcPr>
            <w:tcW w:type="dxa" w:w="7056"/>
            <w:vAlign w:val="center"/>
          </w:tcPr>
          <w:p>
            <w:pPr>
              <w:spacing w:after="0"/>
            </w:pPr>
            <w:r/>
            <w:r>
              <w:rPr>
                <w:rFonts w:ascii="Aptos" w:hAnsi="Aptos"/>
                <w:b w:val="0"/>
                <w:color w:val="1F2937"/>
                <w:sz w:val="16"/>
              </w:rPr>
              <w:t>Administrators manage, assign, monitor and enforce SOPs; they do not inherit all SOPs as personal assignments.</w:t>
            </w:r>
          </w:p>
        </w:tc>
      </w:tr>
      <w:tr>
        <w:tc>
          <w:tcPr>
            <w:tcW w:type="dxa" w:w="3024"/>
            <w:vAlign w:val="center"/>
            <w:shd w:fill="F9FAFB"/>
          </w:tcPr>
          <w:p>
            <w:pPr>
              <w:spacing w:after="0"/>
            </w:pPr>
            <w:r/>
            <w:r>
              <w:rPr>
                <w:rFonts w:ascii="Aptos" w:hAnsi="Aptos"/>
                <w:b w:val="0"/>
                <w:color w:val="1F2937"/>
                <w:sz w:val="16"/>
              </w:rPr>
              <w:t>Operations</w:t>
            </w:r>
          </w:p>
        </w:tc>
        <w:tc>
          <w:tcPr>
            <w:tcW w:type="dxa" w:w="7056"/>
            <w:vAlign w:val="center"/>
            <w:shd w:fill="F9FAFB"/>
          </w:tcPr>
          <w:p>
            <w:pPr>
              <w:spacing w:after="0"/>
            </w:pPr>
            <w:r/>
            <w:r>
              <w:rPr>
                <w:rFonts w:ascii="Aptos" w:hAnsi="Aptos"/>
                <w:b w:val="0"/>
                <w:color w:val="1F2937"/>
                <w:sz w:val="16"/>
              </w:rPr>
              <w:t>Operations is a department/business function, not equivalent to Admin.</w:t>
            </w:r>
          </w:p>
        </w:tc>
      </w:tr>
      <w:tr>
        <w:tc>
          <w:tcPr>
            <w:tcW w:type="dxa" w:w="3024"/>
            <w:vAlign w:val="center"/>
          </w:tcPr>
          <w:p>
            <w:pPr>
              <w:spacing w:after="0"/>
            </w:pPr>
            <w:r/>
            <w:r>
              <w:rPr>
                <w:rFonts w:ascii="Aptos" w:hAnsi="Aptos"/>
                <w:b w:val="0"/>
                <w:color w:val="1F2937"/>
                <w:sz w:val="16"/>
              </w:rPr>
              <w:t>Account Manager</w:t>
            </w:r>
          </w:p>
        </w:tc>
        <w:tc>
          <w:tcPr>
            <w:tcW w:type="dxa" w:w="7056"/>
            <w:vAlign w:val="center"/>
          </w:tcPr>
          <w:p>
            <w:pPr>
              <w:spacing w:after="0"/>
            </w:pPr>
            <w:r/>
            <w:r>
              <w:rPr>
                <w:rFonts w:ascii="Aptos" w:hAnsi="Aptos"/>
                <w:b w:val="0"/>
                <w:color w:val="1F2937"/>
                <w:sz w:val="16"/>
              </w:rPr>
              <w:t>Primarily a position/function; management access applies only when the person has direct reports.</w:t>
            </w:r>
          </w:p>
        </w:tc>
      </w:tr>
      <w:tr>
        <w:tc>
          <w:tcPr>
            <w:tcW w:type="dxa" w:w="3024"/>
            <w:vAlign w:val="center"/>
            <w:shd w:fill="F9FAFB"/>
          </w:tcPr>
          <w:p>
            <w:pPr>
              <w:spacing w:after="0"/>
            </w:pPr>
            <w:r/>
            <w:r>
              <w:rPr>
                <w:rFonts w:ascii="Aptos" w:hAnsi="Aptos"/>
                <w:b w:val="0"/>
                <w:color w:val="1F2937"/>
                <w:sz w:val="16"/>
              </w:rPr>
              <w:t>Guest author/reviewer</w:t>
            </w:r>
          </w:p>
        </w:tc>
        <w:tc>
          <w:tcPr>
            <w:tcW w:type="dxa" w:w="7056"/>
            <w:vAlign w:val="center"/>
            <w:shd w:fill="F9FAFB"/>
          </w:tcPr>
          <w:p>
            <w:pPr>
              <w:spacing w:after="0"/>
            </w:pPr>
            <w:r/>
            <w:r>
              <w:rPr>
                <w:rFonts w:ascii="Aptos" w:hAnsi="Aptos"/>
                <w:b w:val="0"/>
                <w:color w:val="1F2937"/>
                <w:sz w:val="16"/>
              </w:rPr>
              <w:t>External guest access is article-specific, time-bound and limited to view/comment unless explicitly expanded.</w:t>
            </w:r>
          </w:p>
        </w:tc>
      </w:tr>
      <w:tr>
        <w:tc>
          <w:tcPr>
            <w:tcW w:type="dxa" w:w="3024"/>
            <w:vAlign w:val="center"/>
          </w:tcPr>
          <w:p>
            <w:pPr>
              <w:spacing w:after="0"/>
            </w:pPr>
            <w:r/>
            <w:r>
              <w:rPr>
                <w:rFonts w:ascii="Aptos" w:hAnsi="Aptos"/>
                <w:b w:val="0"/>
                <w:color w:val="1F2937"/>
                <w:sz w:val="16"/>
              </w:rPr>
              <w:t>Tool access</w:t>
            </w:r>
          </w:p>
        </w:tc>
        <w:tc>
          <w:tcPr>
            <w:tcW w:type="dxa" w:w="7056"/>
            <w:vAlign w:val="center"/>
          </w:tcPr>
          <w:p>
            <w:pPr>
              <w:spacing w:after="0"/>
            </w:pPr>
            <w:r/>
            <w:r>
              <w:rPr>
                <w:rFonts w:ascii="Aptos" w:hAnsi="Aptos"/>
                <w:b w:val="0"/>
                <w:color w:val="1F2937"/>
                <w:sz w:val="16"/>
              </w:rPr>
              <w:t>Content Studio, BD Tool, CEIPAL and future products are independently assignable.</w:t>
            </w:r>
          </w:p>
        </w:tc>
      </w:tr>
      <w:tr>
        <w:tc>
          <w:tcPr>
            <w:tcW w:type="dxa" w:w="3024"/>
            <w:vAlign w:val="center"/>
            <w:shd w:fill="F9FAFB"/>
          </w:tcPr>
          <w:p>
            <w:pPr>
              <w:spacing w:after="0"/>
            </w:pPr>
            <w:r/>
            <w:r>
              <w:rPr>
                <w:rFonts w:ascii="Aptos" w:hAnsi="Aptos"/>
                <w:b w:val="0"/>
                <w:color w:val="1F2937"/>
                <w:sz w:val="16"/>
              </w:rPr>
              <w:t>Current exceptions</w:t>
            </w:r>
          </w:p>
        </w:tc>
        <w:tc>
          <w:tcPr>
            <w:tcW w:type="dxa" w:w="7056"/>
            <w:vAlign w:val="center"/>
            <w:shd w:fill="F9FAFB"/>
          </w:tcPr>
          <w:p>
            <w:pPr>
              <w:spacing w:after="0"/>
            </w:pPr>
            <w:r/>
            <w:r>
              <w:rPr>
                <w:rFonts w:ascii="Aptos" w:hAnsi="Aptos"/>
                <w:b w:val="0"/>
                <w:color w:val="1F2937"/>
                <w:sz w:val="16"/>
              </w:rPr>
              <w:t>No known user-specific exceptions; future exceptions must be approved, scoped and expiring.</w:t>
            </w:r>
          </w:p>
        </w:tc>
      </w:tr>
    </w:tbl>
    <w:p>
      <w:pPr>
        <w:spacing w:after="0"/>
      </w:pPr>
    </w:p>
    <w:p>
      <w:pPr>
        <w:pStyle w:val="Heading1"/>
      </w:pPr>
      <w:r>
        <w:t>3. Current-State Root Causes</w:t>
      </w:r>
    </w:p>
    <w:p>
      <w:pPr>
        <w:pStyle w:val="Heading2"/>
      </w:pPr>
      <w:r>
        <w:t>3.1 Conflicting identity concepts</w:t>
      </w:r>
    </w:p>
    <w:tbl>
      <w:tblPr>
        <w:tblStyle w:val="TableGrid"/>
        <w:tblW w:type="auto" w:w="0"/>
        <w:jc w:val="center"/>
        <w:tblLook w:firstColumn="1" w:firstRow="1" w:lastColumn="0" w:lastRow="0" w:noHBand="0" w:noVBand="1" w:val="04A0"/>
      </w:tblPr>
      <w:tblGrid>
        <w:gridCol w:w="3389"/>
        <w:gridCol w:w="3389"/>
        <w:gridCol w:w="3389"/>
      </w:tblGrid>
      <w:tr>
        <w:tc>
          <w:tcPr>
            <w:tcW w:type="dxa" w:w="2016"/>
            <w:shd w:fill="1F3A6E"/>
            <w:vAlign w:val="center"/>
          </w:tcPr>
          <w:p>
            <w:pPr>
              <w:spacing w:after="0"/>
            </w:pPr>
            <w:r/>
            <w:r>
              <w:rPr>
                <w:rFonts w:ascii="Aptos" w:hAnsi="Aptos"/>
                <w:b/>
                <w:color w:val="FFFFFF"/>
                <w:sz w:val="17"/>
              </w:rPr>
              <w:t>Concept</w:t>
            </w:r>
          </w:p>
        </w:tc>
        <w:tc>
          <w:tcPr>
            <w:tcW w:type="dxa" w:w="3312"/>
            <w:shd w:fill="1F3A6E"/>
            <w:vAlign w:val="center"/>
          </w:tcPr>
          <w:p>
            <w:pPr>
              <w:spacing w:after="0"/>
            </w:pPr>
            <w:r/>
            <w:r>
              <w:rPr>
                <w:rFonts w:ascii="Aptos" w:hAnsi="Aptos"/>
                <w:b/>
                <w:color w:val="FFFFFF"/>
                <w:sz w:val="17"/>
              </w:rPr>
              <w:t>Current example</w:t>
            </w:r>
          </w:p>
        </w:tc>
        <w:tc>
          <w:tcPr>
            <w:tcW w:type="dxa" w:w="4752"/>
            <w:shd w:fill="1F3A6E"/>
            <w:vAlign w:val="center"/>
          </w:tcPr>
          <w:p>
            <w:pPr>
              <w:spacing w:after="0"/>
            </w:pPr>
            <w:r/>
            <w:r>
              <w:rPr>
                <w:rFonts w:ascii="Aptos" w:hAnsi="Aptos"/>
                <w:b/>
                <w:color w:val="FFFFFF"/>
                <w:sz w:val="17"/>
              </w:rPr>
              <w:t>Correct purpose</w:t>
            </w:r>
          </w:p>
        </w:tc>
      </w:tr>
      <w:tr>
        <w:tc>
          <w:tcPr>
            <w:tcW w:type="dxa" w:w="2016"/>
            <w:vAlign w:val="center"/>
          </w:tcPr>
          <w:p>
            <w:pPr>
              <w:spacing w:after="0"/>
            </w:pPr>
            <w:r/>
            <w:r>
              <w:rPr>
                <w:rFonts w:ascii="Aptos" w:hAnsi="Aptos"/>
                <w:b w:val="0"/>
                <w:color w:val="1F2937"/>
                <w:sz w:val="16"/>
              </w:rPr>
              <w:t>System role</w:t>
            </w:r>
          </w:p>
        </w:tc>
        <w:tc>
          <w:tcPr>
            <w:tcW w:type="dxa" w:w="3312"/>
            <w:vAlign w:val="center"/>
          </w:tcPr>
          <w:p>
            <w:pPr>
              <w:spacing w:after="0"/>
            </w:pPr>
            <w:r/>
            <w:r>
              <w:rPr>
                <w:rFonts w:ascii="Aptos" w:hAnsi="Aptos"/>
                <w:b w:val="0"/>
                <w:color w:val="1F2937"/>
                <w:sz w:val="16"/>
              </w:rPr>
              <w:t>admin_users.role</w:t>
            </w:r>
          </w:p>
        </w:tc>
        <w:tc>
          <w:tcPr>
            <w:tcW w:type="dxa" w:w="4752"/>
            <w:vAlign w:val="center"/>
          </w:tcPr>
          <w:p>
            <w:pPr>
              <w:spacing w:after="0"/>
            </w:pPr>
            <w:r/>
            <w:r>
              <w:rPr>
                <w:rFonts w:ascii="Aptos" w:hAnsi="Aptos"/>
                <w:b w:val="0"/>
                <w:color w:val="1F2937"/>
                <w:sz w:val="16"/>
              </w:rPr>
              <w:t>Legacy access grouping only; replace with normalized roles and permissions.</w:t>
            </w:r>
          </w:p>
        </w:tc>
      </w:tr>
      <w:tr>
        <w:tc>
          <w:tcPr>
            <w:tcW w:type="dxa" w:w="2016"/>
            <w:vAlign w:val="center"/>
            <w:shd w:fill="F9FAFB"/>
          </w:tcPr>
          <w:p>
            <w:pPr>
              <w:spacing w:after="0"/>
            </w:pPr>
            <w:r/>
            <w:r>
              <w:rPr>
                <w:rFonts w:ascii="Aptos" w:hAnsi="Aptos"/>
                <w:b w:val="0"/>
                <w:color w:val="1F2937"/>
                <w:sz w:val="16"/>
              </w:rPr>
              <w:t>Designation</w:t>
            </w:r>
          </w:p>
        </w:tc>
        <w:tc>
          <w:tcPr>
            <w:tcW w:type="dxa" w:w="3312"/>
            <w:vAlign w:val="center"/>
            <w:shd w:fill="F9FAFB"/>
          </w:tcPr>
          <w:p>
            <w:pPr>
              <w:spacing w:after="0"/>
            </w:pPr>
            <w:r/>
            <w:r>
              <w:rPr>
                <w:rFonts w:ascii="Aptos" w:hAnsi="Aptos"/>
                <w:b w:val="0"/>
                <w:color w:val="1F2937"/>
                <w:sz w:val="16"/>
              </w:rPr>
              <w:t>Senior Healthcare Recruiter</w:t>
            </w:r>
          </w:p>
        </w:tc>
        <w:tc>
          <w:tcPr>
            <w:tcW w:type="dxa" w:w="4752"/>
            <w:vAlign w:val="center"/>
            <w:shd w:fill="F9FAFB"/>
          </w:tcPr>
          <w:p>
            <w:pPr>
              <w:spacing w:after="0"/>
            </w:pPr>
            <w:r/>
            <w:r>
              <w:rPr>
                <w:rFonts w:ascii="Aptos" w:hAnsi="Aptos"/>
                <w:b w:val="0"/>
                <w:color w:val="1F2937"/>
                <w:sz w:val="16"/>
              </w:rPr>
              <w:t>Employment and display metadata.</w:t>
            </w:r>
          </w:p>
        </w:tc>
      </w:tr>
      <w:tr>
        <w:tc>
          <w:tcPr>
            <w:tcW w:type="dxa" w:w="2016"/>
            <w:vAlign w:val="center"/>
          </w:tcPr>
          <w:p>
            <w:pPr>
              <w:spacing w:after="0"/>
            </w:pPr>
            <w:r/>
            <w:r>
              <w:rPr>
                <w:rFonts w:ascii="Aptos" w:hAnsi="Aptos"/>
                <w:b w:val="0"/>
                <w:color w:val="1F2937"/>
                <w:sz w:val="16"/>
              </w:rPr>
              <w:t>Department</w:t>
            </w:r>
          </w:p>
        </w:tc>
        <w:tc>
          <w:tcPr>
            <w:tcW w:type="dxa" w:w="3312"/>
            <w:vAlign w:val="center"/>
          </w:tcPr>
          <w:p>
            <w:pPr>
              <w:spacing w:after="0"/>
            </w:pPr>
            <w:r/>
            <w:r>
              <w:rPr>
                <w:rFonts w:ascii="Aptos" w:hAnsi="Aptos"/>
                <w:b w:val="0"/>
                <w:color w:val="1F2937"/>
                <w:sz w:val="16"/>
              </w:rPr>
              <w:t>Operations</w:t>
            </w:r>
          </w:p>
        </w:tc>
        <w:tc>
          <w:tcPr>
            <w:tcW w:type="dxa" w:w="4752"/>
            <w:vAlign w:val="center"/>
          </w:tcPr>
          <w:p>
            <w:pPr>
              <w:spacing w:after="0"/>
            </w:pPr>
            <w:r/>
            <w:r>
              <w:rPr>
                <w:rFonts w:ascii="Aptos" w:hAnsi="Aptos"/>
                <w:b w:val="0"/>
                <w:color w:val="1F2937"/>
                <w:sz w:val="16"/>
              </w:rPr>
              <w:t>Organizational reporting and workflow grouping.</w:t>
            </w:r>
          </w:p>
        </w:tc>
      </w:tr>
      <w:tr>
        <w:tc>
          <w:tcPr>
            <w:tcW w:type="dxa" w:w="2016"/>
            <w:vAlign w:val="center"/>
            <w:shd w:fill="F9FAFB"/>
          </w:tcPr>
          <w:p>
            <w:pPr>
              <w:spacing w:after="0"/>
            </w:pPr>
            <w:r/>
            <w:r>
              <w:rPr>
                <w:rFonts w:ascii="Aptos" w:hAnsi="Aptos"/>
                <w:b w:val="0"/>
                <w:color w:val="1F2937"/>
                <w:sz w:val="16"/>
              </w:rPr>
              <w:t>Business function slug</w:t>
            </w:r>
          </w:p>
        </w:tc>
        <w:tc>
          <w:tcPr>
            <w:tcW w:type="dxa" w:w="3312"/>
            <w:vAlign w:val="center"/>
            <w:shd w:fill="F9FAFB"/>
          </w:tcPr>
          <w:p>
            <w:pPr>
              <w:spacing w:after="0"/>
            </w:pPr>
            <w:r/>
            <w:r>
              <w:rPr>
                <w:rFonts w:ascii="Aptos" w:hAnsi="Aptos"/>
                <w:b w:val="0"/>
                <w:color w:val="1F2937"/>
                <w:sz w:val="16"/>
              </w:rPr>
              <w:t>account_manager</w:t>
            </w:r>
          </w:p>
        </w:tc>
        <w:tc>
          <w:tcPr>
            <w:tcW w:type="dxa" w:w="4752"/>
            <w:vAlign w:val="center"/>
            <w:shd w:fill="F9FAFB"/>
          </w:tcPr>
          <w:p>
            <w:pPr>
              <w:spacing w:after="0"/>
            </w:pPr>
            <w:r/>
            <w:r>
              <w:rPr>
                <w:rFonts w:ascii="Aptos" w:hAnsi="Aptos"/>
                <w:b w:val="0"/>
                <w:color w:val="1F2937"/>
                <w:sz w:val="16"/>
              </w:rPr>
              <w:t>Template, goal, training and workflow routing.</w:t>
            </w:r>
          </w:p>
        </w:tc>
      </w:tr>
      <w:tr>
        <w:tc>
          <w:tcPr>
            <w:tcW w:type="dxa" w:w="2016"/>
            <w:vAlign w:val="center"/>
          </w:tcPr>
          <w:p>
            <w:pPr>
              <w:spacing w:after="0"/>
            </w:pPr>
            <w:r/>
            <w:r>
              <w:rPr>
                <w:rFonts w:ascii="Aptos" w:hAnsi="Aptos"/>
                <w:b w:val="0"/>
                <w:color w:val="1F2937"/>
                <w:sz w:val="16"/>
              </w:rPr>
              <w:t>Author profile</w:t>
            </w:r>
          </w:p>
        </w:tc>
        <w:tc>
          <w:tcPr>
            <w:tcW w:type="dxa" w:w="3312"/>
            <w:vAlign w:val="center"/>
          </w:tcPr>
          <w:p>
            <w:pPr>
              <w:spacing w:after="0"/>
            </w:pPr>
            <w:r/>
            <w:r>
              <w:rPr>
                <w:rFonts w:ascii="Aptos" w:hAnsi="Aptos"/>
                <w:b w:val="0"/>
                <w:color w:val="1F2937"/>
                <w:sz w:val="16"/>
              </w:rPr>
              <w:t>Public title and biography</w:t>
            </w:r>
          </w:p>
        </w:tc>
        <w:tc>
          <w:tcPr>
            <w:tcW w:type="dxa" w:w="4752"/>
            <w:vAlign w:val="center"/>
          </w:tcPr>
          <w:p>
            <w:pPr>
              <w:spacing w:after="0"/>
            </w:pPr>
            <w:r/>
            <w:r>
              <w:rPr>
                <w:rFonts w:ascii="Aptos" w:hAnsi="Aptos"/>
                <w:b w:val="0"/>
                <w:color w:val="1F2937"/>
                <w:sz w:val="16"/>
              </w:rPr>
              <w:t>Public presentation only.</w:t>
            </w:r>
          </w:p>
        </w:tc>
      </w:tr>
      <w:tr>
        <w:tc>
          <w:tcPr>
            <w:tcW w:type="dxa" w:w="2016"/>
            <w:vAlign w:val="center"/>
            <w:shd w:fill="F9FAFB"/>
          </w:tcPr>
          <w:p>
            <w:pPr>
              <w:spacing w:after="0"/>
            </w:pPr>
            <w:r/>
            <w:r>
              <w:rPr>
                <w:rFonts w:ascii="Aptos" w:hAnsi="Aptos"/>
                <w:b w:val="0"/>
                <w:color w:val="1F2937"/>
                <w:sz w:val="16"/>
              </w:rPr>
              <w:t>Product access</w:t>
            </w:r>
          </w:p>
        </w:tc>
        <w:tc>
          <w:tcPr>
            <w:tcW w:type="dxa" w:w="3312"/>
            <w:vAlign w:val="center"/>
            <w:shd w:fill="F9FAFB"/>
          </w:tcPr>
          <w:p>
            <w:pPr>
              <w:spacing w:after="0"/>
            </w:pPr>
            <w:r/>
            <w:r>
              <w:rPr>
                <w:rFonts w:ascii="Aptos" w:hAnsi="Aptos"/>
                <w:b w:val="0"/>
                <w:color w:val="1F2937"/>
                <w:sz w:val="16"/>
              </w:rPr>
              <w:t>Hardcoded role arrays or booleans</w:t>
            </w:r>
          </w:p>
        </w:tc>
        <w:tc>
          <w:tcPr>
            <w:tcW w:type="dxa" w:w="4752"/>
            <w:vAlign w:val="center"/>
            <w:shd w:fill="F9FAFB"/>
          </w:tcPr>
          <w:p>
            <w:pPr>
              <w:spacing w:after="0"/>
            </w:pPr>
            <w:r/>
            <w:r>
              <w:rPr>
                <w:rFonts w:ascii="Aptos" w:hAnsi="Aptos"/>
                <w:b w:val="0"/>
                <w:color w:val="1F2937"/>
                <w:sz w:val="16"/>
              </w:rPr>
              <w:t>Tenant/user entitlement plus permissions.</w:t>
            </w:r>
          </w:p>
        </w:tc>
      </w:tr>
    </w:tbl>
    <w:p>
      <w:pPr>
        <w:spacing w:after="0"/>
      </w:pPr>
    </w:p>
    <w:p>
      <w:pPr>
        <w:pStyle w:val="Heading2"/>
      </w:pPr>
      <w:r>
        <w:t>3.2 Ghost-role and hardcoded-array failures</w:t>
      </w:r>
    </w:p>
    <w:p>
      <w:r>
        <w:t>Values such as account_manager appear in live access checks even when the database enum cannot store them. This creates unreachable code, false confidence and inconsistent behavior. Similar hardcoded arrays will continue to fail whenever a new title or responsibility is introduced.</w:t>
      </w:r>
    </w:p>
    <w:p>
      <w:pPr>
        <w:pStyle w:val="Heading2"/>
      </w:pPr>
      <w:r>
        <w:t>3.3 SOP assignment and progress are incorrectly coupled</w:t>
      </w:r>
    </w:p>
    <w:p>
      <w:r>
        <w:t>A user currently disappears from assignment views when no progress row exists. Assignment must exist before progress. Progress should begin only when the assigned user opens or starts the SOP.</w:t>
      </w:r>
    </w:p>
    <w:p>
      <w:pPr>
        <w:pStyle w:val="Heading2"/>
      </w:pPr>
      <w:r>
        <w:t>3.4 Rollout is overloaded</w:t>
      </w:r>
    </w:p>
    <w:p>
      <w:r>
        <w:t>The current pilot configuration behaves as a feature flag, authorization gate, assignment filter and release rule. These responsibilities must be separated to make the system predictable and saleable.</w:t>
      </w:r>
    </w:p>
    <w:p>
      <w:pPr>
        <w:pStyle w:val="Heading2"/>
      </w:pPr>
      <w:r>
        <w:t>3.5 Operations carries excessive privilege risk</w:t>
      </w:r>
    </w:p>
    <w:tbl>
      <w:tblPr>
        <w:tblW w:type="auto" w:w="0"/>
        <w:jc w:val="center"/>
        <w:tblLook w:firstColumn="1" w:firstRow="1" w:lastColumn="0" w:lastRow="0" w:noHBand="0" w:noVBand="1" w:val="04A0"/>
      </w:tblPr>
      <w:tblGrid>
        <w:gridCol w:w="10166"/>
      </w:tblGrid>
      <w:tr>
        <w:tc>
          <w:tcPr>
            <w:tcW w:type="dxa" w:w="10166"/>
            <w:shd w:fill="FEF2F2"/>
            <w:tcBorders>
              <w:top w:val="single" w:sz="10" w:color="991B1B"/>
              <w:left w:val="single" w:sz="10" w:color="991B1B"/>
              <w:bottom w:val="single" w:sz="10" w:color="991B1B"/>
              <w:right w:val="single" w:sz="10" w:color="991B1B"/>
            </w:tcBorders>
          </w:tcPr>
          <w:p>
            <w:pPr>
              <w:spacing w:after="40"/>
            </w:pPr>
            <w:r>
              <w:rPr>
                <w:b/>
                <w:color w:val="991B1B"/>
                <w:sz w:val="22"/>
              </w:rPr>
              <w:t>Do not map Operations to Admin</w:t>
              <w:br/>
            </w:r>
            <w:r>
              <w:rPr>
                <w:color w:val="1F2937"/>
                <w:sz w:val="19"/>
              </w:rPr>
              <w:t>Operations describes a department or job family. Admin is privileged security authority. Equating them violates least privilege and unnecessarily expands the blast radius of account compromise or human error.</w:t>
            </w:r>
          </w:p>
        </w:tc>
      </w:tr>
    </w:tbl>
    <w:p>
      <w:pPr>
        <w:spacing w:after="0"/>
      </w:pPr>
    </w:p>
    <w:p>
      <w:pPr>
        <w:pStyle w:val="Heading1"/>
      </w:pPr>
      <w:r>
        <w:t>4. Target Access-Control Architecture</w:t>
      </w:r>
    </w:p>
    <w:p>
      <w:r>
        <w:t>Use one in-application authorization service inside the existing Replit monolith. A separate microservice is not required. Every protected API route calls the same policy decision layer.</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1F3A6E"/>
            <w:vAlign w:val="center"/>
          </w:tcPr>
          <w:p>
            <w:pPr>
              <w:spacing w:after="0"/>
            </w:pPr>
            <w:r/>
            <w:r>
              <w:rPr>
                <w:rFonts w:ascii="Aptos" w:hAnsi="Aptos"/>
                <w:b/>
                <w:color w:val="FFFFFF"/>
                <w:sz w:val="17"/>
              </w:rPr>
              <w:t>Layer</w:t>
            </w:r>
          </w:p>
        </w:tc>
        <w:tc>
          <w:tcPr>
            <w:tcW w:type="dxa" w:w="3384"/>
            <w:shd w:fill="1F3A6E"/>
            <w:vAlign w:val="center"/>
          </w:tcPr>
          <w:p>
            <w:pPr>
              <w:spacing w:after="0"/>
            </w:pPr>
            <w:r/>
            <w:r>
              <w:rPr>
                <w:rFonts w:ascii="Aptos" w:hAnsi="Aptos"/>
                <w:b/>
                <w:color w:val="FFFFFF"/>
                <w:sz w:val="17"/>
              </w:rPr>
              <w:t>Question answered</w:t>
            </w:r>
          </w:p>
        </w:tc>
        <w:tc>
          <w:tcPr>
            <w:tcW w:type="dxa" w:w="4752"/>
            <w:shd w:fill="1F3A6E"/>
            <w:vAlign w:val="center"/>
          </w:tcPr>
          <w:p>
            <w:pPr>
              <w:spacing w:after="0"/>
            </w:pPr>
            <w:r/>
            <w:r>
              <w:rPr>
                <w:rFonts w:ascii="Aptos" w:hAnsi="Aptos"/>
                <w:b/>
                <w:color w:val="FFFFFF"/>
                <w:sz w:val="17"/>
              </w:rPr>
              <w:t>Primary records</w:t>
            </w:r>
          </w:p>
        </w:tc>
      </w:tr>
      <w:tr>
        <w:tc>
          <w:tcPr>
            <w:tcW w:type="dxa" w:w="2088"/>
            <w:vAlign w:val="center"/>
          </w:tcPr>
          <w:p>
            <w:pPr>
              <w:spacing w:after="0"/>
            </w:pPr>
            <w:r/>
            <w:r>
              <w:rPr>
                <w:rFonts w:ascii="Aptos" w:hAnsi="Aptos"/>
                <w:b w:val="0"/>
                <w:color w:val="1F2937"/>
                <w:sz w:val="16"/>
              </w:rPr>
              <w:t>Authentication</w:t>
            </w:r>
          </w:p>
        </w:tc>
        <w:tc>
          <w:tcPr>
            <w:tcW w:type="dxa" w:w="3384"/>
            <w:vAlign w:val="center"/>
          </w:tcPr>
          <w:p>
            <w:pPr>
              <w:spacing w:after="0"/>
            </w:pPr>
            <w:r/>
            <w:r>
              <w:rPr>
                <w:rFonts w:ascii="Aptos" w:hAnsi="Aptos"/>
                <w:b w:val="0"/>
                <w:color w:val="1F2937"/>
                <w:sz w:val="16"/>
              </w:rPr>
              <w:t>Who is the user?</w:t>
            </w:r>
          </w:p>
        </w:tc>
        <w:tc>
          <w:tcPr>
            <w:tcW w:type="dxa" w:w="4752"/>
            <w:vAlign w:val="center"/>
          </w:tcPr>
          <w:p>
            <w:pPr>
              <w:spacing w:after="0"/>
            </w:pPr>
            <w:r/>
            <w:r>
              <w:rPr>
                <w:rFonts w:ascii="Aptos" w:hAnsi="Aptos"/>
                <w:b w:val="0"/>
                <w:color w:val="1F2937"/>
                <w:sz w:val="16"/>
              </w:rPr>
              <w:t>users, sessions, authenticators, MFA recovery</w:t>
            </w:r>
          </w:p>
        </w:tc>
      </w:tr>
      <w:tr>
        <w:tc>
          <w:tcPr>
            <w:tcW w:type="dxa" w:w="2088"/>
            <w:vAlign w:val="center"/>
            <w:shd w:fill="F9FAFB"/>
          </w:tcPr>
          <w:p>
            <w:pPr>
              <w:spacing w:after="0"/>
            </w:pPr>
            <w:r/>
            <w:r>
              <w:rPr>
                <w:rFonts w:ascii="Aptos" w:hAnsi="Aptos"/>
                <w:b w:val="0"/>
                <w:color w:val="1F2937"/>
                <w:sz w:val="16"/>
              </w:rPr>
              <w:t>Tenant membership</w:t>
            </w:r>
          </w:p>
        </w:tc>
        <w:tc>
          <w:tcPr>
            <w:tcW w:type="dxa" w:w="3384"/>
            <w:vAlign w:val="center"/>
            <w:shd w:fill="F9FAFB"/>
          </w:tcPr>
          <w:p>
            <w:pPr>
              <w:spacing w:after="0"/>
            </w:pPr>
            <w:r/>
            <w:r>
              <w:rPr>
                <w:rFonts w:ascii="Aptos" w:hAnsi="Aptos"/>
                <w:b w:val="0"/>
                <w:color w:val="1F2937"/>
                <w:sz w:val="16"/>
              </w:rPr>
              <w:t>Which customer organization is active?</w:t>
            </w:r>
          </w:p>
        </w:tc>
        <w:tc>
          <w:tcPr>
            <w:tcW w:type="dxa" w:w="4752"/>
            <w:vAlign w:val="center"/>
            <w:shd w:fill="F9FAFB"/>
          </w:tcPr>
          <w:p>
            <w:pPr>
              <w:spacing w:after="0"/>
            </w:pPr>
            <w:r/>
            <w:r>
              <w:rPr>
                <w:rFonts w:ascii="Aptos" w:hAnsi="Aptos"/>
                <w:b w:val="0"/>
                <w:color w:val="1F2937"/>
                <w:sz w:val="16"/>
              </w:rPr>
              <w:t>tenants, tenant_memberships</w:t>
            </w:r>
          </w:p>
        </w:tc>
      </w:tr>
      <w:tr>
        <w:tc>
          <w:tcPr>
            <w:tcW w:type="dxa" w:w="2088"/>
            <w:vAlign w:val="center"/>
          </w:tcPr>
          <w:p>
            <w:pPr>
              <w:spacing w:after="0"/>
            </w:pPr>
            <w:r/>
            <w:r>
              <w:rPr>
                <w:rFonts w:ascii="Aptos" w:hAnsi="Aptos"/>
                <w:b w:val="0"/>
                <w:color w:val="1F2937"/>
                <w:sz w:val="16"/>
              </w:rPr>
              <w:t>Product entitlement</w:t>
            </w:r>
          </w:p>
        </w:tc>
        <w:tc>
          <w:tcPr>
            <w:tcW w:type="dxa" w:w="3384"/>
            <w:vAlign w:val="center"/>
          </w:tcPr>
          <w:p>
            <w:pPr>
              <w:spacing w:after="0"/>
            </w:pPr>
            <w:r/>
            <w:r>
              <w:rPr>
                <w:rFonts w:ascii="Aptos" w:hAnsi="Aptos"/>
                <w:b w:val="0"/>
                <w:color w:val="1F2937"/>
                <w:sz w:val="16"/>
              </w:rPr>
              <w:t>Can this tenant/user enter this product?</w:t>
            </w:r>
          </w:p>
        </w:tc>
        <w:tc>
          <w:tcPr>
            <w:tcW w:type="dxa" w:w="4752"/>
            <w:vAlign w:val="center"/>
          </w:tcPr>
          <w:p>
            <w:pPr>
              <w:spacing w:after="0"/>
            </w:pPr>
            <w:r/>
            <w:r>
              <w:rPr>
                <w:rFonts w:ascii="Aptos" w:hAnsi="Aptos"/>
                <w:b w:val="0"/>
                <w:color w:val="1F2937"/>
                <w:sz w:val="16"/>
              </w:rPr>
              <w:t>tenant_product_entitlements, user_product_memberships</w:t>
            </w:r>
          </w:p>
        </w:tc>
      </w:tr>
      <w:tr>
        <w:tc>
          <w:tcPr>
            <w:tcW w:type="dxa" w:w="2088"/>
            <w:vAlign w:val="center"/>
            <w:shd w:fill="F9FAFB"/>
          </w:tcPr>
          <w:p>
            <w:pPr>
              <w:spacing w:after="0"/>
            </w:pPr>
            <w:r/>
            <w:r>
              <w:rPr>
                <w:rFonts w:ascii="Aptos" w:hAnsi="Aptos"/>
                <w:b w:val="0"/>
                <w:color w:val="1F2937"/>
                <w:sz w:val="16"/>
              </w:rPr>
              <w:t>Authorization</w:t>
            </w:r>
          </w:p>
        </w:tc>
        <w:tc>
          <w:tcPr>
            <w:tcW w:type="dxa" w:w="3384"/>
            <w:vAlign w:val="center"/>
            <w:shd w:fill="F9FAFB"/>
          </w:tcPr>
          <w:p>
            <w:pPr>
              <w:spacing w:after="0"/>
            </w:pPr>
            <w:r/>
            <w:r>
              <w:rPr>
                <w:rFonts w:ascii="Aptos" w:hAnsi="Aptos"/>
                <w:b w:val="0"/>
                <w:color w:val="1F2937"/>
                <w:sz w:val="16"/>
              </w:rPr>
              <w:t>What actions are permitted?</w:t>
            </w:r>
          </w:p>
        </w:tc>
        <w:tc>
          <w:tcPr>
            <w:tcW w:type="dxa" w:w="4752"/>
            <w:vAlign w:val="center"/>
            <w:shd w:fill="F9FAFB"/>
          </w:tcPr>
          <w:p>
            <w:pPr>
              <w:spacing w:after="0"/>
            </w:pPr>
            <w:r/>
            <w:r>
              <w:rPr>
                <w:rFonts w:ascii="Aptos" w:hAnsi="Aptos"/>
                <w:b w:val="0"/>
                <w:color w:val="1F2937"/>
                <w:sz w:val="16"/>
              </w:rPr>
              <w:t>roles, permissions, role_permissions, user_role_assignments</w:t>
            </w:r>
          </w:p>
        </w:tc>
      </w:tr>
      <w:tr>
        <w:tc>
          <w:tcPr>
            <w:tcW w:type="dxa" w:w="2088"/>
            <w:vAlign w:val="center"/>
          </w:tcPr>
          <w:p>
            <w:pPr>
              <w:spacing w:after="0"/>
            </w:pPr>
            <w:r/>
            <w:r>
              <w:rPr>
                <w:rFonts w:ascii="Aptos" w:hAnsi="Aptos"/>
                <w:b w:val="0"/>
                <w:color w:val="1F2937"/>
                <w:sz w:val="16"/>
              </w:rPr>
              <w:t>Resource scope</w:t>
            </w:r>
          </w:p>
        </w:tc>
        <w:tc>
          <w:tcPr>
            <w:tcW w:type="dxa" w:w="3384"/>
            <w:vAlign w:val="center"/>
          </w:tcPr>
          <w:p>
            <w:pPr>
              <w:spacing w:after="0"/>
            </w:pPr>
            <w:r/>
            <w:r>
              <w:rPr>
                <w:rFonts w:ascii="Aptos" w:hAnsi="Aptos"/>
                <w:b w:val="0"/>
                <w:color w:val="1F2937"/>
                <w:sz w:val="16"/>
              </w:rPr>
              <w:t>Which records are permitted?</w:t>
            </w:r>
          </w:p>
        </w:tc>
        <w:tc>
          <w:tcPr>
            <w:tcW w:type="dxa" w:w="4752"/>
            <w:vAlign w:val="center"/>
          </w:tcPr>
          <w:p>
            <w:pPr>
              <w:spacing w:after="0"/>
            </w:pPr>
            <w:r/>
            <w:r>
              <w:rPr>
                <w:rFonts w:ascii="Aptos" w:hAnsi="Aptos"/>
                <w:b w:val="0"/>
                <w:color w:val="1F2937"/>
                <w:sz w:val="16"/>
              </w:rPr>
              <w:t>manager relationships, ownership, tenant and explicit scope</w:t>
            </w:r>
          </w:p>
        </w:tc>
      </w:tr>
      <w:tr>
        <w:tc>
          <w:tcPr>
            <w:tcW w:type="dxa" w:w="2088"/>
            <w:vAlign w:val="center"/>
            <w:shd w:fill="F9FAFB"/>
          </w:tcPr>
          <w:p>
            <w:pPr>
              <w:spacing w:after="0"/>
            </w:pPr>
            <w:r/>
            <w:r>
              <w:rPr>
                <w:rFonts w:ascii="Aptos" w:hAnsi="Aptos"/>
                <w:b w:val="0"/>
                <w:color w:val="1F2937"/>
                <w:sz w:val="16"/>
              </w:rPr>
              <w:t>Organization</w:t>
            </w:r>
          </w:p>
        </w:tc>
        <w:tc>
          <w:tcPr>
            <w:tcW w:type="dxa" w:w="3384"/>
            <w:vAlign w:val="center"/>
            <w:shd w:fill="F9FAFB"/>
          </w:tcPr>
          <w:p>
            <w:pPr>
              <w:spacing w:after="0"/>
            </w:pPr>
            <w:r/>
            <w:r>
              <w:rPr>
                <w:rFonts w:ascii="Aptos" w:hAnsi="Aptos"/>
                <w:b w:val="0"/>
                <w:color w:val="1F2937"/>
                <w:sz w:val="16"/>
              </w:rPr>
              <w:t>What position/function does the employee hold?</w:t>
            </w:r>
          </w:p>
        </w:tc>
        <w:tc>
          <w:tcPr>
            <w:tcW w:type="dxa" w:w="4752"/>
            <w:vAlign w:val="center"/>
            <w:shd w:fill="F9FAFB"/>
          </w:tcPr>
          <w:p>
            <w:pPr>
              <w:spacing w:after="0"/>
            </w:pPr>
            <w:r/>
            <w:r>
              <w:rPr>
                <w:rFonts w:ascii="Aptos" w:hAnsi="Aptos"/>
                <w:b w:val="0"/>
                <w:color w:val="1F2937"/>
                <w:sz w:val="16"/>
              </w:rPr>
              <w:t>departments, positions, employee_profiles, job functions</w:t>
            </w:r>
          </w:p>
        </w:tc>
      </w:tr>
      <w:tr>
        <w:tc>
          <w:tcPr>
            <w:tcW w:type="dxa" w:w="2088"/>
            <w:vAlign w:val="center"/>
          </w:tcPr>
          <w:p>
            <w:pPr>
              <w:spacing w:after="0"/>
            </w:pPr>
            <w:r/>
            <w:r>
              <w:rPr>
                <w:rFonts w:ascii="Aptos" w:hAnsi="Aptos"/>
                <w:b w:val="0"/>
                <w:color w:val="1F2937"/>
                <w:sz w:val="16"/>
              </w:rPr>
              <w:t>Presentation</w:t>
            </w:r>
          </w:p>
        </w:tc>
        <w:tc>
          <w:tcPr>
            <w:tcW w:type="dxa" w:w="3384"/>
            <w:vAlign w:val="center"/>
          </w:tcPr>
          <w:p>
            <w:pPr>
              <w:spacing w:after="0"/>
            </w:pPr>
            <w:r/>
            <w:r>
              <w:rPr>
                <w:rFonts w:ascii="Aptos" w:hAnsi="Aptos"/>
                <w:b w:val="0"/>
                <w:color w:val="1F2937"/>
                <w:sz w:val="16"/>
              </w:rPr>
              <w:t>How is the person shown publicly?</w:t>
            </w:r>
          </w:p>
        </w:tc>
        <w:tc>
          <w:tcPr>
            <w:tcW w:type="dxa" w:w="4752"/>
            <w:vAlign w:val="center"/>
          </w:tcPr>
          <w:p>
            <w:pPr>
              <w:spacing w:after="0"/>
            </w:pPr>
            <w:r/>
            <w:r>
              <w:rPr>
                <w:rFonts w:ascii="Aptos" w:hAnsi="Aptos"/>
                <w:b w:val="0"/>
                <w:color w:val="1F2937"/>
                <w:sz w:val="16"/>
              </w:rPr>
              <w:t>author_profiles and public-title metadata</w:t>
            </w:r>
          </w:p>
        </w:tc>
      </w:tr>
      <w:tr>
        <w:tc>
          <w:tcPr>
            <w:tcW w:type="dxa" w:w="2088"/>
            <w:vAlign w:val="center"/>
            <w:shd w:fill="F9FAFB"/>
          </w:tcPr>
          <w:p>
            <w:pPr>
              <w:spacing w:after="0"/>
            </w:pPr>
            <w:r/>
            <w:r>
              <w:rPr>
                <w:rFonts w:ascii="Aptos" w:hAnsi="Aptos"/>
                <w:b w:val="0"/>
                <w:color w:val="1F2937"/>
                <w:sz w:val="16"/>
              </w:rPr>
              <w:t>SOP governance</w:t>
            </w:r>
          </w:p>
        </w:tc>
        <w:tc>
          <w:tcPr>
            <w:tcW w:type="dxa" w:w="3384"/>
            <w:vAlign w:val="center"/>
            <w:shd w:fill="F9FAFB"/>
          </w:tcPr>
          <w:p>
            <w:pPr>
              <w:spacing w:after="0"/>
            </w:pPr>
            <w:r/>
            <w:r>
              <w:rPr>
                <w:rFonts w:ascii="Aptos" w:hAnsi="Aptos"/>
                <w:b w:val="0"/>
                <w:color w:val="1F2937"/>
                <w:sz w:val="16"/>
              </w:rPr>
              <w:t>What is assigned, released and completed?</w:t>
            </w:r>
          </w:p>
        </w:tc>
        <w:tc>
          <w:tcPr>
            <w:tcW w:type="dxa" w:w="4752"/>
            <w:vAlign w:val="center"/>
            <w:shd w:fill="F9FAFB"/>
          </w:tcPr>
          <w:p>
            <w:pPr>
              <w:spacing w:after="0"/>
            </w:pPr>
            <w:r/>
            <w:r>
              <w:rPr>
                <w:rFonts w:ascii="Aptos" w:hAnsi="Aptos"/>
                <w:b w:val="0"/>
                <w:color w:val="1F2937"/>
                <w:sz w:val="16"/>
              </w:rPr>
              <w:t>rollouts, audience rules, assignments, progress</w:t>
            </w:r>
          </w:p>
        </w:tc>
      </w:tr>
    </w:tbl>
    <w:p>
      <w:pPr>
        <w:spacing w:after="0"/>
      </w:pPr>
    </w:p>
    <w:p>
      <w:pPr>
        <w:pStyle w:val="Heading1"/>
      </w:pPr>
      <w:r>
        <w:t>5. Authorization Decision Flow</w:t>
      </w:r>
    </w:p>
    <w:p>
      <w:pPr>
        <w:pStyle w:val="ListNumber"/>
        <w:spacing w:after="40"/>
      </w:pPr>
      <w:r>
        <w:t>Validate the authenticated session and account status.</w:t>
      </w:r>
    </w:p>
    <w:p>
      <w:pPr>
        <w:pStyle w:val="ListNumber"/>
        <w:spacing w:after="40"/>
      </w:pPr>
      <w:r>
        <w:t>Resolve the active tenant membership.</w:t>
      </w:r>
    </w:p>
    <w:p>
      <w:pPr>
        <w:pStyle w:val="ListNumber"/>
        <w:spacing w:after="40"/>
      </w:pPr>
      <w:r>
        <w:t>Confirm the tenant’s product entitlement.</w:t>
      </w:r>
    </w:p>
    <w:p>
      <w:pPr>
        <w:pStyle w:val="ListNumber"/>
        <w:spacing w:after="40"/>
      </w:pPr>
      <w:r>
        <w:t>Confirm the user’s active product membership.</w:t>
      </w:r>
    </w:p>
    <w:p>
      <w:pPr>
        <w:pStyle w:val="ListNumber"/>
        <w:spacing w:after="40"/>
      </w:pPr>
      <w:r>
        <w:t>Resolve effective permissions from all active role assignments and approved temporary grants.</w:t>
      </w:r>
    </w:p>
    <w:p>
      <w:pPr>
        <w:pStyle w:val="ListNumber"/>
        <w:spacing w:after="40"/>
      </w:pPr>
      <w:r>
        <w:t>Apply resource scope: direct report, record owner, assigned team, specific article or explicit administrative scope.</w:t>
      </w:r>
    </w:p>
    <w:p>
      <w:pPr>
        <w:pStyle w:val="ListNumber"/>
        <w:spacing w:after="40"/>
      </w:pPr>
      <w:r>
        <w:t>Evaluate contextual restrictions such as account suspension, grant expiration or step-up authentication.</w:t>
      </w:r>
    </w:p>
    <w:p>
      <w:pPr>
        <w:pStyle w:val="ListNumber"/>
        <w:spacing w:after="40"/>
      </w:pPr>
      <w:r>
        <w:t>Deny by default when any required condition is missing.</w:t>
      </w:r>
    </w:p>
    <w:p>
      <w:pPr>
        <w:pStyle w:val="ListNumber"/>
        <w:spacing w:after="40"/>
      </w:pPr>
      <w:r>
        <w:t>Audit privileged and sensitive actions.</w:t>
      </w:r>
    </w:p>
    <w:p>
      <w:r>
        <w:t>Conceptual backend usage:</w:t>
      </w:r>
    </w:p>
    <w:p>
      <w:r>
        <w:rPr>
          <w:rFonts w:ascii="Consolas" w:hAnsi="Consolas"/>
          <w:sz w:val="17"/>
        </w:rPr>
        <w:t>await authorization.require({</w:t>
        <w:br/>
        <w:t xml:space="preserve">  actorId: req.user.id,</w:t>
        <w:br/>
        <w:t xml:space="preserve">  tenantId: req.tenant.id,</w:t>
        <w:br/>
        <w:t xml:space="preserve">  product: "content_studio",</w:t>
        <w:br/>
        <w:t xml:space="preserve">  permission: "content.article.comment",</w:t>
        <w:br/>
        <w:t xml:space="preserve">  resource: { type: "content_item", id: articleId }</w:t>
        <w:br/>
        <w:t>});</w:t>
      </w:r>
    </w:p>
    <w:p>
      <w:r>
        <w:t>The endpoint must never authorize by designation, department or public title.</w:t>
      </w:r>
    </w:p>
    <w:p>
      <w:pPr>
        <w:pStyle w:val="Heading1"/>
      </w:pPr>
      <w:r>
        <w:t>6. Recommended Database Model</w:t>
      </w:r>
    </w:p>
    <w:p>
      <w:pPr>
        <w:pStyle w:val="Heading2"/>
      </w:pPr>
      <w:r>
        <w:t>6.1 Identity and tenancy</w:t>
      </w:r>
    </w:p>
    <w:tbl>
      <w:tblPr>
        <w:tblStyle w:val="TableGrid"/>
        <w:tblW w:type="auto" w:w="0"/>
        <w:jc w:val="center"/>
        <w:tblLook w:firstColumn="1" w:firstRow="1" w:lastColumn="0" w:lastRow="0" w:noHBand="0" w:noVBand="1" w:val="04A0"/>
      </w:tblPr>
      <w:tblGrid>
        <w:gridCol w:w="5083"/>
        <w:gridCol w:w="5083"/>
      </w:tblGrid>
      <w:tr>
        <w:tc>
          <w:tcPr>
            <w:tcW w:type="dxa" w:w="5083"/>
            <w:shd w:fill="1F3A6E"/>
            <w:vAlign w:val="center"/>
          </w:tcPr>
          <w:p>
            <w:pPr>
              <w:spacing w:after="0"/>
            </w:pPr>
            <w:r/>
            <w:r>
              <w:rPr>
                <w:rFonts w:ascii="Aptos" w:hAnsi="Aptos"/>
                <w:b/>
                <w:color w:val="FFFFFF"/>
                <w:sz w:val="17"/>
              </w:rPr>
              <w:t>Table</w:t>
            </w:r>
          </w:p>
        </w:tc>
        <w:tc>
          <w:tcPr>
            <w:tcW w:type="dxa" w:w="5083"/>
            <w:shd w:fill="1F3A6E"/>
            <w:vAlign w:val="center"/>
          </w:tcPr>
          <w:p>
            <w:pPr>
              <w:spacing w:after="0"/>
            </w:pPr>
            <w:r/>
            <w:r>
              <w:rPr>
                <w:rFonts w:ascii="Aptos" w:hAnsi="Aptos"/>
                <w:b/>
                <w:color w:val="FFFFFF"/>
                <w:sz w:val="17"/>
              </w:rPr>
              <w:t>Key purpose</w:t>
            </w:r>
          </w:p>
        </w:tc>
      </w:tr>
      <w:tr>
        <w:tc>
          <w:tcPr>
            <w:tcW w:type="dxa" w:w="5083"/>
            <w:vAlign w:val="center"/>
          </w:tcPr>
          <w:p>
            <w:pPr>
              <w:spacing w:after="0"/>
            </w:pPr>
            <w:r/>
            <w:r>
              <w:rPr>
                <w:rFonts w:ascii="Aptos" w:hAnsi="Aptos"/>
                <w:b w:val="0"/>
                <w:color w:val="1F2937"/>
                <w:sz w:val="16"/>
              </w:rPr>
              <w:t>users</w:t>
            </w:r>
          </w:p>
        </w:tc>
        <w:tc>
          <w:tcPr>
            <w:tcW w:type="dxa" w:w="5083"/>
            <w:vAlign w:val="center"/>
          </w:tcPr>
          <w:p>
            <w:pPr>
              <w:spacing w:after="0"/>
            </w:pPr>
            <w:r/>
            <w:r>
              <w:rPr>
                <w:rFonts w:ascii="Aptos" w:hAnsi="Aptos"/>
                <w:b w:val="0"/>
                <w:color w:val="1F2937"/>
                <w:sz w:val="16"/>
              </w:rPr>
              <w:t>Global login identity, status and primary authentication identifiers.</w:t>
            </w:r>
          </w:p>
        </w:tc>
      </w:tr>
      <w:tr>
        <w:tc>
          <w:tcPr>
            <w:tcW w:type="dxa" w:w="5083"/>
            <w:vAlign w:val="center"/>
            <w:shd w:fill="F9FAFB"/>
          </w:tcPr>
          <w:p>
            <w:pPr>
              <w:spacing w:after="0"/>
            </w:pPr>
            <w:r/>
            <w:r>
              <w:rPr>
                <w:rFonts w:ascii="Aptos" w:hAnsi="Aptos"/>
                <w:b w:val="0"/>
                <w:color w:val="1F2937"/>
                <w:sz w:val="16"/>
              </w:rPr>
              <w:t>sessions</w:t>
            </w:r>
          </w:p>
        </w:tc>
        <w:tc>
          <w:tcPr>
            <w:tcW w:type="dxa" w:w="5083"/>
            <w:vAlign w:val="center"/>
            <w:shd w:fill="F9FAFB"/>
          </w:tcPr>
          <w:p>
            <w:pPr>
              <w:spacing w:after="0"/>
            </w:pPr>
            <w:r/>
            <w:r>
              <w:rPr>
                <w:rFonts w:ascii="Aptos" w:hAnsi="Aptos"/>
                <w:b w:val="0"/>
                <w:color w:val="1F2937"/>
                <w:sz w:val="16"/>
              </w:rPr>
              <w:t>Server-managed sessions, expiry, revocation and device metadata.</w:t>
            </w:r>
          </w:p>
        </w:tc>
      </w:tr>
      <w:tr>
        <w:tc>
          <w:tcPr>
            <w:tcW w:type="dxa" w:w="5083"/>
            <w:vAlign w:val="center"/>
          </w:tcPr>
          <w:p>
            <w:pPr>
              <w:spacing w:after="0"/>
            </w:pPr>
            <w:r/>
            <w:r>
              <w:rPr>
                <w:rFonts w:ascii="Aptos" w:hAnsi="Aptos"/>
                <w:b w:val="0"/>
                <w:color w:val="1F2937"/>
                <w:sz w:val="16"/>
              </w:rPr>
              <w:t>authenticators</w:t>
            </w:r>
          </w:p>
        </w:tc>
        <w:tc>
          <w:tcPr>
            <w:tcW w:type="dxa" w:w="5083"/>
            <w:vAlign w:val="center"/>
          </w:tcPr>
          <w:p>
            <w:pPr>
              <w:spacing w:after="0"/>
            </w:pPr>
            <w:r/>
            <w:r>
              <w:rPr>
                <w:rFonts w:ascii="Aptos" w:hAnsi="Aptos"/>
                <w:b w:val="0"/>
                <w:color w:val="1F2937"/>
                <w:sz w:val="16"/>
              </w:rPr>
              <w:t>Passkeys/WebAuthn or TOTP enrollment metadata.</w:t>
            </w:r>
          </w:p>
        </w:tc>
      </w:tr>
      <w:tr>
        <w:tc>
          <w:tcPr>
            <w:tcW w:type="dxa" w:w="5083"/>
            <w:vAlign w:val="center"/>
            <w:shd w:fill="F9FAFB"/>
          </w:tcPr>
          <w:p>
            <w:pPr>
              <w:spacing w:after="0"/>
            </w:pPr>
            <w:r/>
            <w:r>
              <w:rPr>
                <w:rFonts w:ascii="Aptos" w:hAnsi="Aptos"/>
                <w:b w:val="0"/>
                <w:color w:val="1F2937"/>
                <w:sz w:val="16"/>
              </w:rPr>
              <w:t>tenants</w:t>
            </w:r>
          </w:p>
        </w:tc>
        <w:tc>
          <w:tcPr>
            <w:tcW w:type="dxa" w:w="5083"/>
            <w:vAlign w:val="center"/>
            <w:shd w:fill="F9FAFB"/>
          </w:tcPr>
          <w:p>
            <w:pPr>
              <w:spacing w:after="0"/>
            </w:pPr>
            <w:r/>
            <w:r>
              <w:rPr>
                <w:rFonts w:ascii="Aptos" w:hAnsi="Aptos"/>
                <w:b w:val="0"/>
                <w:color w:val="1F2937"/>
                <w:sz w:val="16"/>
              </w:rPr>
              <w:t>Customer/company boundary for future SaaS sales.</w:t>
            </w:r>
          </w:p>
        </w:tc>
      </w:tr>
      <w:tr>
        <w:tc>
          <w:tcPr>
            <w:tcW w:type="dxa" w:w="5083"/>
            <w:vAlign w:val="center"/>
          </w:tcPr>
          <w:p>
            <w:pPr>
              <w:spacing w:after="0"/>
            </w:pPr>
            <w:r/>
            <w:r>
              <w:rPr>
                <w:rFonts w:ascii="Aptos" w:hAnsi="Aptos"/>
                <w:b w:val="0"/>
                <w:color w:val="1F2937"/>
                <w:sz w:val="16"/>
              </w:rPr>
              <w:t>tenant_memberships</w:t>
            </w:r>
          </w:p>
        </w:tc>
        <w:tc>
          <w:tcPr>
            <w:tcW w:type="dxa" w:w="5083"/>
            <w:vAlign w:val="center"/>
          </w:tcPr>
          <w:p>
            <w:pPr>
              <w:spacing w:after="0"/>
            </w:pPr>
            <w:r/>
            <w:r>
              <w:rPr>
                <w:rFonts w:ascii="Aptos" w:hAnsi="Aptos"/>
                <w:b w:val="0"/>
                <w:color w:val="1F2937"/>
                <w:sz w:val="16"/>
              </w:rPr>
              <w:t>User membership, lifecycle status and active tenant relationship.</w:t>
            </w:r>
          </w:p>
        </w:tc>
      </w:tr>
    </w:tbl>
    <w:p>
      <w:pPr>
        <w:spacing w:after="0"/>
      </w:pPr>
    </w:p>
    <w:p>
      <w:pPr>
        <w:pStyle w:val="Heading2"/>
      </w:pPr>
      <w:r>
        <w:t>6.2 Organizational records</w:t>
      </w:r>
    </w:p>
    <w:tbl>
      <w:tblPr>
        <w:tblStyle w:val="TableGrid"/>
        <w:tblW w:type="auto" w:w="0"/>
        <w:jc w:val="center"/>
        <w:tblLook w:firstColumn="1" w:firstRow="1" w:lastColumn="0" w:lastRow="0" w:noHBand="0" w:noVBand="1" w:val="04A0"/>
      </w:tblPr>
      <w:tblGrid>
        <w:gridCol w:w="5083"/>
        <w:gridCol w:w="5083"/>
      </w:tblGrid>
      <w:tr>
        <w:tc>
          <w:tcPr>
            <w:tcW w:type="dxa" w:w="5083"/>
            <w:shd w:fill="1F3A6E"/>
            <w:vAlign w:val="center"/>
          </w:tcPr>
          <w:p>
            <w:pPr>
              <w:spacing w:after="0"/>
            </w:pPr>
            <w:r/>
            <w:r>
              <w:rPr>
                <w:rFonts w:ascii="Aptos" w:hAnsi="Aptos"/>
                <w:b/>
                <w:color w:val="FFFFFF"/>
                <w:sz w:val="17"/>
              </w:rPr>
              <w:t>Table</w:t>
            </w:r>
          </w:p>
        </w:tc>
        <w:tc>
          <w:tcPr>
            <w:tcW w:type="dxa" w:w="5083"/>
            <w:shd w:fill="1F3A6E"/>
            <w:vAlign w:val="center"/>
          </w:tcPr>
          <w:p>
            <w:pPr>
              <w:spacing w:after="0"/>
            </w:pPr>
            <w:r/>
            <w:r>
              <w:rPr>
                <w:rFonts w:ascii="Aptos" w:hAnsi="Aptos"/>
                <w:b/>
                <w:color w:val="FFFFFF"/>
                <w:sz w:val="17"/>
              </w:rPr>
              <w:t>Key purpose</w:t>
            </w:r>
          </w:p>
        </w:tc>
      </w:tr>
      <w:tr>
        <w:tc>
          <w:tcPr>
            <w:tcW w:type="dxa" w:w="5083"/>
            <w:vAlign w:val="center"/>
          </w:tcPr>
          <w:p>
            <w:pPr>
              <w:spacing w:after="0"/>
            </w:pPr>
            <w:r/>
            <w:r>
              <w:rPr>
                <w:rFonts w:ascii="Aptos" w:hAnsi="Aptos"/>
                <w:b w:val="0"/>
                <w:color w:val="1F2937"/>
                <w:sz w:val="16"/>
              </w:rPr>
              <w:t>departments</w:t>
            </w:r>
          </w:p>
        </w:tc>
        <w:tc>
          <w:tcPr>
            <w:tcW w:type="dxa" w:w="5083"/>
            <w:vAlign w:val="center"/>
          </w:tcPr>
          <w:p>
            <w:pPr>
              <w:spacing w:after="0"/>
            </w:pPr>
            <w:r/>
            <w:r>
              <w:rPr>
                <w:rFonts w:ascii="Aptos" w:hAnsi="Aptos"/>
                <w:b w:val="0"/>
                <w:color w:val="1F2937"/>
                <w:sz w:val="16"/>
              </w:rPr>
              <w:t>Operations, HR, Talent Acquisition, Finance and other organizational units.</w:t>
            </w:r>
          </w:p>
        </w:tc>
      </w:tr>
      <w:tr>
        <w:tc>
          <w:tcPr>
            <w:tcW w:type="dxa" w:w="5083"/>
            <w:vAlign w:val="center"/>
            <w:shd w:fill="F9FAFB"/>
          </w:tcPr>
          <w:p>
            <w:pPr>
              <w:spacing w:after="0"/>
            </w:pPr>
            <w:r/>
            <w:r>
              <w:rPr>
                <w:rFonts w:ascii="Aptos" w:hAnsi="Aptos"/>
                <w:b w:val="0"/>
                <w:color w:val="1F2937"/>
                <w:sz w:val="16"/>
              </w:rPr>
              <w:t>positions</w:t>
            </w:r>
          </w:p>
        </w:tc>
        <w:tc>
          <w:tcPr>
            <w:tcW w:type="dxa" w:w="5083"/>
            <w:vAlign w:val="center"/>
            <w:shd w:fill="F9FAFB"/>
          </w:tcPr>
          <w:p>
            <w:pPr>
              <w:spacing w:after="0"/>
            </w:pPr>
            <w:r/>
            <w:r>
              <w:rPr>
                <w:rFonts w:ascii="Aptos" w:hAnsi="Aptos"/>
                <w:b w:val="0"/>
                <w:color w:val="1F2937"/>
                <w:sz w:val="16"/>
              </w:rPr>
              <w:t>Stable position codes such as junior_operations_engineer or account_manager.</w:t>
            </w:r>
          </w:p>
        </w:tc>
      </w:tr>
      <w:tr>
        <w:tc>
          <w:tcPr>
            <w:tcW w:type="dxa" w:w="5083"/>
            <w:vAlign w:val="center"/>
          </w:tcPr>
          <w:p>
            <w:pPr>
              <w:spacing w:after="0"/>
            </w:pPr>
            <w:r/>
            <w:r>
              <w:rPr>
                <w:rFonts w:ascii="Aptos" w:hAnsi="Aptos"/>
                <w:b w:val="0"/>
                <w:color w:val="1F2937"/>
                <w:sz w:val="16"/>
              </w:rPr>
              <w:t>employee_profiles</w:t>
            </w:r>
          </w:p>
        </w:tc>
        <w:tc>
          <w:tcPr>
            <w:tcW w:type="dxa" w:w="5083"/>
            <w:vAlign w:val="center"/>
          </w:tcPr>
          <w:p>
            <w:pPr>
              <w:spacing w:after="0"/>
            </w:pPr>
            <w:r/>
            <w:r>
              <w:rPr>
                <w:rFonts w:ascii="Aptos" w:hAnsi="Aptos"/>
                <w:b w:val="0"/>
                <w:color w:val="1F2937"/>
                <w:sz w:val="16"/>
              </w:rPr>
              <w:t>Designation, public title, manager, employee ID and employment metadata.</w:t>
            </w:r>
          </w:p>
        </w:tc>
      </w:tr>
      <w:tr>
        <w:tc>
          <w:tcPr>
            <w:tcW w:type="dxa" w:w="5083"/>
            <w:vAlign w:val="center"/>
            <w:shd w:fill="F9FAFB"/>
          </w:tcPr>
          <w:p>
            <w:pPr>
              <w:spacing w:after="0"/>
            </w:pPr>
            <w:r/>
            <w:r>
              <w:rPr>
                <w:rFonts w:ascii="Aptos" w:hAnsi="Aptos"/>
                <w:b w:val="0"/>
                <w:color w:val="1F2937"/>
                <w:sz w:val="16"/>
              </w:rPr>
              <w:t>job_functions</w:t>
            </w:r>
          </w:p>
        </w:tc>
        <w:tc>
          <w:tcPr>
            <w:tcW w:type="dxa" w:w="5083"/>
            <w:vAlign w:val="center"/>
            <w:shd w:fill="F9FAFB"/>
          </w:tcPr>
          <w:p>
            <w:pPr>
              <w:spacing w:after="0"/>
            </w:pPr>
            <w:r/>
            <w:r>
              <w:rPr>
                <w:rFonts w:ascii="Aptos" w:hAnsi="Aptos"/>
                <w:b w:val="0"/>
                <w:color w:val="1F2937"/>
                <w:sz w:val="16"/>
              </w:rPr>
              <w:t>Stable workflow categories such as recruiting, account_management and operational_support.</w:t>
            </w:r>
          </w:p>
        </w:tc>
      </w:tr>
      <w:tr>
        <w:tc>
          <w:tcPr>
            <w:tcW w:type="dxa" w:w="5083"/>
            <w:vAlign w:val="center"/>
          </w:tcPr>
          <w:p>
            <w:pPr>
              <w:spacing w:after="0"/>
            </w:pPr>
            <w:r/>
            <w:r>
              <w:rPr>
                <w:rFonts w:ascii="Aptos" w:hAnsi="Aptos"/>
                <w:b w:val="0"/>
                <w:color w:val="1F2937"/>
                <w:sz w:val="16"/>
              </w:rPr>
              <w:t>employee_function_assignments</w:t>
            </w:r>
          </w:p>
        </w:tc>
        <w:tc>
          <w:tcPr>
            <w:tcW w:type="dxa" w:w="5083"/>
            <w:vAlign w:val="center"/>
          </w:tcPr>
          <w:p>
            <w:pPr>
              <w:spacing w:after="0"/>
            </w:pPr>
            <w:r/>
            <w:r>
              <w:rPr>
                <w:rFonts w:ascii="Aptos" w:hAnsi="Aptos"/>
                <w:b w:val="0"/>
                <w:color w:val="1F2937"/>
                <w:sz w:val="16"/>
              </w:rPr>
              <w:t>Allows one employee to perform several functions at once.</w:t>
            </w:r>
          </w:p>
        </w:tc>
      </w:tr>
    </w:tbl>
    <w:p>
      <w:pPr>
        <w:spacing w:after="0"/>
      </w:pPr>
    </w:p>
    <w:p>
      <w:pPr>
        <w:pStyle w:val="Heading2"/>
      </w:pPr>
      <w:r>
        <w:t>6.3 Product and authorization records</w:t>
      </w:r>
    </w:p>
    <w:tbl>
      <w:tblPr>
        <w:tblStyle w:val="TableGrid"/>
        <w:tblW w:type="auto" w:w="0"/>
        <w:jc w:val="center"/>
        <w:tblLook w:firstColumn="1" w:firstRow="1" w:lastColumn="0" w:lastRow="0" w:noHBand="0" w:noVBand="1" w:val="04A0"/>
      </w:tblPr>
      <w:tblGrid>
        <w:gridCol w:w="5083"/>
        <w:gridCol w:w="5083"/>
      </w:tblGrid>
      <w:tr>
        <w:tc>
          <w:tcPr>
            <w:tcW w:type="dxa" w:w="5083"/>
            <w:shd w:fill="1F3A6E"/>
            <w:vAlign w:val="center"/>
          </w:tcPr>
          <w:p>
            <w:pPr>
              <w:spacing w:after="0"/>
            </w:pPr>
            <w:r/>
            <w:r>
              <w:rPr>
                <w:rFonts w:ascii="Aptos" w:hAnsi="Aptos"/>
                <w:b/>
                <w:color w:val="FFFFFF"/>
                <w:sz w:val="17"/>
              </w:rPr>
              <w:t>Table</w:t>
            </w:r>
          </w:p>
        </w:tc>
        <w:tc>
          <w:tcPr>
            <w:tcW w:type="dxa" w:w="5083"/>
            <w:shd w:fill="1F3A6E"/>
            <w:vAlign w:val="center"/>
          </w:tcPr>
          <w:p>
            <w:pPr>
              <w:spacing w:after="0"/>
            </w:pPr>
            <w:r/>
            <w:r>
              <w:rPr>
                <w:rFonts w:ascii="Aptos" w:hAnsi="Aptos"/>
                <w:b/>
                <w:color w:val="FFFFFF"/>
                <w:sz w:val="17"/>
              </w:rPr>
              <w:t>Key purpose</w:t>
            </w:r>
          </w:p>
        </w:tc>
      </w:tr>
      <w:tr>
        <w:tc>
          <w:tcPr>
            <w:tcW w:type="dxa" w:w="5083"/>
            <w:vAlign w:val="center"/>
          </w:tcPr>
          <w:p>
            <w:pPr>
              <w:spacing w:after="0"/>
            </w:pPr>
            <w:r/>
            <w:r>
              <w:rPr>
                <w:rFonts w:ascii="Aptos" w:hAnsi="Aptos"/>
                <w:b w:val="0"/>
                <w:color w:val="1F2937"/>
                <w:sz w:val="16"/>
              </w:rPr>
              <w:t>products</w:t>
            </w:r>
          </w:p>
        </w:tc>
        <w:tc>
          <w:tcPr>
            <w:tcW w:type="dxa" w:w="5083"/>
            <w:vAlign w:val="center"/>
          </w:tcPr>
          <w:p>
            <w:pPr>
              <w:spacing w:after="0"/>
            </w:pPr>
            <w:r/>
            <w:r>
              <w:rPr>
                <w:rFonts w:ascii="Aptos" w:hAnsi="Aptos"/>
                <w:b w:val="0"/>
                <w:color w:val="1F2937"/>
                <w:sz w:val="16"/>
              </w:rPr>
              <w:t>Employee Portal, Content Studio, BD Tool, CEIPAL connector, Governance and future products.</w:t>
            </w:r>
          </w:p>
        </w:tc>
      </w:tr>
      <w:tr>
        <w:tc>
          <w:tcPr>
            <w:tcW w:type="dxa" w:w="5083"/>
            <w:vAlign w:val="center"/>
            <w:shd w:fill="F9FAFB"/>
          </w:tcPr>
          <w:p>
            <w:pPr>
              <w:spacing w:after="0"/>
            </w:pPr>
            <w:r/>
            <w:r>
              <w:rPr>
                <w:rFonts w:ascii="Aptos" w:hAnsi="Aptos"/>
                <w:b w:val="0"/>
                <w:color w:val="1F2937"/>
                <w:sz w:val="16"/>
              </w:rPr>
              <w:t>tenant_product_entitlements</w:t>
            </w:r>
          </w:p>
        </w:tc>
        <w:tc>
          <w:tcPr>
            <w:tcW w:type="dxa" w:w="5083"/>
            <w:vAlign w:val="center"/>
            <w:shd w:fill="F9FAFB"/>
          </w:tcPr>
          <w:p>
            <w:pPr>
              <w:spacing w:after="0"/>
            </w:pPr>
            <w:r/>
            <w:r>
              <w:rPr>
                <w:rFonts w:ascii="Aptos" w:hAnsi="Aptos"/>
                <w:b w:val="0"/>
                <w:color w:val="1F2937"/>
                <w:sz w:val="16"/>
              </w:rPr>
              <w:t>Whether a tenant is subscribed or enabled for a product.</w:t>
            </w:r>
          </w:p>
        </w:tc>
      </w:tr>
      <w:tr>
        <w:tc>
          <w:tcPr>
            <w:tcW w:type="dxa" w:w="5083"/>
            <w:vAlign w:val="center"/>
          </w:tcPr>
          <w:p>
            <w:pPr>
              <w:spacing w:after="0"/>
            </w:pPr>
            <w:r/>
            <w:r>
              <w:rPr>
                <w:rFonts w:ascii="Aptos" w:hAnsi="Aptos"/>
                <w:b w:val="0"/>
                <w:color w:val="1F2937"/>
                <w:sz w:val="16"/>
              </w:rPr>
              <w:t>user_product_memberships</w:t>
            </w:r>
          </w:p>
        </w:tc>
        <w:tc>
          <w:tcPr>
            <w:tcW w:type="dxa" w:w="5083"/>
            <w:vAlign w:val="center"/>
          </w:tcPr>
          <w:p>
            <w:pPr>
              <w:spacing w:after="0"/>
            </w:pPr>
            <w:r/>
            <w:r>
              <w:rPr>
                <w:rFonts w:ascii="Aptos" w:hAnsi="Aptos"/>
                <w:b w:val="0"/>
                <w:color w:val="1F2937"/>
                <w:sz w:val="16"/>
              </w:rPr>
              <w:t>Whether a specific user can enter that product.</w:t>
            </w:r>
          </w:p>
        </w:tc>
      </w:tr>
      <w:tr>
        <w:tc>
          <w:tcPr>
            <w:tcW w:type="dxa" w:w="5083"/>
            <w:vAlign w:val="center"/>
            <w:shd w:fill="F9FAFB"/>
          </w:tcPr>
          <w:p>
            <w:pPr>
              <w:spacing w:after="0"/>
            </w:pPr>
            <w:r/>
            <w:r>
              <w:rPr>
                <w:rFonts w:ascii="Aptos" w:hAnsi="Aptos"/>
                <w:b w:val="0"/>
                <w:color w:val="1F2937"/>
                <w:sz w:val="16"/>
              </w:rPr>
              <w:t>roles</w:t>
            </w:r>
          </w:p>
        </w:tc>
        <w:tc>
          <w:tcPr>
            <w:tcW w:type="dxa" w:w="5083"/>
            <w:vAlign w:val="center"/>
            <w:shd w:fill="F9FAFB"/>
          </w:tcPr>
          <w:p>
            <w:pPr>
              <w:spacing w:after="0"/>
            </w:pPr>
            <w:r/>
            <w:r>
              <w:rPr>
                <w:rFonts w:ascii="Aptos" w:hAnsi="Aptos"/>
                <w:b w:val="0"/>
                <w:color w:val="1F2937"/>
                <w:sz w:val="16"/>
              </w:rPr>
              <w:t>Reusable permission bundles; not job titles.</w:t>
            </w:r>
          </w:p>
        </w:tc>
      </w:tr>
      <w:tr>
        <w:tc>
          <w:tcPr>
            <w:tcW w:type="dxa" w:w="5083"/>
            <w:vAlign w:val="center"/>
          </w:tcPr>
          <w:p>
            <w:pPr>
              <w:spacing w:after="0"/>
            </w:pPr>
            <w:r/>
            <w:r>
              <w:rPr>
                <w:rFonts w:ascii="Aptos" w:hAnsi="Aptos"/>
                <w:b w:val="0"/>
                <w:color w:val="1F2937"/>
                <w:sz w:val="16"/>
              </w:rPr>
              <w:t>permissions</w:t>
            </w:r>
          </w:p>
        </w:tc>
        <w:tc>
          <w:tcPr>
            <w:tcW w:type="dxa" w:w="5083"/>
            <w:vAlign w:val="center"/>
          </w:tcPr>
          <w:p>
            <w:pPr>
              <w:spacing w:after="0"/>
            </w:pPr>
            <w:r/>
            <w:r>
              <w:rPr>
                <w:rFonts w:ascii="Aptos" w:hAnsi="Aptos"/>
                <w:b w:val="0"/>
                <w:color w:val="1F2937"/>
                <w:sz w:val="16"/>
              </w:rPr>
              <w:t>Stable action codes such as content.publish or sop.assignment.create.</w:t>
            </w:r>
          </w:p>
        </w:tc>
      </w:tr>
      <w:tr>
        <w:tc>
          <w:tcPr>
            <w:tcW w:type="dxa" w:w="5083"/>
            <w:vAlign w:val="center"/>
            <w:shd w:fill="F9FAFB"/>
          </w:tcPr>
          <w:p>
            <w:pPr>
              <w:spacing w:after="0"/>
            </w:pPr>
            <w:r/>
            <w:r>
              <w:rPr>
                <w:rFonts w:ascii="Aptos" w:hAnsi="Aptos"/>
                <w:b w:val="0"/>
                <w:color w:val="1F2937"/>
                <w:sz w:val="16"/>
              </w:rPr>
              <w:t>role_permissions</w:t>
            </w:r>
          </w:p>
        </w:tc>
        <w:tc>
          <w:tcPr>
            <w:tcW w:type="dxa" w:w="5083"/>
            <w:vAlign w:val="center"/>
            <w:shd w:fill="F9FAFB"/>
          </w:tcPr>
          <w:p>
            <w:pPr>
              <w:spacing w:after="0"/>
            </w:pPr>
            <w:r/>
            <w:r>
              <w:rPr>
                <w:rFonts w:ascii="Aptos" w:hAnsi="Aptos"/>
                <w:b w:val="0"/>
                <w:color w:val="1F2937"/>
                <w:sz w:val="16"/>
              </w:rPr>
              <w:t>Maps role bundles to permissions.</w:t>
            </w:r>
          </w:p>
        </w:tc>
      </w:tr>
      <w:tr>
        <w:tc>
          <w:tcPr>
            <w:tcW w:type="dxa" w:w="5083"/>
            <w:vAlign w:val="center"/>
          </w:tcPr>
          <w:p>
            <w:pPr>
              <w:spacing w:after="0"/>
            </w:pPr>
            <w:r/>
            <w:r>
              <w:rPr>
                <w:rFonts w:ascii="Aptos" w:hAnsi="Aptos"/>
                <w:b w:val="0"/>
                <w:color w:val="1F2937"/>
                <w:sz w:val="16"/>
              </w:rPr>
              <w:t>user_role_assignments</w:t>
            </w:r>
          </w:p>
        </w:tc>
        <w:tc>
          <w:tcPr>
            <w:tcW w:type="dxa" w:w="5083"/>
            <w:vAlign w:val="center"/>
          </w:tcPr>
          <w:p>
            <w:pPr>
              <w:spacing w:after="0"/>
            </w:pPr>
            <w:r/>
            <w:r>
              <w:rPr>
                <w:rFonts w:ascii="Aptos" w:hAnsi="Aptos"/>
                <w:b w:val="0"/>
                <w:color w:val="1F2937"/>
                <w:sz w:val="16"/>
              </w:rPr>
              <w:t>Multiple, scoped and time-aware roles per user.</w:t>
            </w:r>
          </w:p>
        </w:tc>
      </w:tr>
      <w:tr>
        <w:tc>
          <w:tcPr>
            <w:tcW w:type="dxa" w:w="5083"/>
            <w:vAlign w:val="center"/>
            <w:shd w:fill="F9FAFB"/>
          </w:tcPr>
          <w:p>
            <w:pPr>
              <w:spacing w:after="0"/>
            </w:pPr>
            <w:r/>
            <w:r>
              <w:rPr>
                <w:rFonts w:ascii="Aptos" w:hAnsi="Aptos"/>
                <w:b w:val="0"/>
                <w:color w:val="1F2937"/>
                <w:sz w:val="16"/>
              </w:rPr>
              <w:t>direct_permission_grants</w:t>
            </w:r>
          </w:p>
        </w:tc>
        <w:tc>
          <w:tcPr>
            <w:tcW w:type="dxa" w:w="5083"/>
            <w:vAlign w:val="center"/>
            <w:shd w:fill="F9FAFB"/>
          </w:tcPr>
          <w:p>
            <w:pPr>
              <w:spacing w:after="0"/>
            </w:pPr>
            <w:r/>
            <w:r>
              <w:rPr>
                <w:rFonts w:ascii="Aptos" w:hAnsi="Aptos"/>
                <w:b w:val="0"/>
                <w:color w:val="1F2937"/>
                <w:sz w:val="16"/>
              </w:rPr>
              <w:t>Rare, approved, time-limited exceptions.</w:t>
            </w:r>
          </w:p>
        </w:tc>
      </w:tr>
      <w:tr>
        <w:tc>
          <w:tcPr>
            <w:tcW w:type="dxa" w:w="5083"/>
            <w:vAlign w:val="center"/>
          </w:tcPr>
          <w:p>
            <w:pPr>
              <w:spacing w:after="0"/>
            </w:pPr>
            <w:r/>
            <w:r>
              <w:rPr>
                <w:rFonts w:ascii="Aptos" w:hAnsi="Aptos"/>
                <w:b w:val="0"/>
                <w:color w:val="1F2937"/>
                <w:sz w:val="16"/>
              </w:rPr>
              <w:t>authorization_audit_logs</w:t>
            </w:r>
          </w:p>
        </w:tc>
        <w:tc>
          <w:tcPr>
            <w:tcW w:type="dxa" w:w="5083"/>
            <w:vAlign w:val="center"/>
          </w:tcPr>
          <w:p>
            <w:pPr>
              <w:spacing w:after="0"/>
            </w:pPr>
            <w:r/>
            <w:r>
              <w:rPr>
                <w:rFonts w:ascii="Aptos" w:hAnsi="Aptos"/>
                <w:b w:val="0"/>
                <w:color w:val="1F2937"/>
                <w:sz w:val="16"/>
              </w:rPr>
              <w:t>Records privileged access changes and policy decisions where required.</w:t>
            </w:r>
          </w:p>
        </w:tc>
      </w:tr>
    </w:tbl>
    <w:p>
      <w:pPr>
        <w:spacing w:after="0"/>
      </w:pPr>
    </w:p>
    <w:p>
      <w:pPr>
        <w:pStyle w:val="Heading2"/>
      </w:pPr>
      <w:r>
        <w:t>6.4 Suggested role-assignment fields</w:t>
      </w:r>
    </w:p>
    <w:p>
      <w:r>
        <w:rPr>
          <w:rFonts w:ascii="Consolas" w:hAnsi="Consolas"/>
          <w:sz w:val="17"/>
        </w:rPr>
        <w:t>user_role_assignments</w:t>
        <w:br/>
        <w:t>- id</w:t>
        <w:br/>
        <w:t>- tenant_id</w:t>
        <w:br/>
        <w:t>- user_id</w:t>
        <w:br/>
        <w:t>- role_id</w:t>
        <w:br/>
        <w:t>- product_id (nullable for cross-product roles)</w:t>
        <w:br/>
        <w:t>- scope_type</w:t>
        <w:br/>
        <w:t>- scope_id</w:t>
        <w:br/>
        <w:t>- effective_from</w:t>
        <w:br/>
        <w:t>- expires_at</w:t>
        <w:br/>
        <w:t>- assigned_by</w:t>
        <w:br/>
        <w:t>- assignment_reason</w:t>
        <w:br/>
        <w:t>- status</w:t>
      </w:r>
    </w:p>
    <w:p>
      <w:pPr>
        <w:pStyle w:val="Heading1"/>
      </w:pPr>
      <w:r>
        <w:t>7. Permission Naming and Initial Catalog</w:t>
      </w:r>
    </w:p>
    <w:p>
      <w:r>
        <w:t>Use stable resource.action permission codes. Avoid permission names based on current screens or job titles.</w:t>
      </w:r>
    </w:p>
    <w:tbl>
      <w:tblPr>
        <w:tblStyle w:val="TableGrid"/>
        <w:tblW w:type="auto" w:w="0"/>
        <w:jc w:val="center"/>
        <w:tblLook w:firstColumn="1" w:firstRow="1" w:lastColumn="0" w:lastRow="0" w:noHBand="0" w:noVBand="1" w:val="04A0"/>
      </w:tblPr>
      <w:tblGrid>
        <w:gridCol w:w="5083"/>
        <w:gridCol w:w="5083"/>
      </w:tblGrid>
      <w:tr>
        <w:tc>
          <w:tcPr>
            <w:tcW w:type="dxa" w:w="1872"/>
            <w:shd w:fill="1F3A6E"/>
            <w:vAlign w:val="center"/>
          </w:tcPr>
          <w:p>
            <w:pPr>
              <w:spacing w:after="0"/>
            </w:pPr>
            <w:r/>
            <w:r>
              <w:rPr>
                <w:rFonts w:ascii="Aptos" w:hAnsi="Aptos"/>
                <w:b/>
                <w:color w:val="FFFFFF"/>
                <w:sz w:val="17"/>
              </w:rPr>
              <w:t>Domain</w:t>
            </w:r>
          </w:p>
        </w:tc>
        <w:tc>
          <w:tcPr>
            <w:tcW w:type="dxa" w:w="8208"/>
            <w:shd w:fill="1F3A6E"/>
            <w:vAlign w:val="center"/>
          </w:tcPr>
          <w:p>
            <w:pPr>
              <w:spacing w:after="0"/>
            </w:pPr>
            <w:r/>
            <w:r>
              <w:rPr>
                <w:rFonts w:ascii="Aptos" w:hAnsi="Aptos"/>
                <w:b/>
                <w:color w:val="FFFFFF"/>
                <w:sz w:val="17"/>
              </w:rPr>
              <w:t>Example permissions</w:t>
            </w:r>
          </w:p>
        </w:tc>
      </w:tr>
      <w:tr>
        <w:tc>
          <w:tcPr>
            <w:tcW w:type="dxa" w:w="1872"/>
            <w:vAlign w:val="center"/>
          </w:tcPr>
          <w:p>
            <w:pPr>
              <w:spacing w:after="0"/>
            </w:pPr>
            <w:r/>
            <w:r>
              <w:rPr>
                <w:rFonts w:ascii="Aptos" w:hAnsi="Aptos"/>
                <w:b w:val="0"/>
                <w:color w:val="1F2937"/>
                <w:sz w:val="16"/>
              </w:rPr>
              <w:t>Employee</w:t>
            </w:r>
          </w:p>
        </w:tc>
        <w:tc>
          <w:tcPr>
            <w:tcW w:type="dxa" w:w="8208"/>
            <w:vAlign w:val="center"/>
          </w:tcPr>
          <w:p>
            <w:pPr>
              <w:spacing w:after="0"/>
            </w:pPr>
            <w:r/>
            <w:r>
              <w:rPr>
                <w:rFonts w:ascii="Aptos" w:hAnsi="Aptos"/>
                <w:b w:val="0"/>
                <w:color w:val="1F2937"/>
                <w:sz w:val="16"/>
              </w:rPr>
              <w:t>employee.profile.read_own; employee.profile.update_own; employee.read_direct_reports</w:t>
            </w:r>
          </w:p>
        </w:tc>
      </w:tr>
      <w:tr>
        <w:tc>
          <w:tcPr>
            <w:tcW w:type="dxa" w:w="1872"/>
            <w:vAlign w:val="center"/>
            <w:shd w:fill="F9FAFB"/>
          </w:tcPr>
          <w:p>
            <w:pPr>
              <w:spacing w:after="0"/>
            </w:pPr>
            <w:r/>
            <w:r>
              <w:rPr>
                <w:rFonts w:ascii="Aptos" w:hAnsi="Aptos"/>
                <w:b w:val="0"/>
                <w:color w:val="1F2937"/>
                <w:sz w:val="16"/>
              </w:rPr>
              <w:t>HR</w:t>
            </w:r>
          </w:p>
        </w:tc>
        <w:tc>
          <w:tcPr>
            <w:tcW w:type="dxa" w:w="8208"/>
            <w:vAlign w:val="center"/>
            <w:shd w:fill="F9FAFB"/>
          </w:tcPr>
          <w:p>
            <w:pPr>
              <w:spacing w:after="0"/>
            </w:pPr>
            <w:r/>
            <w:r>
              <w:rPr>
                <w:rFonts w:ascii="Aptos" w:hAnsi="Aptos"/>
                <w:b w:val="0"/>
                <w:color w:val="1F2937"/>
                <w:sz w:val="16"/>
              </w:rPr>
              <w:t>hr.employee.read; hr.employee.update; hr.leave.approve; hr.investigation.read</w:t>
            </w:r>
          </w:p>
        </w:tc>
      </w:tr>
      <w:tr>
        <w:tc>
          <w:tcPr>
            <w:tcW w:type="dxa" w:w="1872"/>
            <w:vAlign w:val="center"/>
          </w:tcPr>
          <w:p>
            <w:pPr>
              <w:spacing w:after="0"/>
            </w:pPr>
            <w:r/>
            <w:r>
              <w:rPr>
                <w:rFonts w:ascii="Aptos" w:hAnsi="Aptos"/>
                <w:b w:val="0"/>
                <w:color w:val="1F2937"/>
                <w:sz w:val="16"/>
              </w:rPr>
              <w:t>SOP</w:t>
            </w:r>
          </w:p>
        </w:tc>
        <w:tc>
          <w:tcPr>
            <w:tcW w:type="dxa" w:w="8208"/>
            <w:vAlign w:val="center"/>
          </w:tcPr>
          <w:p>
            <w:pPr>
              <w:spacing w:after="0"/>
            </w:pPr>
            <w:r/>
            <w:r>
              <w:rPr>
                <w:rFonts w:ascii="Aptos" w:hAnsi="Aptos"/>
                <w:b w:val="0"/>
                <w:color w:val="1F2937"/>
                <w:sz w:val="16"/>
              </w:rPr>
              <w:t>sop.assignment.read_own; sop.assignment.create; sop.assignment.enforce; sop.compliance.read_all; sop.catalog.manage</w:t>
            </w:r>
          </w:p>
        </w:tc>
      </w:tr>
      <w:tr>
        <w:tc>
          <w:tcPr>
            <w:tcW w:type="dxa" w:w="1872"/>
            <w:vAlign w:val="center"/>
            <w:shd w:fill="F9FAFB"/>
          </w:tcPr>
          <w:p>
            <w:pPr>
              <w:spacing w:after="0"/>
            </w:pPr>
            <w:r/>
            <w:r>
              <w:rPr>
                <w:rFonts w:ascii="Aptos" w:hAnsi="Aptos"/>
                <w:b w:val="0"/>
                <w:color w:val="1F2937"/>
                <w:sz w:val="16"/>
              </w:rPr>
              <w:t>Content</w:t>
            </w:r>
          </w:p>
        </w:tc>
        <w:tc>
          <w:tcPr>
            <w:tcW w:type="dxa" w:w="8208"/>
            <w:vAlign w:val="center"/>
            <w:shd w:fill="F9FAFB"/>
          </w:tcPr>
          <w:p>
            <w:pPr>
              <w:spacing w:after="0"/>
            </w:pPr>
            <w:r/>
            <w:r>
              <w:rPr>
                <w:rFonts w:ascii="Aptos" w:hAnsi="Aptos"/>
                <w:b w:val="0"/>
                <w:color w:val="1F2937"/>
                <w:sz w:val="16"/>
              </w:rPr>
              <w:t>content_studio.access; content.draft.create; content.article.comment; content.review; content.publish</w:t>
            </w:r>
          </w:p>
        </w:tc>
      </w:tr>
      <w:tr>
        <w:tc>
          <w:tcPr>
            <w:tcW w:type="dxa" w:w="1872"/>
            <w:vAlign w:val="center"/>
          </w:tcPr>
          <w:p>
            <w:pPr>
              <w:spacing w:after="0"/>
            </w:pPr>
            <w:r/>
            <w:r>
              <w:rPr>
                <w:rFonts w:ascii="Aptos" w:hAnsi="Aptos"/>
                <w:b w:val="0"/>
                <w:color w:val="1F2937"/>
                <w:sz w:val="16"/>
              </w:rPr>
              <w:t>BD</w:t>
            </w:r>
          </w:p>
        </w:tc>
        <w:tc>
          <w:tcPr>
            <w:tcW w:type="dxa" w:w="8208"/>
            <w:vAlign w:val="center"/>
          </w:tcPr>
          <w:p>
            <w:pPr>
              <w:spacing w:after="0"/>
            </w:pPr>
            <w:r/>
            <w:r>
              <w:rPr>
                <w:rFonts w:ascii="Aptos" w:hAnsi="Aptos"/>
                <w:b w:val="0"/>
                <w:color w:val="1F2937"/>
                <w:sz w:val="16"/>
              </w:rPr>
              <w:t>bd_tool.access; bd.lead.create; bd.pipeline.read_own; bd.pipeline.read_team; bd.lead.assign</w:t>
            </w:r>
          </w:p>
        </w:tc>
      </w:tr>
      <w:tr>
        <w:tc>
          <w:tcPr>
            <w:tcW w:type="dxa" w:w="1872"/>
            <w:vAlign w:val="center"/>
            <w:shd w:fill="F9FAFB"/>
          </w:tcPr>
          <w:p>
            <w:pPr>
              <w:spacing w:after="0"/>
            </w:pPr>
            <w:r/>
            <w:r>
              <w:rPr>
                <w:rFonts w:ascii="Aptos" w:hAnsi="Aptos"/>
                <w:b w:val="0"/>
                <w:color w:val="1F2937"/>
                <w:sz w:val="16"/>
              </w:rPr>
              <w:t>CEIPAL</w:t>
            </w:r>
          </w:p>
        </w:tc>
        <w:tc>
          <w:tcPr>
            <w:tcW w:type="dxa" w:w="8208"/>
            <w:vAlign w:val="center"/>
            <w:shd w:fill="F9FAFB"/>
          </w:tcPr>
          <w:p>
            <w:pPr>
              <w:spacing w:after="0"/>
            </w:pPr>
            <w:r/>
            <w:r>
              <w:rPr>
                <w:rFonts w:ascii="Aptos" w:hAnsi="Aptos"/>
                <w:b w:val="0"/>
                <w:color w:val="1F2937"/>
                <w:sz w:val="16"/>
              </w:rPr>
              <w:t>ceipal.access; ceipal.jobs.read; ceipal.candidate.read; ceipal.submission.create</w:t>
            </w:r>
          </w:p>
        </w:tc>
      </w:tr>
      <w:tr>
        <w:tc>
          <w:tcPr>
            <w:tcW w:type="dxa" w:w="1872"/>
            <w:vAlign w:val="center"/>
          </w:tcPr>
          <w:p>
            <w:pPr>
              <w:spacing w:after="0"/>
            </w:pPr>
            <w:r/>
            <w:r>
              <w:rPr>
                <w:rFonts w:ascii="Aptos" w:hAnsi="Aptos"/>
                <w:b w:val="0"/>
                <w:color w:val="1F2937"/>
                <w:sz w:val="16"/>
              </w:rPr>
              <w:t>Administration</w:t>
            </w:r>
          </w:p>
        </w:tc>
        <w:tc>
          <w:tcPr>
            <w:tcW w:type="dxa" w:w="8208"/>
            <w:vAlign w:val="center"/>
          </w:tcPr>
          <w:p>
            <w:pPr>
              <w:spacing w:after="0"/>
            </w:pPr>
            <w:r/>
            <w:r>
              <w:rPr>
                <w:rFonts w:ascii="Aptos" w:hAnsi="Aptos"/>
                <w:b w:val="0"/>
                <w:color w:val="1F2937"/>
                <w:sz w:val="16"/>
              </w:rPr>
              <w:t>users.manage; roles.assign; product.entitlements.manage; security.settings.update; audit.read</w:t>
            </w:r>
          </w:p>
        </w:tc>
      </w:tr>
    </w:tbl>
    <w:p>
      <w:pPr>
        <w:spacing w:after="0"/>
      </w:pPr>
    </w:p>
    <w:p>
      <w:pPr>
        <w:pStyle w:val="Heading1"/>
      </w:pPr>
      <w:r>
        <w:t>8. Role Recommendations</w:t>
      </w:r>
    </w:p>
    <w:tbl>
      <w:tblPr>
        <w:tblStyle w:val="TableGrid"/>
        <w:tblW w:type="auto" w:w="0"/>
        <w:jc w:val="center"/>
        <w:tblLook w:firstColumn="1" w:firstRow="1" w:lastColumn="0" w:lastRow="0" w:noHBand="0" w:noVBand="1" w:val="04A0"/>
      </w:tblPr>
      <w:tblGrid>
        <w:gridCol w:w="3389"/>
        <w:gridCol w:w="3389"/>
        <w:gridCol w:w="3389"/>
      </w:tblGrid>
      <w:tr>
        <w:tc>
          <w:tcPr>
            <w:tcW w:type="dxa" w:w="2304"/>
            <w:shd w:fill="1F3A6E"/>
            <w:vAlign w:val="center"/>
          </w:tcPr>
          <w:p>
            <w:pPr>
              <w:spacing w:after="0"/>
            </w:pPr>
            <w:r/>
            <w:r>
              <w:rPr>
                <w:rFonts w:ascii="Aptos" w:hAnsi="Aptos"/>
                <w:b/>
                <w:color w:val="FFFFFF"/>
                <w:sz w:val="17"/>
              </w:rPr>
              <w:t>Role</w:t>
            </w:r>
          </w:p>
        </w:tc>
        <w:tc>
          <w:tcPr>
            <w:tcW w:type="dxa" w:w="3888"/>
            <w:shd w:fill="1F3A6E"/>
            <w:vAlign w:val="center"/>
          </w:tcPr>
          <w:p>
            <w:pPr>
              <w:spacing w:after="0"/>
            </w:pPr>
            <w:r/>
            <w:r>
              <w:rPr>
                <w:rFonts w:ascii="Aptos" w:hAnsi="Aptos"/>
                <w:b/>
                <w:color w:val="FFFFFF"/>
                <w:sz w:val="17"/>
              </w:rPr>
              <w:t>Intended use</w:t>
            </w:r>
          </w:p>
        </w:tc>
        <w:tc>
          <w:tcPr>
            <w:tcW w:type="dxa" w:w="3888"/>
            <w:shd w:fill="1F3A6E"/>
            <w:vAlign w:val="center"/>
          </w:tcPr>
          <w:p>
            <w:pPr>
              <w:spacing w:after="0"/>
            </w:pPr>
            <w:r/>
            <w:r>
              <w:rPr>
                <w:rFonts w:ascii="Aptos" w:hAnsi="Aptos"/>
                <w:b/>
                <w:color w:val="FFFFFF"/>
                <w:sz w:val="17"/>
              </w:rPr>
              <w:t>Important limits</w:t>
            </w:r>
          </w:p>
        </w:tc>
      </w:tr>
      <w:tr>
        <w:tc>
          <w:tcPr>
            <w:tcW w:type="dxa" w:w="2304"/>
            <w:vAlign w:val="center"/>
          </w:tcPr>
          <w:p>
            <w:pPr>
              <w:spacing w:after="0"/>
            </w:pPr>
            <w:r/>
            <w:r>
              <w:rPr>
                <w:rFonts w:ascii="Aptos" w:hAnsi="Aptos"/>
                <w:b w:val="0"/>
                <w:color w:val="1F2937"/>
                <w:sz w:val="16"/>
              </w:rPr>
              <w:t>platform_super_admin</w:t>
            </w:r>
          </w:p>
        </w:tc>
        <w:tc>
          <w:tcPr>
            <w:tcW w:type="dxa" w:w="3888"/>
            <w:vAlign w:val="center"/>
          </w:tcPr>
          <w:p>
            <w:pPr>
              <w:spacing w:after="0"/>
            </w:pPr>
            <w:r/>
            <w:r>
              <w:rPr>
                <w:rFonts w:ascii="Aptos" w:hAnsi="Aptos"/>
                <w:b w:val="0"/>
                <w:color w:val="1F2937"/>
                <w:sz w:val="16"/>
              </w:rPr>
              <w:t>Very small number of trusted platform owners.</w:t>
            </w:r>
          </w:p>
        </w:tc>
        <w:tc>
          <w:tcPr>
            <w:tcW w:type="dxa" w:w="3888"/>
            <w:vAlign w:val="center"/>
          </w:tcPr>
          <w:p>
            <w:pPr>
              <w:spacing w:after="0"/>
            </w:pPr>
            <w:r/>
            <w:r>
              <w:rPr>
                <w:rFonts w:ascii="Aptos" w:hAnsi="Aptos"/>
                <w:b w:val="0"/>
                <w:color w:val="1F2937"/>
                <w:sz w:val="16"/>
              </w:rPr>
              <w:t>No routine operational use; phishing-resistant MFA and step-up required.</w:t>
            </w:r>
          </w:p>
        </w:tc>
      </w:tr>
      <w:tr>
        <w:tc>
          <w:tcPr>
            <w:tcW w:type="dxa" w:w="2304"/>
            <w:vAlign w:val="center"/>
            <w:shd w:fill="F9FAFB"/>
          </w:tcPr>
          <w:p>
            <w:pPr>
              <w:spacing w:after="0"/>
            </w:pPr>
            <w:r/>
            <w:r>
              <w:rPr>
                <w:rFonts w:ascii="Aptos" w:hAnsi="Aptos"/>
                <w:b w:val="0"/>
                <w:color w:val="1F2937"/>
                <w:sz w:val="16"/>
              </w:rPr>
              <w:t>tenant_admin</w:t>
            </w:r>
          </w:p>
        </w:tc>
        <w:tc>
          <w:tcPr>
            <w:tcW w:type="dxa" w:w="3888"/>
            <w:vAlign w:val="center"/>
            <w:shd w:fill="F9FAFB"/>
          </w:tcPr>
          <w:p>
            <w:pPr>
              <w:spacing w:after="0"/>
            </w:pPr>
            <w:r/>
            <w:r>
              <w:rPr>
                <w:rFonts w:ascii="Aptos" w:hAnsi="Aptos"/>
                <w:b w:val="0"/>
                <w:color w:val="1F2937"/>
                <w:sz w:val="16"/>
              </w:rPr>
              <w:t>Customer-level administration.</w:t>
            </w:r>
          </w:p>
        </w:tc>
        <w:tc>
          <w:tcPr>
            <w:tcW w:type="dxa" w:w="3888"/>
            <w:vAlign w:val="center"/>
            <w:shd w:fill="F9FAFB"/>
          </w:tcPr>
          <w:p>
            <w:pPr>
              <w:spacing w:after="0"/>
            </w:pPr>
            <w:r/>
            <w:r>
              <w:rPr>
                <w:rFonts w:ascii="Aptos" w:hAnsi="Aptos"/>
                <w:b w:val="0"/>
                <w:color w:val="1F2937"/>
                <w:sz w:val="16"/>
              </w:rPr>
              <w:t>Scoped to one tenant; cannot cross tenant boundaries.</w:t>
            </w:r>
          </w:p>
        </w:tc>
      </w:tr>
      <w:tr>
        <w:tc>
          <w:tcPr>
            <w:tcW w:type="dxa" w:w="2304"/>
            <w:vAlign w:val="center"/>
          </w:tcPr>
          <w:p>
            <w:pPr>
              <w:spacing w:after="0"/>
            </w:pPr>
            <w:r/>
            <w:r>
              <w:rPr>
                <w:rFonts w:ascii="Aptos" w:hAnsi="Aptos"/>
                <w:b w:val="0"/>
                <w:color w:val="1F2937"/>
                <w:sz w:val="16"/>
              </w:rPr>
              <w:t>hr_admin</w:t>
            </w:r>
          </w:p>
        </w:tc>
        <w:tc>
          <w:tcPr>
            <w:tcW w:type="dxa" w:w="3888"/>
            <w:vAlign w:val="center"/>
          </w:tcPr>
          <w:p>
            <w:pPr>
              <w:spacing w:after="0"/>
            </w:pPr>
            <w:r/>
            <w:r>
              <w:rPr>
                <w:rFonts w:ascii="Aptos" w:hAnsi="Aptos"/>
                <w:b w:val="0"/>
                <w:color w:val="1F2937"/>
                <w:sz w:val="16"/>
              </w:rPr>
              <w:t>Employee and HR operations.</w:t>
            </w:r>
          </w:p>
        </w:tc>
        <w:tc>
          <w:tcPr>
            <w:tcW w:type="dxa" w:w="3888"/>
            <w:vAlign w:val="center"/>
          </w:tcPr>
          <w:p>
            <w:pPr>
              <w:spacing w:after="0"/>
            </w:pPr>
            <w:r/>
            <w:r>
              <w:rPr>
                <w:rFonts w:ascii="Aptos" w:hAnsi="Aptos"/>
                <w:b w:val="0"/>
                <w:color w:val="1F2937"/>
                <w:sz w:val="16"/>
              </w:rPr>
              <w:t>Sensitive HR permissions remain explicit.</w:t>
            </w:r>
          </w:p>
        </w:tc>
      </w:tr>
      <w:tr>
        <w:tc>
          <w:tcPr>
            <w:tcW w:type="dxa" w:w="2304"/>
            <w:vAlign w:val="center"/>
            <w:shd w:fill="F9FAFB"/>
          </w:tcPr>
          <w:p>
            <w:pPr>
              <w:spacing w:after="0"/>
            </w:pPr>
            <w:r/>
            <w:r>
              <w:rPr>
                <w:rFonts w:ascii="Aptos" w:hAnsi="Aptos"/>
                <w:b w:val="0"/>
                <w:color w:val="1F2937"/>
                <w:sz w:val="16"/>
              </w:rPr>
              <w:t>people_manager</w:t>
            </w:r>
          </w:p>
        </w:tc>
        <w:tc>
          <w:tcPr>
            <w:tcW w:type="dxa" w:w="3888"/>
            <w:vAlign w:val="center"/>
            <w:shd w:fill="F9FAFB"/>
          </w:tcPr>
          <w:p>
            <w:pPr>
              <w:spacing w:after="0"/>
            </w:pPr>
            <w:r/>
            <w:r>
              <w:rPr>
                <w:rFonts w:ascii="Aptos" w:hAnsi="Aptos"/>
                <w:b w:val="0"/>
                <w:color w:val="1F2937"/>
                <w:sz w:val="16"/>
              </w:rPr>
              <w:t>Direct-report management.</w:t>
            </w:r>
          </w:p>
        </w:tc>
        <w:tc>
          <w:tcPr>
            <w:tcW w:type="dxa" w:w="3888"/>
            <w:vAlign w:val="center"/>
            <w:shd w:fill="F9FAFB"/>
          </w:tcPr>
          <w:p>
            <w:pPr>
              <w:spacing w:after="0"/>
            </w:pPr>
            <w:r/>
            <w:r>
              <w:rPr>
                <w:rFonts w:ascii="Aptos" w:hAnsi="Aptos"/>
                <w:b w:val="0"/>
                <w:color w:val="1F2937"/>
                <w:sz w:val="16"/>
              </w:rPr>
              <w:t>No access outside direct reports without additional permission.</w:t>
            </w:r>
          </w:p>
        </w:tc>
      </w:tr>
      <w:tr>
        <w:tc>
          <w:tcPr>
            <w:tcW w:type="dxa" w:w="2304"/>
            <w:vAlign w:val="center"/>
          </w:tcPr>
          <w:p>
            <w:pPr>
              <w:spacing w:after="0"/>
            </w:pPr>
            <w:r/>
            <w:r>
              <w:rPr>
                <w:rFonts w:ascii="Aptos" w:hAnsi="Aptos"/>
                <w:b w:val="0"/>
                <w:color w:val="1F2937"/>
                <w:sz w:val="16"/>
              </w:rPr>
              <w:t>recruiter</w:t>
            </w:r>
          </w:p>
        </w:tc>
        <w:tc>
          <w:tcPr>
            <w:tcW w:type="dxa" w:w="3888"/>
            <w:vAlign w:val="center"/>
          </w:tcPr>
          <w:p>
            <w:pPr>
              <w:spacing w:after="0"/>
            </w:pPr>
            <w:r/>
            <w:r>
              <w:rPr>
                <w:rFonts w:ascii="Aptos" w:hAnsi="Aptos"/>
                <w:b w:val="0"/>
                <w:color w:val="1F2937"/>
                <w:sz w:val="16"/>
              </w:rPr>
              <w:t>Recruiting and candidate workflow.</w:t>
            </w:r>
          </w:p>
        </w:tc>
        <w:tc>
          <w:tcPr>
            <w:tcW w:type="dxa" w:w="3888"/>
            <w:vAlign w:val="center"/>
          </w:tcPr>
          <w:p>
            <w:pPr>
              <w:spacing w:after="0"/>
            </w:pPr>
            <w:r/>
            <w:r>
              <w:rPr>
                <w:rFonts w:ascii="Aptos" w:hAnsi="Aptos"/>
                <w:b w:val="0"/>
                <w:color w:val="1F2937"/>
                <w:sz w:val="16"/>
              </w:rPr>
              <w:t>No administrative authority by title alone.</w:t>
            </w:r>
          </w:p>
        </w:tc>
      </w:tr>
      <w:tr>
        <w:tc>
          <w:tcPr>
            <w:tcW w:type="dxa" w:w="2304"/>
            <w:vAlign w:val="center"/>
            <w:shd w:fill="F9FAFB"/>
          </w:tcPr>
          <w:p>
            <w:pPr>
              <w:spacing w:after="0"/>
            </w:pPr>
            <w:r/>
            <w:r>
              <w:rPr>
                <w:rFonts w:ascii="Aptos" w:hAnsi="Aptos"/>
                <w:b w:val="0"/>
                <w:color w:val="1F2937"/>
                <w:sz w:val="16"/>
              </w:rPr>
              <w:t>account_delivery_user</w:t>
            </w:r>
          </w:p>
        </w:tc>
        <w:tc>
          <w:tcPr>
            <w:tcW w:type="dxa" w:w="3888"/>
            <w:vAlign w:val="center"/>
            <w:shd w:fill="F9FAFB"/>
          </w:tcPr>
          <w:p>
            <w:pPr>
              <w:spacing w:after="0"/>
            </w:pPr>
            <w:r/>
            <w:r>
              <w:rPr>
                <w:rFonts w:ascii="Aptos" w:hAnsi="Aptos"/>
                <w:b w:val="0"/>
                <w:color w:val="1F2937"/>
                <w:sz w:val="16"/>
              </w:rPr>
              <w:t>Account and requirement delivery work.</w:t>
            </w:r>
          </w:p>
        </w:tc>
        <w:tc>
          <w:tcPr>
            <w:tcW w:type="dxa" w:w="3888"/>
            <w:vAlign w:val="center"/>
            <w:shd w:fill="F9FAFB"/>
          </w:tcPr>
          <w:p>
            <w:pPr>
              <w:spacing w:after="0"/>
            </w:pPr>
            <w:r/>
            <w:r>
              <w:rPr>
                <w:rFonts w:ascii="Aptos" w:hAnsi="Aptos"/>
                <w:b w:val="0"/>
                <w:color w:val="1F2937"/>
                <w:sz w:val="16"/>
              </w:rPr>
              <w:t>Does not imply people management.</w:t>
            </w:r>
          </w:p>
        </w:tc>
      </w:tr>
      <w:tr>
        <w:tc>
          <w:tcPr>
            <w:tcW w:type="dxa" w:w="2304"/>
            <w:vAlign w:val="center"/>
          </w:tcPr>
          <w:p>
            <w:pPr>
              <w:spacing w:after="0"/>
            </w:pPr>
            <w:r/>
            <w:r>
              <w:rPr>
                <w:rFonts w:ascii="Aptos" w:hAnsi="Aptos"/>
                <w:b w:val="0"/>
                <w:color w:val="1F2937"/>
                <w:sz w:val="16"/>
              </w:rPr>
              <w:t>operations_user</w:t>
            </w:r>
          </w:p>
        </w:tc>
        <w:tc>
          <w:tcPr>
            <w:tcW w:type="dxa" w:w="3888"/>
            <w:vAlign w:val="center"/>
          </w:tcPr>
          <w:p>
            <w:pPr>
              <w:spacing w:after="0"/>
            </w:pPr>
            <w:r/>
            <w:r>
              <w:rPr>
                <w:rFonts w:ascii="Aptos" w:hAnsi="Aptos"/>
                <w:b w:val="0"/>
                <w:color w:val="1F2937"/>
                <w:sz w:val="16"/>
              </w:rPr>
              <w:t>Operational workflow execution.</w:t>
            </w:r>
          </w:p>
        </w:tc>
        <w:tc>
          <w:tcPr>
            <w:tcW w:type="dxa" w:w="3888"/>
            <w:vAlign w:val="center"/>
          </w:tcPr>
          <w:p>
            <w:pPr>
              <w:spacing w:after="0"/>
            </w:pPr>
            <w:r/>
            <w:r>
              <w:rPr>
                <w:rFonts w:ascii="Aptos" w:hAnsi="Aptos"/>
                <w:b w:val="0"/>
                <w:color w:val="1F2937"/>
                <w:sz w:val="16"/>
              </w:rPr>
              <w:t>Not equivalent to Admin.</w:t>
            </w:r>
          </w:p>
        </w:tc>
      </w:tr>
      <w:tr>
        <w:tc>
          <w:tcPr>
            <w:tcW w:type="dxa" w:w="2304"/>
            <w:vAlign w:val="center"/>
            <w:shd w:fill="F9FAFB"/>
          </w:tcPr>
          <w:p>
            <w:pPr>
              <w:spacing w:after="0"/>
            </w:pPr>
            <w:r/>
            <w:r>
              <w:rPr>
                <w:rFonts w:ascii="Aptos" w:hAnsi="Aptos"/>
                <w:b w:val="0"/>
                <w:color w:val="1F2937"/>
                <w:sz w:val="16"/>
              </w:rPr>
              <w:t>content_author</w:t>
            </w:r>
          </w:p>
        </w:tc>
        <w:tc>
          <w:tcPr>
            <w:tcW w:type="dxa" w:w="3888"/>
            <w:vAlign w:val="center"/>
            <w:shd w:fill="F9FAFB"/>
          </w:tcPr>
          <w:p>
            <w:pPr>
              <w:spacing w:after="0"/>
            </w:pPr>
            <w:r/>
            <w:r>
              <w:rPr>
                <w:rFonts w:ascii="Aptos" w:hAnsi="Aptos"/>
                <w:b w:val="0"/>
                <w:color w:val="1F2937"/>
                <w:sz w:val="16"/>
              </w:rPr>
              <w:t>Create and edit own assigned content.</w:t>
            </w:r>
          </w:p>
        </w:tc>
        <w:tc>
          <w:tcPr>
            <w:tcW w:type="dxa" w:w="3888"/>
            <w:vAlign w:val="center"/>
            <w:shd w:fill="F9FAFB"/>
          </w:tcPr>
          <w:p>
            <w:pPr>
              <w:spacing w:after="0"/>
            </w:pPr>
            <w:r/>
            <w:r>
              <w:rPr>
                <w:rFonts w:ascii="Aptos" w:hAnsi="Aptos"/>
                <w:b w:val="0"/>
                <w:color w:val="1F2937"/>
                <w:sz w:val="16"/>
              </w:rPr>
              <w:t>Cannot publish unless content.publish is separately granted.</w:t>
            </w:r>
          </w:p>
        </w:tc>
      </w:tr>
      <w:tr>
        <w:tc>
          <w:tcPr>
            <w:tcW w:type="dxa" w:w="2304"/>
            <w:vAlign w:val="center"/>
          </w:tcPr>
          <w:p>
            <w:pPr>
              <w:spacing w:after="0"/>
            </w:pPr>
            <w:r/>
            <w:r>
              <w:rPr>
                <w:rFonts w:ascii="Aptos" w:hAnsi="Aptos"/>
                <w:b w:val="0"/>
                <w:color w:val="1F2937"/>
                <w:sz w:val="16"/>
              </w:rPr>
              <w:t>content_reviewer</w:t>
            </w:r>
          </w:p>
        </w:tc>
        <w:tc>
          <w:tcPr>
            <w:tcW w:type="dxa" w:w="3888"/>
            <w:vAlign w:val="center"/>
          </w:tcPr>
          <w:p>
            <w:pPr>
              <w:spacing w:after="0"/>
            </w:pPr>
            <w:r/>
            <w:r>
              <w:rPr>
                <w:rFonts w:ascii="Aptos" w:hAnsi="Aptos"/>
                <w:b w:val="0"/>
                <w:color w:val="1F2937"/>
                <w:sz w:val="16"/>
              </w:rPr>
              <w:t>Review and comment.</w:t>
            </w:r>
          </w:p>
        </w:tc>
        <w:tc>
          <w:tcPr>
            <w:tcW w:type="dxa" w:w="3888"/>
            <w:vAlign w:val="center"/>
          </w:tcPr>
          <w:p>
            <w:pPr>
              <w:spacing w:after="0"/>
            </w:pPr>
            <w:r/>
            <w:r>
              <w:rPr>
                <w:rFonts w:ascii="Aptos" w:hAnsi="Aptos"/>
                <w:b w:val="0"/>
                <w:color w:val="1F2937"/>
                <w:sz w:val="16"/>
              </w:rPr>
              <w:t>Cannot change system settings or publish by default.</w:t>
            </w:r>
          </w:p>
        </w:tc>
      </w:tr>
      <w:tr>
        <w:tc>
          <w:tcPr>
            <w:tcW w:type="dxa" w:w="2304"/>
            <w:vAlign w:val="center"/>
            <w:shd w:fill="F9FAFB"/>
          </w:tcPr>
          <w:p>
            <w:pPr>
              <w:spacing w:after="0"/>
            </w:pPr>
            <w:r/>
            <w:r>
              <w:rPr>
                <w:rFonts w:ascii="Aptos" w:hAnsi="Aptos"/>
                <w:b w:val="0"/>
                <w:color w:val="1F2937"/>
                <w:sz w:val="16"/>
              </w:rPr>
              <w:t>external_content_guest</w:t>
            </w:r>
          </w:p>
        </w:tc>
        <w:tc>
          <w:tcPr>
            <w:tcW w:type="dxa" w:w="3888"/>
            <w:vAlign w:val="center"/>
            <w:shd w:fill="F9FAFB"/>
          </w:tcPr>
          <w:p>
            <w:pPr>
              <w:spacing w:after="0"/>
            </w:pPr>
            <w:r/>
            <w:r>
              <w:rPr>
                <w:rFonts w:ascii="Aptos" w:hAnsi="Aptos"/>
                <w:b w:val="0"/>
                <w:color w:val="1F2937"/>
                <w:sz w:val="16"/>
              </w:rPr>
              <w:t>Specific article view/comment access.</w:t>
            </w:r>
          </w:p>
        </w:tc>
        <w:tc>
          <w:tcPr>
            <w:tcW w:type="dxa" w:w="3888"/>
            <w:vAlign w:val="center"/>
            <w:shd w:fill="F9FAFB"/>
          </w:tcPr>
          <w:p>
            <w:pPr>
              <w:spacing w:after="0"/>
            </w:pPr>
            <w:r/>
            <w:r>
              <w:rPr>
                <w:rFonts w:ascii="Aptos" w:hAnsi="Aptos"/>
                <w:b w:val="0"/>
                <w:color w:val="1F2937"/>
                <w:sz w:val="16"/>
              </w:rPr>
              <w:t>Resource-specific, expiring and no product-wide browsing.</w:t>
            </w:r>
          </w:p>
        </w:tc>
      </w:tr>
    </w:tbl>
    <w:p>
      <w:pPr>
        <w:spacing w:after="0"/>
      </w:pPr>
    </w:p>
    <w:p>
      <w:pPr>
        <w:pStyle w:val="Heading1"/>
      </w:pPr>
      <w:r>
        <w:t>9. Direct-Report Access Policy</w:t>
      </w:r>
    </w:p>
    <w:p>
      <w:r>
        <w:t>Manager access is relationship-scoped. The role grants the type of action; the employee-manager relationship grants the target scope.</w:t>
      </w:r>
    </w:p>
    <w:p>
      <w:r>
        <w:rPr>
          <w:rFonts w:ascii="Consolas" w:hAnsi="Consolas"/>
          <w:sz w:val="17"/>
        </w:rPr>
        <w:t>ALLOW when:</w:t>
        <w:br/>
        <w:t>- actor has employee.read_direct_reports</w:t>
        <w:br/>
        <w:t>- target.manager_user_id == actor.user_id</w:t>
        <w:br/>
        <w:t>- actor and target belong to the same tenant</w:t>
        <w:br/>
        <w:t>- both memberships are active</w:t>
        <w:br/>
        <w:br/>
        <w:t>DENY otherwise</w:t>
      </w:r>
    </w:p>
    <w:p>
      <w:pPr>
        <w:pStyle w:val="ListBullet"/>
        <w:spacing w:after="40"/>
      </w:pPr>
      <w:r>
        <w:t>A title containing “Manager” does not grant manager access.</w:t>
      </w:r>
    </w:p>
    <w:p>
      <w:pPr>
        <w:pStyle w:val="ListBullet"/>
        <w:spacing w:after="40"/>
      </w:pPr>
      <w:r>
        <w:t>An Account Manager receives people-manager access only when direct reports exist and the role is assigned.</w:t>
      </w:r>
    </w:p>
    <w:p>
      <w:pPr>
        <w:pStyle w:val="ListBullet"/>
        <w:spacing w:after="40"/>
      </w:pPr>
      <w:r>
        <w:t>Changing the manager relationship must immediately remove the previous manager’s access.</w:t>
      </w:r>
    </w:p>
    <w:p>
      <w:pPr>
        <w:pStyle w:val="ListBullet"/>
        <w:spacing w:after="40"/>
      </w:pPr>
      <w:r>
        <w:t>Indirect-report access requires a separate permission and explicit design decision.</w:t>
      </w:r>
    </w:p>
    <w:p>
      <w:pPr>
        <w:pStyle w:val="ListBullet"/>
        <w:spacing w:after="40"/>
      </w:pPr>
      <w:r>
        <w:t>Compensation, investigations and highly sensitive records require separate permissions even for direct reports.</w:t>
      </w:r>
    </w:p>
    <w:p>
      <w:pPr>
        <w:pStyle w:val="Heading1"/>
      </w:pPr>
      <w:r>
        <w:t>10. SOP Governance Redesign</w:t>
      </w:r>
    </w:p>
    <w:p>
      <w:pPr>
        <w:pStyle w:val="Heading2"/>
      </w:pPr>
      <w:r>
        <w:t>10.1 Separate assignment from progress</w:t>
      </w:r>
    </w:p>
    <w:tbl>
      <w:tblPr>
        <w:tblStyle w:val="TableGrid"/>
        <w:tblW w:type="auto" w:w="0"/>
        <w:jc w:val="center"/>
        <w:tblLook w:firstColumn="1" w:firstRow="1" w:lastColumn="0" w:lastRow="0" w:noHBand="0" w:noVBand="1" w:val="04A0"/>
      </w:tblPr>
      <w:tblGrid>
        <w:gridCol w:w="5083"/>
        <w:gridCol w:w="5083"/>
      </w:tblGrid>
      <w:tr>
        <w:tc>
          <w:tcPr>
            <w:tcW w:type="dxa" w:w="5083"/>
            <w:shd w:fill="1F3A6E"/>
            <w:vAlign w:val="center"/>
          </w:tcPr>
          <w:p>
            <w:pPr>
              <w:spacing w:after="0"/>
            </w:pPr>
            <w:r/>
            <w:r>
              <w:rPr>
                <w:rFonts w:ascii="Aptos" w:hAnsi="Aptos"/>
                <w:b/>
                <w:color w:val="FFFFFF"/>
                <w:sz w:val="17"/>
              </w:rPr>
              <w:t>Record</w:t>
            </w:r>
          </w:p>
        </w:tc>
        <w:tc>
          <w:tcPr>
            <w:tcW w:type="dxa" w:w="5083"/>
            <w:shd w:fill="1F3A6E"/>
            <w:vAlign w:val="center"/>
          </w:tcPr>
          <w:p>
            <w:pPr>
              <w:spacing w:after="0"/>
            </w:pPr>
            <w:r/>
            <w:r>
              <w:rPr>
                <w:rFonts w:ascii="Aptos" w:hAnsi="Aptos"/>
                <w:b/>
                <w:color w:val="FFFFFF"/>
                <w:sz w:val="17"/>
              </w:rPr>
              <w:t>Purpose</w:t>
            </w:r>
          </w:p>
        </w:tc>
      </w:tr>
      <w:tr>
        <w:tc>
          <w:tcPr>
            <w:tcW w:type="dxa" w:w="5083"/>
            <w:vAlign w:val="center"/>
          </w:tcPr>
          <w:p>
            <w:pPr>
              <w:spacing w:after="0"/>
            </w:pPr>
            <w:r/>
            <w:r>
              <w:rPr>
                <w:rFonts w:ascii="Aptos" w:hAnsi="Aptos"/>
                <w:b w:val="0"/>
                <w:color w:val="1F2937"/>
                <w:sz w:val="16"/>
              </w:rPr>
              <w:t>sop_rollouts</w:t>
            </w:r>
          </w:p>
        </w:tc>
        <w:tc>
          <w:tcPr>
            <w:tcW w:type="dxa" w:w="5083"/>
            <w:vAlign w:val="center"/>
          </w:tcPr>
          <w:p>
            <w:pPr>
              <w:spacing w:after="0"/>
            </w:pPr>
            <w:r/>
            <w:r>
              <w:rPr>
                <w:rFonts w:ascii="Aptos" w:hAnsi="Aptos"/>
                <w:b w:val="0"/>
                <w:color w:val="1F2937"/>
                <w:sz w:val="16"/>
              </w:rPr>
              <w:t>Defines release status, dates and SOP version.</w:t>
            </w:r>
          </w:p>
        </w:tc>
      </w:tr>
      <w:tr>
        <w:tc>
          <w:tcPr>
            <w:tcW w:type="dxa" w:w="5083"/>
            <w:vAlign w:val="center"/>
            <w:shd w:fill="F9FAFB"/>
          </w:tcPr>
          <w:p>
            <w:pPr>
              <w:spacing w:after="0"/>
            </w:pPr>
            <w:r/>
            <w:r>
              <w:rPr>
                <w:rFonts w:ascii="Aptos" w:hAnsi="Aptos"/>
                <w:b w:val="0"/>
                <w:color w:val="1F2937"/>
                <w:sz w:val="16"/>
              </w:rPr>
              <w:t>sop_rollout_audiences</w:t>
            </w:r>
          </w:p>
        </w:tc>
        <w:tc>
          <w:tcPr>
            <w:tcW w:type="dxa" w:w="5083"/>
            <w:vAlign w:val="center"/>
            <w:shd w:fill="F9FAFB"/>
          </w:tcPr>
          <w:p>
            <w:pPr>
              <w:spacing w:after="0"/>
            </w:pPr>
            <w:r/>
            <w:r>
              <w:rPr>
                <w:rFonts w:ascii="Aptos" w:hAnsi="Aptos"/>
                <w:b w:val="0"/>
                <w:color w:val="1F2937"/>
                <w:sz w:val="16"/>
              </w:rPr>
              <w:t>Defines who should receive the release.</w:t>
            </w:r>
          </w:p>
        </w:tc>
      </w:tr>
      <w:tr>
        <w:tc>
          <w:tcPr>
            <w:tcW w:type="dxa" w:w="5083"/>
            <w:vAlign w:val="center"/>
          </w:tcPr>
          <w:p>
            <w:pPr>
              <w:spacing w:after="0"/>
            </w:pPr>
            <w:r/>
            <w:r>
              <w:rPr>
                <w:rFonts w:ascii="Aptos" w:hAnsi="Aptos"/>
                <w:b w:val="0"/>
                <w:color w:val="1F2937"/>
                <w:sz w:val="16"/>
              </w:rPr>
              <w:t>sop_assignments</w:t>
            </w:r>
          </w:p>
        </w:tc>
        <w:tc>
          <w:tcPr>
            <w:tcW w:type="dxa" w:w="5083"/>
            <w:vAlign w:val="center"/>
          </w:tcPr>
          <w:p>
            <w:pPr>
              <w:spacing w:after="0"/>
            </w:pPr>
            <w:r/>
            <w:r>
              <w:rPr>
                <w:rFonts w:ascii="Aptos" w:hAnsi="Aptos"/>
                <w:b w:val="0"/>
                <w:color w:val="1F2937"/>
                <w:sz w:val="16"/>
              </w:rPr>
              <w:t>Creates an auditable obligation for a specific user.</w:t>
            </w:r>
          </w:p>
        </w:tc>
      </w:tr>
      <w:tr>
        <w:tc>
          <w:tcPr>
            <w:tcW w:type="dxa" w:w="5083"/>
            <w:vAlign w:val="center"/>
            <w:shd w:fill="F9FAFB"/>
          </w:tcPr>
          <w:p>
            <w:pPr>
              <w:spacing w:after="0"/>
            </w:pPr>
            <w:r/>
            <w:r>
              <w:rPr>
                <w:rFonts w:ascii="Aptos" w:hAnsi="Aptos"/>
                <w:b w:val="0"/>
                <w:color w:val="1F2937"/>
                <w:sz w:val="16"/>
              </w:rPr>
              <w:t>sop_progress</w:t>
            </w:r>
          </w:p>
        </w:tc>
        <w:tc>
          <w:tcPr>
            <w:tcW w:type="dxa" w:w="5083"/>
            <w:vAlign w:val="center"/>
            <w:shd w:fill="F9FAFB"/>
          </w:tcPr>
          <w:p>
            <w:pPr>
              <w:spacing w:after="0"/>
            </w:pPr>
            <w:r/>
            <w:r>
              <w:rPr>
                <w:rFonts w:ascii="Aptos" w:hAnsi="Aptos"/>
                <w:b w:val="0"/>
                <w:color w:val="1F2937"/>
                <w:sz w:val="16"/>
              </w:rPr>
              <w:t>Tracks interaction after the user starts.</w:t>
            </w:r>
          </w:p>
        </w:tc>
      </w:tr>
      <w:tr>
        <w:tc>
          <w:tcPr>
            <w:tcW w:type="dxa" w:w="5083"/>
            <w:vAlign w:val="center"/>
          </w:tcPr>
          <w:p>
            <w:pPr>
              <w:spacing w:after="0"/>
            </w:pPr>
            <w:r/>
            <w:r>
              <w:rPr>
                <w:rFonts w:ascii="Aptos" w:hAnsi="Aptos"/>
                <w:b w:val="0"/>
                <w:color w:val="1F2937"/>
                <w:sz w:val="16"/>
              </w:rPr>
              <w:t>sop_acknowledgments</w:t>
            </w:r>
          </w:p>
        </w:tc>
        <w:tc>
          <w:tcPr>
            <w:tcW w:type="dxa" w:w="5083"/>
            <w:vAlign w:val="center"/>
          </w:tcPr>
          <w:p>
            <w:pPr>
              <w:spacing w:after="0"/>
            </w:pPr>
            <w:r/>
            <w:r>
              <w:rPr>
                <w:rFonts w:ascii="Aptos" w:hAnsi="Aptos"/>
                <w:b w:val="0"/>
                <w:color w:val="1F2937"/>
                <w:sz w:val="16"/>
              </w:rPr>
              <w:t>Stores completion acknowledgment and evidence.</w:t>
            </w:r>
          </w:p>
        </w:tc>
      </w:tr>
      <w:tr>
        <w:tc>
          <w:tcPr>
            <w:tcW w:type="dxa" w:w="5083"/>
            <w:vAlign w:val="center"/>
            <w:shd w:fill="F9FAFB"/>
          </w:tcPr>
          <w:p>
            <w:pPr>
              <w:spacing w:after="0"/>
            </w:pPr>
            <w:r/>
            <w:r>
              <w:rPr>
                <w:rFonts w:ascii="Aptos" w:hAnsi="Aptos"/>
                <w:b w:val="0"/>
                <w:color w:val="1F2937"/>
                <w:sz w:val="16"/>
              </w:rPr>
              <w:t>sop_enforcement_events</w:t>
            </w:r>
          </w:p>
        </w:tc>
        <w:tc>
          <w:tcPr>
            <w:tcW w:type="dxa" w:w="5083"/>
            <w:vAlign w:val="center"/>
            <w:shd w:fill="F9FAFB"/>
          </w:tcPr>
          <w:p>
            <w:pPr>
              <w:spacing w:after="0"/>
            </w:pPr>
            <w:r/>
            <w:r>
              <w:rPr>
                <w:rFonts w:ascii="Aptos" w:hAnsi="Aptos"/>
                <w:b w:val="0"/>
                <w:color w:val="1F2937"/>
                <w:sz w:val="16"/>
              </w:rPr>
              <w:t>Reminders, escalations, extensions and administrative actions.</w:t>
            </w:r>
          </w:p>
        </w:tc>
      </w:tr>
    </w:tbl>
    <w:p>
      <w:pPr>
        <w:spacing w:after="0"/>
      </w:pPr>
    </w:p>
    <w:p>
      <w:pPr>
        <w:pStyle w:val="Heading2"/>
      </w:pPr>
      <w:r>
        <w:t>10.2 Administrative versus personal views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3A6E"/>
            <w:vAlign w:val="center"/>
          </w:tcPr>
          <w:p>
            <w:pPr>
              <w:spacing w:after="0"/>
            </w:pPr>
            <w:r/>
            <w:r>
              <w:rPr>
                <w:rFonts w:ascii="Aptos" w:hAnsi="Aptos"/>
                <w:b/>
                <w:color w:val="FFFFFF"/>
                <w:sz w:val="17"/>
              </w:rPr>
              <w:t>View</w:t>
            </w:r>
          </w:p>
        </w:tc>
        <w:tc>
          <w:tcPr>
            <w:tcW w:type="dxa" w:w="3389"/>
            <w:shd w:fill="1F3A6E"/>
            <w:vAlign w:val="center"/>
          </w:tcPr>
          <w:p>
            <w:pPr>
              <w:spacing w:after="0"/>
            </w:pPr>
            <w:r/>
            <w:r>
              <w:rPr>
                <w:rFonts w:ascii="Aptos" w:hAnsi="Aptos"/>
                <w:b/>
                <w:color w:val="FFFFFF"/>
                <w:sz w:val="17"/>
              </w:rPr>
              <w:t>Required permission</w:t>
            </w:r>
          </w:p>
        </w:tc>
        <w:tc>
          <w:tcPr>
            <w:tcW w:type="dxa" w:w="3389"/>
            <w:shd w:fill="1F3A6E"/>
            <w:vAlign w:val="center"/>
          </w:tcPr>
          <w:p>
            <w:pPr>
              <w:spacing w:after="0"/>
            </w:pPr>
            <w:r/>
            <w:r>
              <w:rPr>
                <w:rFonts w:ascii="Aptos" w:hAnsi="Aptos"/>
                <w:b/>
                <w:color w:val="FFFFFF"/>
                <w:sz w:val="17"/>
              </w:rPr>
              <w:t>Behavior</w:t>
            </w:r>
          </w:p>
        </w:tc>
      </w:tr>
      <w:tr>
        <w:tc>
          <w:tcPr>
            <w:tcW w:type="dxa" w:w="3389"/>
            <w:vAlign w:val="center"/>
          </w:tcPr>
          <w:p>
            <w:pPr>
              <w:spacing w:after="0"/>
            </w:pPr>
            <w:r/>
            <w:r>
              <w:rPr>
                <w:rFonts w:ascii="Aptos" w:hAnsi="Aptos"/>
                <w:b w:val="0"/>
                <w:color w:val="1F2937"/>
                <w:sz w:val="16"/>
              </w:rPr>
              <w:t>My SOPs</w:t>
            </w:r>
          </w:p>
        </w:tc>
        <w:tc>
          <w:tcPr>
            <w:tcW w:type="dxa" w:w="3389"/>
            <w:vAlign w:val="center"/>
          </w:tcPr>
          <w:p>
            <w:pPr>
              <w:spacing w:after="0"/>
            </w:pPr>
            <w:r/>
            <w:r>
              <w:rPr>
                <w:rFonts w:ascii="Aptos" w:hAnsi="Aptos"/>
                <w:b w:val="0"/>
                <w:color w:val="1F2937"/>
                <w:sz w:val="16"/>
              </w:rPr>
              <w:t>sop.assignment.read_own</w:t>
            </w:r>
          </w:p>
        </w:tc>
        <w:tc>
          <w:tcPr>
            <w:tcW w:type="dxa" w:w="3389"/>
            <w:vAlign w:val="center"/>
          </w:tcPr>
          <w:p>
            <w:pPr>
              <w:spacing w:after="0"/>
            </w:pPr>
            <w:r/>
            <w:r>
              <w:rPr>
                <w:rFonts w:ascii="Aptos" w:hAnsi="Aptos"/>
                <w:b w:val="0"/>
                <w:color w:val="1F2937"/>
                <w:sz w:val="16"/>
              </w:rPr>
              <w:t>Only the logged-in user’s explicit assignments.</w:t>
            </w:r>
          </w:p>
        </w:tc>
      </w:tr>
      <w:tr>
        <w:tc>
          <w:tcPr>
            <w:tcW w:type="dxa" w:w="3389"/>
            <w:vAlign w:val="center"/>
            <w:shd w:fill="F9FAFB"/>
          </w:tcPr>
          <w:p>
            <w:pPr>
              <w:spacing w:after="0"/>
            </w:pPr>
            <w:r/>
            <w:r>
              <w:rPr>
                <w:rFonts w:ascii="Aptos" w:hAnsi="Aptos"/>
                <w:b w:val="0"/>
                <w:color w:val="1F2937"/>
                <w:sz w:val="16"/>
              </w:rPr>
              <w:t>Team compliance</w:t>
            </w:r>
          </w:p>
        </w:tc>
        <w:tc>
          <w:tcPr>
            <w:tcW w:type="dxa" w:w="3389"/>
            <w:vAlign w:val="center"/>
            <w:shd w:fill="F9FAFB"/>
          </w:tcPr>
          <w:p>
            <w:pPr>
              <w:spacing w:after="0"/>
            </w:pPr>
            <w:r/>
            <w:r>
              <w:rPr>
                <w:rFonts w:ascii="Aptos" w:hAnsi="Aptos"/>
                <w:b w:val="0"/>
                <w:color w:val="1F2937"/>
                <w:sz w:val="16"/>
              </w:rPr>
              <w:t>sop.assignment.read_team</w:t>
            </w:r>
          </w:p>
        </w:tc>
        <w:tc>
          <w:tcPr>
            <w:tcW w:type="dxa" w:w="3389"/>
            <w:vAlign w:val="center"/>
            <w:shd w:fill="F9FAFB"/>
          </w:tcPr>
          <w:p>
            <w:pPr>
              <w:spacing w:after="0"/>
            </w:pPr>
            <w:r/>
            <w:r>
              <w:rPr>
                <w:rFonts w:ascii="Aptos" w:hAnsi="Aptos"/>
                <w:b w:val="0"/>
                <w:color w:val="1F2937"/>
                <w:sz w:val="16"/>
              </w:rPr>
              <w:t>Only direct-report assignments.</w:t>
            </w:r>
          </w:p>
        </w:tc>
      </w:tr>
      <w:tr>
        <w:tc>
          <w:tcPr>
            <w:tcW w:type="dxa" w:w="3389"/>
            <w:vAlign w:val="center"/>
          </w:tcPr>
          <w:p>
            <w:pPr>
              <w:spacing w:after="0"/>
            </w:pPr>
            <w:r/>
            <w:r>
              <w:rPr>
                <w:rFonts w:ascii="Aptos" w:hAnsi="Aptos"/>
                <w:b w:val="0"/>
                <w:color w:val="1F2937"/>
                <w:sz w:val="16"/>
              </w:rPr>
              <w:t>All compliance</w:t>
            </w:r>
          </w:p>
        </w:tc>
        <w:tc>
          <w:tcPr>
            <w:tcW w:type="dxa" w:w="3389"/>
            <w:vAlign w:val="center"/>
          </w:tcPr>
          <w:p>
            <w:pPr>
              <w:spacing w:after="0"/>
            </w:pPr>
            <w:r/>
            <w:r>
              <w:rPr>
                <w:rFonts w:ascii="Aptos" w:hAnsi="Aptos"/>
                <w:b w:val="0"/>
                <w:color w:val="1F2937"/>
                <w:sz w:val="16"/>
              </w:rPr>
              <w:t>sop.compliance.read_all</w:t>
            </w:r>
          </w:p>
        </w:tc>
        <w:tc>
          <w:tcPr>
            <w:tcW w:type="dxa" w:w="3389"/>
            <w:vAlign w:val="center"/>
          </w:tcPr>
          <w:p>
            <w:pPr>
              <w:spacing w:after="0"/>
            </w:pPr>
            <w:r/>
            <w:r>
              <w:rPr>
                <w:rFonts w:ascii="Aptos" w:hAnsi="Aptos"/>
                <w:b w:val="0"/>
                <w:color w:val="1F2937"/>
                <w:sz w:val="16"/>
              </w:rPr>
              <w:t>Tenant-wide monitoring.</w:t>
            </w:r>
          </w:p>
        </w:tc>
      </w:tr>
      <w:tr>
        <w:tc>
          <w:tcPr>
            <w:tcW w:type="dxa" w:w="3389"/>
            <w:vAlign w:val="center"/>
            <w:shd w:fill="F9FAFB"/>
          </w:tcPr>
          <w:p>
            <w:pPr>
              <w:spacing w:after="0"/>
            </w:pPr>
            <w:r/>
            <w:r>
              <w:rPr>
                <w:rFonts w:ascii="Aptos" w:hAnsi="Aptos"/>
                <w:b w:val="0"/>
                <w:color w:val="1F2937"/>
                <w:sz w:val="16"/>
              </w:rPr>
              <w:t>Assignment management</w:t>
            </w:r>
          </w:p>
        </w:tc>
        <w:tc>
          <w:tcPr>
            <w:tcW w:type="dxa" w:w="3389"/>
            <w:vAlign w:val="center"/>
            <w:shd w:fill="F9FAFB"/>
          </w:tcPr>
          <w:p>
            <w:pPr>
              <w:spacing w:after="0"/>
            </w:pPr>
            <w:r/>
            <w:r>
              <w:rPr>
                <w:rFonts w:ascii="Aptos" w:hAnsi="Aptos"/>
                <w:b w:val="0"/>
                <w:color w:val="1F2937"/>
                <w:sz w:val="16"/>
              </w:rPr>
              <w:t>sop.assignment.create / enforce</w:t>
            </w:r>
          </w:p>
        </w:tc>
        <w:tc>
          <w:tcPr>
            <w:tcW w:type="dxa" w:w="3389"/>
            <w:vAlign w:val="center"/>
            <w:shd w:fill="F9FAFB"/>
          </w:tcPr>
          <w:p>
            <w:pPr>
              <w:spacing w:after="0"/>
            </w:pPr>
            <w:r/>
            <w:r>
              <w:rPr>
                <w:rFonts w:ascii="Aptos" w:hAnsi="Aptos"/>
                <w:b w:val="0"/>
                <w:color w:val="1F2937"/>
                <w:sz w:val="16"/>
              </w:rPr>
              <w:t>Assign, reassign, remind and escalate.</w:t>
            </w:r>
          </w:p>
        </w:tc>
      </w:tr>
      <w:tr>
        <w:tc>
          <w:tcPr>
            <w:tcW w:type="dxa" w:w="3389"/>
            <w:vAlign w:val="center"/>
          </w:tcPr>
          <w:p>
            <w:pPr>
              <w:spacing w:after="0"/>
            </w:pPr>
            <w:r/>
            <w:r>
              <w:rPr>
                <w:rFonts w:ascii="Aptos" w:hAnsi="Aptos"/>
                <w:b w:val="0"/>
                <w:color w:val="1F2937"/>
                <w:sz w:val="16"/>
              </w:rPr>
              <w:t>Catalog and rollout</w:t>
            </w:r>
          </w:p>
        </w:tc>
        <w:tc>
          <w:tcPr>
            <w:tcW w:type="dxa" w:w="3389"/>
            <w:vAlign w:val="center"/>
          </w:tcPr>
          <w:p>
            <w:pPr>
              <w:spacing w:after="0"/>
            </w:pPr>
            <w:r/>
            <w:r>
              <w:rPr>
                <w:rFonts w:ascii="Aptos" w:hAnsi="Aptos"/>
                <w:b w:val="0"/>
                <w:color w:val="1F2937"/>
                <w:sz w:val="16"/>
              </w:rPr>
              <w:t>sop.catalog.manage / sop.rollout.manage</w:t>
            </w:r>
          </w:p>
        </w:tc>
        <w:tc>
          <w:tcPr>
            <w:tcW w:type="dxa" w:w="3389"/>
            <w:vAlign w:val="center"/>
          </w:tcPr>
          <w:p>
            <w:pPr>
              <w:spacing w:after="0"/>
            </w:pPr>
            <w:r/>
            <w:r>
              <w:rPr>
                <w:rFonts w:ascii="Aptos" w:hAnsi="Aptos"/>
                <w:b w:val="0"/>
                <w:color w:val="1F2937"/>
                <w:sz w:val="16"/>
              </w:rPr>
              <w:t>Manage SOP versions and release audiences.</w:t>
            </w:r>
          </w:p>
        </w:tc>
      </w:tr>
    </w:tbl>
    <w:p>
      <w:pPr>
        <w:spacing w:after="0"/>
      </w:pPr>
    </w:p>
    <w:p>
      <w:pPr>
        <w:pStyle w:val="Heading2"/>
      </w:pPr>
      <w:r>
        <w:t>10.3 Replace the current rollout setting</w:t>
      </w:r>
    </w:p>
    <w:p>
      <w:r>
        <w:t>The current pilot mode should be retired after migration. A production rollout is a business release object, not a security switch. It should support draft, scheduled, active, paused, completed and cancelled states, with audiences such as all employees, department, position, job function, reporting team or specific users.</w:t>
      </w:r>
    </w:p>
    <w:p>
      <w:pPr>
        <w:pStyle w:val="Heading1"/>
      </w:pPr>
      <w:r>
        <w:t>11. Guest Author and Reviewer Access</w:t>
      </w:r>
    </w:p>
    <w:p>
      <w:pPr>
        <w:pStyle w:val="ListBullet"/>
        <w:spacing w:after="40"/>
      </w:pPr>
      <w:r>
        <w:t>Create a normal identity with account_type = external_guest or equivalent; do not use shared links for reusable collaboration.</w:t>
      </w:r>
    </w:p>
    <w:p>
      <w:pPr>
        <w:pStyle w:val="ListBullet"/>
        <w:spacing w:after="40"/>
      </w:pPr>
      <w:r>
        <w:t>Invite the verified email address through a single-use acceptance flow.</w:t>
      </w:r>
    </w:p>
    <w:p>
      <w:pPr>
        <w:pStyle w:val="ListBullet"/>
        <w:spacing w:after="40"/>
      </w:pPr>
      <w:r>
        <w:t>Grant access through a content_collaborators record scoped to one article.</w:t>
      </w:r>
    </w:p>
    <w:p>
      <w:pPr>
        <w:pStyle w:val="ListBullet"/>
        <w:spacing w:after="40"/>
      </w:pPr>
      <w:r>
        <w:t>Default permissions: content.article.read and content.article.comment.</w:t>
      </w:r>
    </w:p>
    <w:p>
      <w:pPr>
        <w:pStyle w:val="ListBullet"/>
        <w:spacing w:after="40"/>
      </w:pPr>
      <w:r>
        <w:t>Store collaborator type separately: viewer, reviewer, contributor or co_author.</w:t>
      </w:r>
    </w:p>
    <w:p>
      <w:pPr>
        <w:pStyle w:val="ListBullet"/>
        <w:spacing w:after="40"/>
      </w:pPr>
      <w:r>
        <w:t>Author-profile tags and public titles are display metadata and never grant access.</w:t>
      </w:r>
    </w:p>
    <w:p>
      <w:pPr>
        <w:pStyle w:val="ListBullet"/>
        <w:spacing w:after="40"/>
      </w:pPr>
      <w:r>
        <w:t>Set an expiration date and allow immediate revocation.</w:t>
      </w:r>
    </w:p>
    <w:p>
      <w:pPr>
        <w:pStyle w:val="ListBullet"/>
        <w:spacing w:after="40"/>
      </w:pPr>
      <w:r>
        <w:t>Prevent guests from inviting others, browsing unrelated content or crossing tenant boundaries.</w:t>
      </w:r>
    </w:p>
    <w:p>
      <w:pPr>
        <w:pStyle w:val="ListBullet"/>
        <w:spacing w:after="40"/>
      </w:pPr>
      <w:r>
        <w:t>Audit views, comments, edits and invitation lifecycle events.</w:t>
      </w:r>
    </w:p>
    <w:p>
      <w:pPr>
        <w:pStyle w:val="Heading1"/>
      </w:pPr>
      <w:r>
        <w:t>12. Replit-Specific Implementation Recommendation</w:t>
      </w:r>
    </w:p>
    <w:p>
      <w:r>
        <w:t>Retain the current Node.js, Express, React, TypeScript and PostgreSQL monolith on Replit. The access-control refactor does not require microservices. Implement clear modules and middleware inside the existing backend.</w:t>
      </w:r>
    </w:p>
    <w:p>
      <w:pPr>
        <w:pStyle w:val="Heading2"/>
      </w:pPr>
      <w:r>
        <w:t>12.1 Recommended module structure</w:t>
      </w:r>
    </w:p>
    <w:p>
      <w:r>
        <w:rPr>
          <w:rFonts w:ascii="Consolas" w:hAnsi="Consolas"/>
          <w:sz w:val="17"/>
        </w:rPr>
        <w:t>server/</w:t>
        <w:br/>
        <w:t xml:space="preserve">  auth/</w:t>
        <w:br/>
        <w:t xml:space="preserve">    sessionService.ts</w:t>
        <w:br/>
        <w:t xml:space="preserve">    mfaService.ts</w:t>
        <w:br/>
        <w:t xml:space="preserve">    authenticationMiddleware.ts</w:t>
        <w:br/>
        <w:br/>
        <w:t xml:space="preserve">  authorization/</w:t>
        <w:br/>
        <w:t xml:space="preserve">    authorizationService.ts</w:t>
        <w:br/>
        <w:t xml:space="preserve">    permissionResolver.ts</w:t>
        <w:br/>
        <w:t xml:space="preserve">    scopeResolver.ts</w:t>
        <w:br/>
        <w:t xml:space="preserve">    policyTypes.ts</w:t>
        <w:br/>
        <w:t xml:space="preserve">    requirePermission.ts</w:t>
        <w:br/>
        <w:t xml:space="preserve">    auditAuthorization.ts</w:t>
        <w:br/>
        <w:br/>
        <w:t xml:space="preserve">  tenancy/</w:t>
        <w:br/>
        <w:t xml:space="preserve">    tenantResolver.ts</w:t>
        <w:br/>
        <w:t xml:space="preserve">    entitlementService.ts</w:t>
        <w:br/>
        <w:br/>
        <w:t xml:space="preserve">  domains/</w:t>
        <w:br/>
        <w:t xml:space="preserve">    sop/</w:t>
        <w:br/>
        <w:t xml:space="preserve">    content/</w:t>
        <w:br/>
        <w:t xml:space="preserve">    bd/</w:t>
        <w:br/>
        <w:t xml:space="preserve">    ceipal/</w:t>
        <w:br/>
        <w:t xml:space="preserve">    hr/</w:t>
        <w:br/>
        <w:br/>
        <w:t>shared/</w:t>
        <w:br/>
        <w:t xml:space="preserve">  authz/</w:t>
        <w:br/>
        <w:t xml:space="preserve">    permissions.ts</w:t>
        <w:br/>
        <w:t xml:space="preserve">    products.ts</w:t>
        <w:br/>
        <w:t xml:space="preserve">    roles.ts</w:t>
        <w:br/>
        <w:t xml:space="preserve">    schemas.ts</w:t>
      </w:r>
    </w:p>
    <w:p>
      <w:pPr>
        <w:pStyle w:val="Heading2"/>
      </w:pPr>
      <w:r>
        <w:t>12.2 Route enforcement pattern</w:t>
      </w:r>
    </w:p>
    <w:p>
      <w:r>
        <w:rPr>
          <w:rFonts w:ascii="Consolas" w:hAnsi="Consolas"/>
          <w:sz w:val="17"/>
        </w:rPr>
        <w:t>app.post(</w:t>
        <w:br/>
        <w:t xml:space="preserve">  "/api/content/:id/comments",</w:t>
        <w:br/>
        <w:t xml:space="preserve">  requireAuthentication,</w:t>
        <w:br/>
        <w:t xml:space="preserve">  resolveTenant,</w:t>
        <w:br/>
        <w:t xml:space="preserve">  requireProductMembership("content_studio"),</w:t>
        <w:br/>
        <w:t xml:space="preserve">  requirePermission("content.article.comment", {</w:t>
        <w:br/>
        <w:t xml:space="preserve">    resource: "content_item",</w:t>
        <w:br/>
        <w:t xml:space="preserve">    idParam: "id"</w:t>
        <w:br/>
        <w:t xml:space="preserve">  }),</w:t>
        <w:br/>
        <w:t xml:space="preserve">  createCommentHandler</w:t>
        <w:br/>
        <w:t>);</w:t>
      </w:r>
    </w:p>
    <w:p>
      <w:pPr>
        <w:pStyle w:val="Heading2"/>
      </w:pPr>
      <w:r>
        <w:t>12.3 Replit deployment safeguards</w:t>
      </w:r>
    </w:p>
    <w:p>
      <w:pPr>
        <w:pStyle w:val="ListBullet"/>
        <w:spacing w:after="40"/>
      </w:pPr>
      <w:r>
        <w:t>Keep secrets only in Replit Secrets; never in source, logs or client bundles.</w:t>
      </w:r>
    </w:p>
    <w:p>
      <w:pPr>
        <w:pStyle w:val="ListBullet"/>
        <w:spacing w:after="40"/>
      </w:pPr>
      <w:r>
        <w:t>Use separate development, staging and production databases or schemas.</w:t>
      </w:r>
    </w:p>
    <w:p>
      <w:pPr>
        <w:pStyle w:val="ListBullet"/>
        <w:spacing w:after="40"/>
      </w:pPr>
      <w:r>
        <w:t>Run migrations through versioned Drizzle migration files, not ad hoc production pushes.</w:t>
      </w:r>
    </w:p>
    <w:p>
      <w:pPr>
        <w:pStyle w:val="ListBullet"/>
        <w:spacing w:after="40"/>
      </w:pPr>
      <w:r>
        <w:t>Fail startup when required secrets or permission seed versions are missing.</w:t>
      </w:r>
    </w:p>
    <w:p>
      <w:pPr>
        <w:pStyle w:val="ListBullet"/>
        <w:spacing w:after="40"/>
      </w:pPr>
      <w:r>
        <w:t>Use secure, HttpOnly cookies with Secure enabled in production and an appropriate SameSite policy.</w:t>
      </w:r>
    </w:p>
    <w:p>
      <w:pPr>
        <w:pStyle w:val="ListBullet"/>
        <w:spacing w:after="40"/>
      </w:pPr>
      <w:r>
        <w:t>Set trusted proxy handling correctly before relying on IP, protocol or secure-cookie behavior.</w:t>
      </w:r>
    </w:p>
    <w:p>
      <w:pPr>
        <w:pStyle w:val="ListBullet"/>
        <w:spacing w:after="40"/>
      </w:pPr>
      <w:r>
        <w:t>Rate-limit login, MFA, invitation acceptance, password reset and privileged configuration routes.</w:t>
      </w:r>
    </w:p>
    <w:p>
      <w:pPr>
        <w:pStyle w:val="ListBullet"/>
        <w:spacing w:after="40"/>
      </w:pPr>
      <w:r>
        <w:t>Send structured audit logs without PII, credentials or session tokens.</w:t>
      </w:r>
    </w:p>
    <w:p>
      <w:pPr>
        <w:pStyle w:val="ListBullet"/>
        <w:spacing w:after="40"/>
      </w:pPr>
      <w:r>
        <w:t>Back up authorization configuration and test restoration.</w:t>
      </w:r>
    </w:p>
    <w:p>
      <w:pPr>
        <w:pStyle w:val="ListBullet"/>
        <w:spacing w:after="40"/>
      </w:pPr>
      <w:r>
        <w:t>Do not expose Replit development URLs or preview deployments as production identity callback URLs.</w:t>
      </w:r>
    </w:p>
    <w:p>
      <w:pPr>
        <w:pStyle w:val="ListBullet"/>
        <w:spacing w:after="40"/>
      </w:pPr>
      <w:r>
        <w:t>Apply database transactions to role assignment, permission changes and SOP assignment generation.</w:t>
      </w:r>
    </w:p>
    <w:p>
      <w:pPr>
        <w:pStyle w:val="ListBullet"/>
        <w:spacing w:after="40"/>
      </w:pPr>
      <w:r>
        <w:t>Invalidate sessions or refresh authorization claims after high-impact role, status or MFA changes.</w:t>
      </w:r>
    </w:p>
    <w:p>
      <w:pPr>
        <w:pStyle w:val="Heading2"/>
      </w:pPr>
      <w:r>
        <w:t>12.4 Caching guidance</w:t>
      </w:r>
    </w:p>
    <w:p>
      <w:r>
        <w:t>At the current internal-user scale, resolve effective permissions from PostgreSQL with lightweight request caching. Do not add Redis solely for authorization. If caching is introduced, use a short TTL and explicit invalidation after role, grant, membership or account-status changes. Security correctness is more important than premature optimization.</w:t>
      </w:r>
    </w:p>
    <w:p>
      <w:pPr>
        <w:pStyle w:val="Heading1"/>
      </w:pPr>
      <w:r>
        <w:t>13. Authentication and Session Controls</w:t>
      </w:r>
    </w:p>
    <w:tbl>
      <w:tblPr>
        <w:tblStyle w:val="TableGrid"/>
        <w:tblW w:type="auto" w:w="0"/>
        <w:jc w:val="center"/>
        <w:tblLook w:firstColumn="1" w:firstRow="1" w:lastColumn="0" w:lastRow="0" w:noHBand="0" w:noVBand="1" w:val="04A0"/>
      </w:tblPr>
      <w:tblGrid>
        <w:gridCol w:w="5083"/>
        <w:gridCol w:w="5083"/>
      </w:tblGrid>
      <w:tr>
        <w:tc>
          <w:tcPr>
            <w:tcW w:type="dxa" w:w="5083"/>
            <w:shd w:fill="1F3A6E"/>
            <w:vAlign w:val="center"/>
          </w:tcPr>
          <w:p>
            <w:pPr>
              <w:spacing w:after="0"/>
            </w:pPr>
            <w:r/>
            <w:r>
              <w:rPr>
                <w:rFonts w:ascii="Aptos" w:hAnsi="Aptos"/>
                <w:b/>
                <w:color w:val="FFFFFF"/>
                <w:sz w:val="17"/>
              </w:rPr>
              <w:t>Control</w:t>
            </w:r>
          </w:p>
        </w:tc>
        <w:tc>
          <w:tcPr>
            <w:tcW w:type="dxa" w:w="5083"/>
            <w:shd w:fill="1F3A6E"/>
            <w:vAlign w:val="center"/>
          </w:tcPr>
          <w:p>
            <w:pPr>
              <w:spacing w:after="0"/>
            </w:pPr>
            <w:r/>
            <w:r>
              <w:rPr>
                <w:rFonts w:ascii="Aptos" w:hAnsi="Aptos"/>
                <w:b/>
                <w:color w:val="FFFFFF"/>
                <w:sz w:val="17"/>
              </w:rPr>
              <w:t>Recommendation</w:t>
            </w:r>
          </w:p>
        </w:tc>
      </w:tr>
      <w:tr>
        <w:tc>
          <w:tcPr>
            <w:tcW w:type="dxa" w:w="5083"/>
            <w:vAlign w:val="center"/>
          </w:tcPr>
          <w:p>
            <w:pPr>
              <w:spacing w:after="0"/>
            </w:pPr>
            <w:r/>
            <w:r>
              <w:rPr>
                <w:rFonts w:ascii="Aptos" w:hAnsi="Aptos"/>
                <w:b w:val="0"/>
                <w:color w:val="1F2937"/>
                <w:sz w:val="16"/>
              </w:rPr>
              <w:t>Employee MFA</w:t>
            </w:r>
          </w:p>
        </w:tc>
        <w:tc>
          <w:tcPr>
            <w:tcW w:type="dxa" w:w="5083"/>
            <w:vAlign w:val="center"/>
          </w:tcPr>
          <w:p>
            <w:pPr>
              <w:spacing w:after="0"/>
            </w:pPr>
            <w:r/>
            <w:r>
              <w:rPr>
                <w:rFonts w:ascii="Aptos" w:hAnsi="Aptos"/>
                <w:b w:val="0"/>
                <w:color w:val="1F2937"/>
                <w:sz w:val="16"/>
              </w:rPr>
              <w:t>Require MFA for all employees; prefer passkeys/WebAuthn, allow TOTP as managed fallback.</w:t>
            </w:r>
          </w:p>
        </w:tc>
      </w:tr>
      <w:tr>
        <w:tc>
          <w:tcPr>
            <w:tcW w:type="dxa" w:w="5083"/>
            <w:vAlign w:val="center"/>
            <w:shd w:fill="F9FAFB"/>
          </w:tcPr>
          <w:p>
            <w:pPr>
              <w:spacing w:after="0"/>
            </w:pPr>
            <w:r/>
            <w:r>
              <w:rPr>
                <w:rFonts w:ascii="Aptos" w:hAnsi="Aptos"/>
                <w:b w:val="0"/>
                <w:color w:val="1F2937"/>
                <w:sz w:val="16"/>
              </w:rPr>
              <w:t>Privileged MFA</w:t>
            </w:r>
          </w:p>
        </w:tc>
        <w:tc>
          <w:tcPr>
            <w:tcW w:type="dxa" w:w="5083"/>
            <w:vAlign w:val="center"/>
            <w:shd w:fill="F9FAFB"/>
          </w:tcPr>
          <w:p>
            <w:pPr>
              <w:spacing w:after="0"/>
            </w:pPr>
            <w:r/>
            <w:r>
              <w:rPr>
                <w:rFonts w:ascii="Aptos" w:hAnsi="Aptos"/>
                <w:b w:val="0"/>
                <w:color w:val="1F2937"/>
                <w:sz w:val="16"/>
              </w:rPr>
              <w:t>Require phishing-resistant MFA for platform and tenant administrators.</w:t>
            </w:r>
          </w:p>
        </w:tc>
      </w:tr>
      <w:tr>
        <w:tc>
          <w:tcPr>
            <w:tcW w:type="dxa" w:w="5083"/>
            <w:vAlign w:val="center"/>
          </w:tcPr>
          <w:p>
            <w:pPr>
              <w:spacing w:after="0"/>
            </w:pPr>
            <w:r/>
            <w:r>
              <w:rPr>
                <w:rFonts w:ascii="Aptos" w:hAnsi="Aptos"/>
                <w:b w:val="0"/>
                <w:color w:val="1F2937"/>
                <w:sz w:val="16"/>
              </w:rPr>
              <w:t>Step-up authentication</w:t>
            </w:r>
          </w:p>
        </w:tc>
        <w:tc>
          <w:tcPr>
            <w:tcW w:type="dxa" w:w="5083"/>
            <w:vAlign w:val="center"/>
          </w:tcPr>
          <w:p>
            <w:pPr>
              <w:spacing w:after="0"/>
            </w:pPr>
            <w:r/>
            <w:r>
              <w:rPr>
                <w:rFonts w:ascii="Aptos" w:hAnsi="Aptos"/>
                <w:b w:val="0"/>
                <w:color w:val="1F2937"/>
                <w:sz w:val="16"/>
              </w:rPr>
              <w:t>Require recent MFA for role assignment, MFA reset, sensitive export, entitlement changes and impersonation.</w:t>
            </w:r>
          </w:p>
        </w:tc>
      </w:tr>
      <w:tr>
        <w:tc>
          <w:tcPr>
            <w:tcW w:type="dxa" w:w="5083"/>
            <w:vAlign w:val="center"/>
            <w:shd w:fill="F9FAFB"/>
          </w:tcPr>
          <w:p>
            <w:pPr>
              <w:spacing w:after="0"/>
            </w:pPr>
            <w:r/>
            <w:r>
              <w:rPr>
                <w:rFonts w:ascii="Aptos" w:hAnsi="Aptos"/>
                <w:b w:val="0"/>
                <w:color w:val="1F2937"/>
                <w:sz w:val="16"/>
              </w:rPr>
              <w:t>Sessions</w:t>
            </w:r>
          </w:p>
        </w:tc>
        <w:tc>
          <w:tcPr>
            <w:tcW w:type="dxa" w:w="5083"/>
            <w:vAlign w:val="center"/>
            <w:shd w:fill="F9FAFB"/>
          </w:tcPr>
          <w:p>
            <w:pPr>
              <w:spacing w:after="0"/>
            </w:pPr>
            <w:r/>
            <w:r>
              <w:rPr>
                <w:rFonts w:ascii="Aptos" w:hAnsi="Aptos"/>
                <w:b w:val="0"/>
                <w:color w:val="1F2937"/>
                <w:sz w:val="16"/>
              </w:rPr>
              <w:t>Use server-managed sessions with secure cookies, rotation after login/privilege change, idle timeout and absolute timeout.</w:t>
            </w:r>
          </w:p>
        </w:tc>
      </w:tr>
      <w:tr>
        <w:tc>
          <w:tcPr>
            <w:tcW w:type="dxa" w:w="5083"/>
            <w:vAlign w:val="center"/>
          </w:tcPr>
          <w:p>
            <w:pPr>
              <w:spacing w:after="0"/>
            </w:pPr>
            <w:r/>
            <w:r>
              <w:rPr>
                <w:rFonts w:ascii="Aptos" w:hAnsi="Aptos"/>
                <w:b w:val="0"/>
                <w:color w:val="1F2937"/>
                <w:sz w:val="16"/>
              </w:rPr>
              <w:t>Revocation</w:t>
            </w:r>
          </w:p>
        </w:tc>
        <w:tc>
          <w:tcPr>
            <w:tcW w:type="dxa" w:w="5083"/>
            <w:vAlign w:val="center"/>
          </w:tcPr>
          <w:p>
            <w:pPr>
              <w:spacing w:after="0"/>
            </w:pPr>
            <w:r/>
            <w:r>
              <w:rPr>
                <w:rFonts w:ascii="Aptos" w:hAnsi="Aptos"/>
                <w:b w:val="0"/>
                <w:color w:val="1F2937"/>
                <w:sz w:val="16"/>
              </w:rPr>
              <w:t>Invalidate sessions after termination, suspension, password reset, MFA reset and high-risk privilege changes.</w:t>
            </w:r>
          </w:p>
        </w:tc>
      </w:tr>
      <w:tr>
        <w:tc>
          <w:tcPr>
            <w:tcW w:type="dxa" w:w="5083"/>
            <w:vAlign w:val="center"/>
            <w:shd w:fill="F9FAFB"/>
          </w:tcPr>
          <w:p>
            <w:pPr>
              <w:spacing w:after="0"/>
            </w:pPr>
            <w:r/>
            <w:r>
              <w:rPr>
                <w:rFonts w:ascii="Aptos" w:hAnsi="Aptos"/>
                <w:b w:val="0"/>
                <w:color w:val="1F2937"/>
                <w:sz w:val="16"/>
              </w:rPr>
              <w:t>Recovery</w:t>
            </w:r>
          </w:p>
        </w:tc>
        <w:tc>
          <w:tcPr>
            <w:tcW w:type="dxa" w:w="5083"/>
            <w:vAlign w:val="center"/>
            <w:shd w:fill="F9FAFB"/>
          </w:tcPr>
          <w:p>
            <w:pPr>
              <w:spacing w:after="0"/>
            </w:pPr>
            <w:r/>
            <w:r>
              <w:rPr>
                <w:rFonts w:ascii="Aptos" w:hAnsi="Aptos"/>
                <w:b w:val="0"/>
                <w:color w:val="1F2937"/>
                <w:sz w:val="16"/>
              </w:rPr>
              <w:t>Use single-use recovery codes and a strongly verified recovery process.</w:t>
            </w:r>
          </w:p>
        </w:tc>
      </w:tr>
      <w:tr>
        <w:tc>
          <w:tcPr>
            <w:tcW w:type="dxa" w:w="5083"/>
            <w:vAlign w:val="center"/>
          </w:tcPr>
          <w:p>
            <w:pPr>
              <w:spacing w:after="0"/>
            </w:pPr>
            <w:r/>
            <w:r>
              <w:rPr>
                <w:rFonts w:ascii="Aptos" w:hAnsi="Aptos"/>
                <w:b w:val="0"/>
                <w:color w:val="1F2937"/>
                <w:sz w:val="16"/>
              </w:rPr>
              <w:t>Shared accounts</w:t>
            </w:r>
          </w:p>
        </w:tc>
        <w:tc>
          <w:tcPr>
            <w:tcW w:type="dxa" w:w="5083"/>
            <w:vAlign w:val="center"/>
          </w:tcPr>
          <w:p>
            <w:pPr>
              <w:spacing w:after="0"/>
            </w:pPr>
            <w:r/>
            <w:r>
              <w:rPr>
                <w:rFonts w:ascii="Aptos" w:hAnsi="Aptos"/>
                <w:b w:val="0"/>
                <w:color w:val="1F2937"/>
                <w:sz w:val="16"/>
              </w:rPr>
              <w:t>Prohibit shared employee or administrator accounts.</w:t>
            </w:r>
          </w:p>
        </w:tc>
      </w:tr>
      <w:tr>
        <w:tc>
          <w:tcPr>
            <w:tcW w:type="dxa" w:w="5083"/>
            <w:vAlign w:val="center"/>
            <w:shd w:fill="F9FAFB"/>
          </w:tcPr>
          <w:p>
            <w:pPr>
              <w:spacing w:after="0"/>
            </w:pPr>
            <w:r/>
            <w:r>
              <w:rPr>
                <w:rFonts w:ascii="Aptos" w:hAnsi="Aptos"/>
                <w:b w:val="0"/>
                <w:color w:val="1F2937"/>
                <w:sz w:val="16"/>
              </w:rPr>
              <w:t>Audit</w:t>
            </w:r>
          </w:p>
        </w:tc>
        <w:tc>
          <w:tcPr>
            <w:tcW w:type="dxa" w:w="5083"/>
            <w:vAlign w:val="center"/>
            <w:shd w:fill="F9FAFB"/>
          </w:tcPr>
          <w:p>
            <w:pPr>
              <w:spacing w:after="0"/>
            </w:pPr>
            <w:r/>
            <w:r>
              <w:rPr>
                <w:rFonts w:ascii="Aptos" w:hAnsi="Aptos"/>
                <w:b w:val="0"/>
                <w:color w:val="1F2937"/>
                <w:sz w:val="16"/>
              </w:rPr>
              <w:t>Log authentication success/failure, MFA changes, recovery and privileged session actions.</w:t>
            </w:r>
          </w:p>
        </w:tc>
      </w:tr>
    </w:tbl>
    <w:p>
      <w:pPr>
        <w:spacing w:after="0"/>
      </w:pPr>
    </w:p>
    <w:p>
      <w:pPr>
        <w:pStyle w:val="Heading1"/>
      </w:pPr>
      <w:r>
        <w:t>14. Replit Migration Plan</w:t>
      </w:r>
    </w:p>
    <w:p>
      <w:pPr>
        <w:pStyle w:val="Heading2"/>
      </w:pPr>
      <w:r>
        <w:t>Phase 0 — Stabilize current production behavior</w:t>
      </w:r>
    </w:p>
    <w:p>
      <w:pPr>
        <w:pStyle w:val="ListBullet"/>
        <w:spacing w:after="40"/>
      </w:pPr>
      <w:r>
        <w:t>Remove account_manager from enum-backed dropdowns and hardcoded system-role checks.</w:t>
      </w:r>
    </w:p>
    <w:p>
      <w:pPr>
        <w:pStyle w:val="ListBullet"/>
        <w:spacing w:after="40"/>
      </w:pPr>
      <w:r>
        <w:t>Add visible error handling for rejected role updates.</w:t>
      </w:r>
    </w:p>
    <w:p>
      <w:pPr>
        <w:pStyle w:val="ListBullet"/>
        <w:spacing w:after="40"/>
      </w:pPr>
      <w:r>
        <w:t>Restore required SOP assignments for existing users without creating admin-as-assignee bypass behavior.</w:t>
      </w:r>
    </w:p>
    <w:p>
      <w:pPr>
        <w:pStyle w:val="ListBullet"/>
        <w:spacing w:after="40"/>
      </w:pPr>
      <w:r>
        <w:t>Correct the temporary pilot configuration so intended users can access the current governance experience.</w:t>
      </w:r>
    </w:p>
    <w:p>
      <w:pPr>
        <w:pStyle w:val="ListBullet"/>
        <w:spacing w:after="40"/>
      </w:pPr>
      <w:r>
        <w:t>Add explicit empty states when users have no assignments.</w:t>
      </w:r>
    </w:p>
    <w:p>
      <w:pPr>
        <w:pStyle w:val="Heading2"/>
      </w:pPr>
      <w:r>
        <w:t>Phase 1 — Inventory all access decisions</w:t>
      </w:r>
    </w:p>
    <w:p>
      <w:pPr>
        <w:pStyle w:val="ListBullet"/>
        <w:spacing w:after="40"/>
      </w:pPr>
      <w:r>
        <w:t>Search backend and frontend for role, designation, department, author, isAdmin and feature-access conditions.</w:t>
      </w:r>
    </w:p>
    <w:p>
      <w:pPr>
        <w:pStyle w:val="ListBullet"/>
        <w:spacing w:after="40"/>
      </w:pPr>
      <w:r>
        <w:t>Classify every finding as authorization, presentation, workflow routing, rollout, ownership or data scope.</w:t>
      </w:r>
    </w:p>
    <w:p>
      <w:pPr>
        <w:pStyle w:val="ListBullet"/>
        <w:spacing w:after="40"/>
      </w:pPr>
      <w:r>
        <w:t>Build a permission matrix before changing behavior.</w:t>
      </w:r>
    </w:p>
    <w:p>
      <w:pPr>
        <w:pStyle w:val="ListBullet"/>
        <w:spacing w:after="40"/>
      </w:pPr>
      <w:r>
        <w:t>Identify endpoints that rely only on frontend hiding and add them to the highest-risk list.</w:t>
      </w:r>
    </w:p>
    <w:p>
      <w:pPr>
        <w:pStyle w:val="Heading2"/>
      </w:pPr>
      <w:r>
        <w:t>Phase 2 — Add normalized authorization tables</w:t>
      </w:r>
    </w:p>
    <w:p>
      <w:pPr>
        <w:pStyle w:val="ListBullet"/>
        <w:spacing w:after="40"/>
      </w:pPr>
      <w:r>
        <w:t>Create products, entitlements, memberships, roles, permissions, role_permissions and user_role_assignments.</w:t>
      </w:r>
    </w:p>
    <w:p>
      <w:pPr>
        <w:pStyle w:val="ListBullet"/>
        <w:spacing w:after="40"/>
      </w:pPr>
      <w:r>
        <w:t>Seed permission codes through a versioned migration.</w:t>
      </w:r>
    </w:p>
    <w:p>
      <w:pPr>
        <w:pStyle w:val="ListBullet"/>
        <w:spacing w:after="40"/>
      </w:pPr>
      <w:r>
        <w:t>Backfill current users from the legacy role enum.</w:t>
      </w:r>
    </w:p>
    <w:p>
      <w:pPr>
        <w:pStyle w:val="ListBullet"/>
        <w:spacing w:after="40"/>
      </w:pPr>
      <w:r>
        <w:t>Keep the legacy role column read-only during compatibility migration.</w:t>
      </w:r>
    </w:p>
    <w:p>
      <w:pPr>
        <w:pStyle w:val="Heading2"/>
      </w:pPr>
      <w:r>
        <w:t>Phase 3 — Centralize backend enforcement</w:t>
      </w:r>
    </w:p>
    <w:p>
      <w:pPr>
        <w:pStyle w:val="ListBullet"/>
        <w:spacing w:after="40"/>
      </w:pPr>
      <w:r>
        <w:t>Implement authorization.require() and standard middleware.</w:t>
      </w:r>
    </w:p>
    <w:p>
      <w:pPr>
        <w:pStyle w:val="ListBullet"/>
        <w:spacing w:after="40"/>
      </w:pPr>
      <w:r>
        <w:t>Migrate sensitive APIs first: users, roles, HR, SOP governance, publishing, BD assignment and CEIPAL submission.</w:t>
      </w:r>
    </w:p>
    <w:p>
      <w:pPr>
        <w:pStyle w:val="ListBullet"/>
        <w:spacing w:after="40"/>
      </w:pPr>
      <w:r>
        <w:t>Deny by default and log denied privileged requests.</w:t>
      </w:r>
    </w:p>
    <w:p>
      <w:pPr>
        <w:pStyle w:val="ListBullet"/>
        <w:spacing w:after="40"/>
      </w:pPr>
      <w:r>
        <w:t>Add direct-report and article-collaborator scope resolvers.</w:t>
      </w:r>
    </w:p>
    <w:p>
      <w:pPr>
        <w:pStyle w:val="Heading2"/>
      </w:pPr>
      <w:r>
        <w:t>Phase 4 — Migrate frontend behavior</w:t>
      </w:r>
    </w:p>
    <w:p>
      <w:pPr>
        <w:pStyle w:val="ListBullet"/>
        <w:spacing w:after="40"/>
      </w:pPr>
      <w:r>
        <w:t>Return effective products and permissions from the session/bootstrap endpoint.</w:t>
      </w:r>
    </w:p>
    <w:p>
      <w:pPr>
        <w:pStyle w:val="ListBullet"/>
        <w:spacing w:after="40"/>
      </w:pPr>
      <w:r>
        <w:t>Use one can(permission) helper for navigation and component visibility.</w:t>
      </w:r>
    </w:p>
    <w:p>
      <w:pPr>
        <w:pStyle w:val="ListBullet"/>
        <w:spacing w:after="40"/>
      </w:pPr>
      <w:r>
        <w:t>Remove role arrays and title checks from React components.</w:t>
      </w:r>
    </w:p>
    <w:p>
      <w:pPr>
        <w:pStyle w:val="ListBullet"/>
        <w:spacing w:after="40"/>
      </w:pPr>
      <w:r>
        <w:t>Treat UI checks only as user-experience behavior, never security enforcement.</w:t>
      </w:r>
    </w:p>
    <w:p>
      <w:pPr>
        <w:pStyle w:val="Heading2"/>
      </w:pPr>
      <w:r>
        <w:t>Phase 5 — Rebuild SOP rollout and assignment</w:t>
      </w:r>
    </w:p>
    <w:p>
      <w:pPr>
        <w:pStyle w:val="ListBullet"/>
        <w:spacing w:after="40"/>
      </w:pPr>
      <w:r>
        <w:t>Create rollout, audience, assignment, progress and enforcement records.</w:t>
      </w:r>
    </w:p>
    <w:p>
      <w:pPr>
        <w:pStyle w:val="ListBullet"/>
        <w:spacing w:after="40"/>
      </w:pPr>
      <w:r>
        <w:t>Generate assignments idempotently and transactionally.</w:t>
      </w:r>
    </w:p>
    <w:p>
      <w:pPr>
        <w:pStyle w:val="ListBullet"/>
        <w:spacing w:after="40"/>
      </w:pPr>
      <w:r>
        <w:t>Separate My SOPs, Team Compliance and SOP Administration.</w:t>
      </w:r>
    </w:p>
    <w:p>
      <w:pPr>
        <w:pStyle w:val="ListBullet"/>
        <w:spacing w:after="40"/>
      </w:pPr>
      <w:r>
        <w:t>Migrate existing progress records to explicit assignments.</w:t>
      </w:r>
    </w:p>
    <w:p>
      <w:pPr>
        <w:pStyle w:val="Heading2"/>
      </w:pPr>
      <w:r>
        <w:t>Phase 6 — Remove the legacy model</w:t>
      </w:r>
    </w:p>
    <w:p>
      <w:pPr>
        <w:pStyle w:val="ListBullet"/>
        <w:spacing w:after="40"/>
      </w:pPr>
      <w:r>
        <w:t>Compare old and new authorization decisions in shadow mode before cutover.</w:t>
      </w:r>
    </w:p>
    <w:p>
      <w:pPr>
        <w:pStyle w:val="ListBullet"/>
        <w:spacing w:after="40"/>
      </w:pPr>
      <w:r>
        <w:t>Remove legacy enum enforcement after parity and security testing.</w:t>
      </w:r>
    </w:p>
    <w:p>
      <w:pPr>
        <w:pStyle w:val="ListBullet"/>
        <w:spacing w:after="40"/>
      </w:pPr>
      <w:r>
        <w:t>Delete designation- and department-based access checks.</w:t>
      </w:r>
    </w:p>
    <w:p>
      <w:pPr>
        <w:pStyle w:val="ListBullet"/>
        <w:spacing w:after="40"/>
      </w:pPr>
      <w:r>
        <w:t>Remove obsolete feature-access booleans and pilot-as-security behavior.</w:t>
      </w:r>
    </w:p>
    <w:p>
      <w:pPr>
        <w:pStyle w:val="ListBullet"/>
        <w:spacing w:after="40"/>
      </w:pPr>
      <w:r>
        <w:t>Document the supported role and permission administration process.</w:t>
      </w:r>
    </w:p>
    <w:p>
      <w:pPr>
        <w:pStyle w:val="Heading1"/>
      </w:pPr>
      <w:r>
        <w:t>15. Production Acceptance Criteria</w:t>
      </w:r>
    </w:p>
    <w:p>
      <w:pPr>
        <w:pStyle w:val="ListBullet"/>
        <w:spacing w:after="40"/>
      </w:pPr>
      <w:r>
        <w:t>No backend authorization decision uses designation, public title, department text or author-profile status.</w:t>
      </w:r>
    </w:p>
    <w:p>
      <w:pPr>
        <w:pStyle w:val="ListBullet"/>
        <w:spacing w:after="40"/>
      </w:pPr>
      <w:r>
        <w:t>Every protected API declares a product and permission requirement.</w:t>
      </w:r>
    </w:p>
    <w:p>
      <w:pPr>
        <w:pStyle w:val="ListBullet"/>
        <w:spacing w:after="40"/>
      </w:pPr>
      <w:r>
        <w:t>A manager cannot access a non-direct-report record by changing an object ID.</w:t>
      </w:r>
    </w:p>
    <w:p>
      <w:pPr>
        <w:pStyle w:val="ListBullet"/>
        <w:spacing w:after="40"/>
      </w:pPr>
      <w:r>
        <w:t>Operations users cannot manage users, roles or security settings unless separately authorized.</w:t>
      </w:r>
    </w:p>
    <w:p>
      <w:pPr>
        <w:pStyle w:val="ListBullet"/>
        <w:spacing w:after="40"/>
      </w:pPr>
      <w:r>
        <w:t>Administrators can manage SOPs without receiving all SOPs as personal assignments.</w:t>
      </w:r>
    </w:p>
    <w:p>
      <w:pPr>
        <w:pStyle w:val="ListBullet"/>
        <w:spacing w:after="40"/>
      </w:pPr>
      <w:r>
        <w:t>A guest reviewer can access only the invited article and loses access immediately after revocation or expiration.</w:t>
      </w:r>
    </w:p>
    <w:p>
      <w:pPr>
        <w:pStyle w:val="ListBullet"/>
        <w:spacing w:after="40"/>
      </w:pPr>
      <w:r>
        <w:t>A user may hold multiple roles without duplicated or conflicting navigation behavior.</w:t>
      </w:r>
    </w:p>
    <w:p>
      <w:pPr>
        <w:pStyle w:val="ListBullet"/>
        <w:spacing w:after="40"/>
      </w:pPr>
      <w:r>
        <w:t>Cross-tenant access is denied even when record identifiers are guessed.</w:t>
      </w:r>
    </w:p>
    <w:p>
      <w:pPr>
        <w:pStyle w:val="ListBullet"/>
        <w:spacing w:after="40"/>
      </w:pPr>
      <w:r>
        <w:t>Temporary access automatically expires.</w:t>
      </w:r>
    </w:p>
    <w:p>
      <w:pPr>
        <w:pStyle w:val="ListBullet"/>
        <w:spacing w:after="40"/>
      </w:pPr>
      <w:r>
        <w:t>Role and permission changes are fully auditable.</w:t>
      </w:r>
    </w:p>
    <w:p>
      <w:pPr>
        <w:pStyle w:val="ListBullet"/>
        <w:spacing w:after="40"/>
      </w:pPr>
      <w:r>
        <w:t>Frontend-hidden actions remain blocked when directly called through the API.</w:t>
      </w:r>
    </w:p>
    <w:p>
      <w:pPr>
        <w:pStyle w:val="ListBullet"/>
        <w:spacing w:after="40"/>
      </w:pPr>
      <w:r>
        <w:t>Authorization tests cover allow and deny cases for each sensitive permission and scope.</w:t>
      </w:r>
    </w:p>
    <w:p>
      <w:pPr>
        <w:pStyle w:val="Heading1"/>
      </w:pPr>
      <w:r>
        <w:t>16. Required Security Test Matrix</w:t>
      </w:r>
    </w:p>
    <w:tbl>
      <w:tblPr>
        <w:tblStyle w:val="TableGrid"/>
        <w:tblW w:type="auto" w:w="0"/>
        <w:jc w:val="center"/>
        <w:tblLook w:firstColumn="1" w:firstRow="1" w:lastColumn="0" w:lastRow="0" w:noHBand="0" w:noVBand="1" w:val="04A0"/>
      </w:tblPr>
      <w:tblGrid>
        <w:gridCol w:w="5083"/>
        <w:gridCol w:w="5083"/>
      </w:tblGrid>
      <w:tr>
        <w:tc>
          <w:tcPr>
            <w:tcW w:type="dxa" w:w="5083"/>
            <w:shd w:fill="1F3A6E"/>
            <w:vAlign w:val="center"/>
          </w:tcPr>
          <w:p>
            <w:pPr>
              <w:spacing w:after="0"/>
            </w:pPr>
            <w:r/>
            <w:r>
              <w:rPr>
                <w:rFonts w:ascii="Aptos" w:hAnsi="Aptos"/>
                <w:b/>
                <w:color w:val="FFFFFF"/>
                <w:sz w:val="17"/>
              </w:rPr>
              <w:t>Test area</w:t>
            </w:r>
          </w:p>
        </w:tc>
        <w:tc>
          <w:tcPr>
            <w:tcW w:type="dxa" w:w="5083"/>
            <w:shd w:fill="1F3A6E"/>
            <w:vAlign w:val="center"/>
          </w:tcPr>
          <w:p>
            <w:pPr>
              <w:spacing w:after="0"/>
            </w:pPr>
            <w:r/>
            <w:r>
              <w:rPr>
                <w:rFonts w:ascii="Aptos" w:hAnsi="Aptos"/>
                <w:b/>
                <w:color w:val="FFFFFF"/>
                <w:sz w:val="17"/>
              </w:rPr>
              <w:t>Required scenarios</w:t>
            </w:r>
          </w:p>
        </w:tc>
      </w:tr>
      <w:tr>
        <w:tc>
          <w:tcPr>
            <w:tcW w:type="dxa" w:w="5083"/>
            <w:vAlign w:val="center"/>
          </w:tcPr>
          <w:p>
            <w:pPr>
              <w:spacing w:after="0"/>
            </w:pPr>
            <w:r/>
            <w:r>
              <w:rPr>
                <w:rFonts w:ascii="Aptos" w:hAnsi="Aptos"/>
                <w:b w:val="0"/>
                <w:color w:val="1F2937"/>
                <w:sz w:val="16"/>
              </w:rPr>
              <w:t>Authentication</w:t>
            </w:r>
          </w:p>
        </w:tc>
        <w:tc>
          <w:tcPr>
            <w:tcW w:type="dxa" w:w="5083"/>
            <w:vAlign w:val="center"/>
          </w:tcPr>
          <w:p>
            <w:pPr>
              <w:spacing w:after="0"/>
            </w:pPr>
            <w:r/>
            <w:r>
              <w:rPr>
                <w:rFonts w:ascii="Aptos" w:hAnsi="Aptos"/>
                <w:b w:val="0"/>
                <w:color w:val="1F2937"/>
                <w:sz w:val="16"/>
              </w:rPr>
              <w:t>Expired session, revoked session, disabled account, failed MFA, recovery-code reuse, session rotation.</w:t>
            </w:r>
          </w:p>
        </w:tc>
      </w:tr>
      <w:tr>
        <w:tc>
          <w:tcPr>
            <w:tcW w:type="dxa" w:w="5083"/>
            <w:vAlign w:val="center"/>
            <w:shd w:fill="F9FAFB"/>
          </w:tcPr>
          <w:p>
            <w:pPr>
              <w:spacing w:after="0"/>
            </w:pPr>
            <w:r/>
            <w:r>
              <w:rPr>
                <w:rFonts w:ascii="Aptos" w:hAnsi="Aptos"/>
                <w:b w:val="0"/>
                <w:color w:val="1F2937"/>
                <w:sz w:val="16"/>
              </w:rPr>
              <w:t>Tenant isolation</w:t>
            </w:r>
          </w:p>
        </w:tc>
        <w:tc>
          <w:tcPr>
            <w:tcW w:type="dxa" w:w="5083"/>
            <w:vAlign w:val="center"/>
            <w:shd w:fill="F9FAFB"/>
          </w:tcPr>
          <w:p>
            <w:pPr>
              <w:spacing w:after="0"/>
            </w:pPr>
            <w:r/>
            <w:r>
              <w:rPr>
                <w:rFonts w:ascii="Aptos" w:hAnsi="Aptos"/>
                <w:b w:val="0"/>
                <w:color w:val="1F2937"/>
                <w:sz w:val="16"/>
              </w:rPr>
              <w:t>Same numeric resource ID in another tenant, missing tenant, inactive membership.</w:t>
            </w:r>
          </w:p>
        </w:tc>
      </w:tr>
      <w:tr>
        <w:tc>
          <w:tcPr>
            <w:tcW w:type="dxa" w:w="5083"/>
            <w:vAlign w:val="center"/>
          </w:tcPr>
          <w:p>
            <w:pPr>
              <w:spacing w:after="0"/>
            </w:pPr>
            <w:r/>
            <w:r>
              <w:rPr>
                <w:rFonts w:ascii="Aptos" w:hAnsi="Aptos"/>
                <w:b w:val="0"/>
                <w:color w:val="1F2937"/>
                <w:sz w:val="16"/>
              </w:rPr>
              <w:t>Manager scope</w:t>
            </w:r>
          </w:p>
        </w:tc>
        <w:tc>
          <w:tcPr>
            <w:tcW w:type="dxa" w:w="5083"/>
            <w:vAlign w:val="center"/>
          </w:tcPr>
          <w:p>
            <w:pPr>
              <w:spacing w:after="0"/>
            </w:pPr>
            <w:r/>
            <w:r>
              <w:rPr>
                <w:rFonts w:ascii="Aptos" w:hAnsi="Aptos"/>
                <w:b w:val="0"/>
                <w:color w:val="1F2937"/>
                <w:sz w:val="16"/>
              </w:rPr>
              <w:t>Direct report allowed; indirect report, peer and former report denied.</w:t>
            </w:r>
          </w:p>
        </w:tc>
      </w:tr>
      <w:tr>
        <w:tc>
          <w:tcPr>
            <w:tcW w:type="dxa" w:w="5083"/>
            <w:vAlign w:val="center"/>
            <w:shd w:fill="F9FAFB"/>
          </w:tcPr>
          <w:p>
            <w:pPr>
              <w:spacing w:after="0"/>
            </w:pPr>
            <w:r/>
            <w:r>
              <w:rPr>
                <w:rFonts w:ascii="Aptos" w:hAnsi="Aptos"/>
                <w:b w:val="0"/>
                <w:color w:val="1F2937"/>
                <w:sz w:val="16"/>
              </w:rPr>
              <w:t>Product access</w:t>
            </w:r>
          </w:p>
        </w:tc>
        <w:tc>
          <w:tcPr>
            <w:tcW w:type="dxa" w:w="5083"/>
            <w:vAlign w:val="center"/>
            <w:shd w:fill="F9FAFB"/>
          </w:tcPr>
          <w:p>
            <w:pPr>
              <w:spacing w:after="0"/>
            </w:pPr>
            <w:r/>
            <w:r>
              <w:rPr>
                <w:rFonts w:ascii="Aptos" w:hAnsi="Aptos"/>
                <w:b w:val="0"/>
                <w:color w:val="1F2937"/>
                <w:sz w:val="16"/>
              </w:rPr>
              <w:t>Tenant not entitled, user not a member, expired membership.</w:t>
            </w:r>
          </w:p>
        </w:tc>
      </w:tr>
      <w:tr>
        <w:tc>
          <w:tcPr>
            <w:tcW w:type="dxa" w:w="5083"/>
            <w:vAlign w:val="center"/>
          </w:tcPr>
          <w:p>
            <w:pPr>
              <w:spacing w:after="0"/>
            </w:pPr>
            <w:r/>
            <w:r>
              <w:rPr>
                <w:rFonts w:ascii="Aptos" w:hAnsi="Aptos"/>
                <w:b w:val="0"/>
                <w:color w:val="1F2937"/>
                <w:sz w:val="16"/>
              </w:rPr>
              <w:t>Role composition</w:t>
            </w:r>
          </w:p>
        </w:tc>
        <w:tc>
          <w:tcPr>
            <w:tcW w:type="dxa" w:w="5083"/>
            <w:vAlign w:val="center"/>
          </w:tcPr>
          <w:p>
            <w:pPr>
              <w:spacing w:after="0"/>
            </w:pPr>
            <w:r/>
            <w:r>
              <w:rPr>
                <w:rFonts w:ascii="Aptos" w:hAnsi="Aptos"/>
                <w:b w:val="0"/>
                <w:color w:val="1F2937"/>
                <w:sz w:val="16"/>
              </w:rPr>
              <w:t>Multiple roles combine expected permissions without granting unrelated privileges.</w:t>
            </w:r>
          </w:p>
        </w:tc>
      </w:tr>
      <w:tr>
        <w:tc>
          <w:tcPr>
            <w:tcW w:type="dxa" w:w="5083"/>
            <w:vAlign w:val="center"/>
            <w:shd w:fill="F9FAFB"/>
          </w:tcPr>
          <w:p>
            <w:pPr>
              <w:spacing w:after="0"/>
            </w:pPr>
            <w:r/>
            <w:r>
              <w:rPr>
                <w:rFonts w:ascii="Aptos" w:hAnsi="Aptos"/>
                <w:b w:val="0"/>
                <w:color w:val="1F2937"/>
                <w:sz w:val="16"/>
              </w:rPr>
              <w:t>SOP</w:t>
            </w:r>
          </w:p>
        </w:tc>
        <w:tc>
          <w:tcPr>
            <w:tcW w:type="dxa" w:w="5083"/>
            <w:vAlign w:val="center"/>
            <w:shd w:fill="F9FAFB"/>
          </w:tcPr>
          <w:p>
            <w:pPr>
              <w:spacing w:after="0"/>
            </w:pPr>
            <w:r/>
            <w:r>
              <w:rPr>
                <w:rFonts w:ascii="Aptos" w:hAnsi="Aptos"/>
                <w:b w:val="0"/>
                <w:color w:val="1F2937"/>
                <w:sz w:val="16"/>
              </w:rPr>
              <w:t>Admin management view; personal assignments; no-progress assignment visibility; rollout audience resolution.</w:t>
            </w:r>
          </w:p>
        </w:tc>
      </w:tr>
      <w:tr>
        <w:tc>
          <w:tcPr>
            <w:tcW w:type="dxa" w:w="5083"/>
            <w:vAlign w:val="center"/>
          </w:tcPr>
          <w:p>
            <w:pPr>
              <w:spacing w:after="0"/>
            </w:pPr>
            <w:r/>
            <w:r>
              <w:rPr>
                <w:rFonts w:ascii="Aptos" w:hAnsi="Aptos"/>
                <w:b w:val="0"/>
                <w:color w:val="1F2937"/>
                <w:sz w:val="16"/>
              </w:rPr>
              <w:t>Content guest</w:t>
            </w:r>
          </w:p>
        </w:tc>
        <w:tc>
          <w:tcPr>
            <w:tcW w:type="dxa" w:w="5083"/>
            <w:vAlign w:val="center"/>
          </w:tcPr>
          <w:p>
            <w:pPr>
              <w:spacing w:after="0"/>
            </w:pPr>
            <w:r/>
            <w:r>
              <w:rPr>
                <w:rFonts w:ascii="Aptos" w:hAnsi="Aptos"/>
                <w:b w:val="0"/>
                <w:color w:val="1F2937"/>
                <w:sz w:val="16"/>
              </w:rPr>
              <w:t>Invited article allowed; unrelated article denied; expiration and revocation enforced.</w:t>
            </w:r>
          </w:p>
        </w:tc>
      </w:tr>
      <w:tr>
        <w:tc>
          <w:tcPr>
            <w:tcW w:type="dxa" w:w="5083"/>
            <w:vAlign w:val="center"/>
            <w:shd w:fill="F9FAFB"/>
          </w:tcPr>
          <w:p>
            <w:pPr>
              <w:spacing w:after="0"/>
            </w:pPr>
            <w:r/>
            <w:r>
              <w:rPr>
                <w:rFonts w:ascii="Aptos" w:hAnsi="Aptos"/>
                <w:b w:val="0"/>
                <w:color w:val="1F2937"/>
                <w:sz w:val="16"/>
              </w:rPr>
              <w:t>Privilege administration</w:t>
            </w:r>
          </w:p>
        </w:tc>
        <w:tc>
          <w:tcPr>
            <w:tcW w:type="dxa" w:w="5083"/>
            <w:vAlign w:val="center"/>
            <w:shd w:fill="F9FAFB"/>
          </w:tcPr>
          <w:p>
            <w:pPr>
              <w:spacing w:after="0"/>
            </w:pPr>
            <w:r/>
            <w:r>
              <w:rPr>
                <w:rFonts w:ascii="Aptos" w:hAnsi="Aptos"/>
                <w:b w:val="0"/>
                <w:color w:val="1F2937"/>
                <w:sz w:val="16"/>
              </w:rPr>
              <w:t>Self-escalation denied; unauthorized role assignment denied; all changes audited.</w:t>
            </w:r>
          </w:p>
        </w:tc>
      </w:tr>
      <w:tr>
        <w:tc>
          <w:tcPr>
            <w:tcW w:type="dxa" w:w="5083"/>
            <w:vAlign w:val="center"/>
          </w:tcPr>
          <w:p>
            <w:pPr>
              <w:spacing w:after="0"/>
            </w:pPr>
            <w:r/>
            <w:r>
              <w:rPr>
                <w:rFonts w:ascii="Aptos" w:hAnsi="Aptos"/>
                <w:b w:val="0"/>
                <w:color w:val="1F2937"/>
                <w:sz w:val="16"/>
              </w:rPr>
              <w:t>API bypass</w:t>
            </w:r>
          </w:p>
        </w:tc>
        <w:tc>
          <w:tcPr>
            <w:tcW w:type="dxa" w:w="5083"/>
            <w:vAlign w:val="center"/>
          </w:tcPr>
          <w:p>
            <w:pPr>
              <w:spacing w:after="0"/>
            </w:pPr>
            <w:r/>
            <w:r>
              <w:rPr>
                <w:rFonts w:ascii="Aptos" w:hAnsi="Aptos"/>
                <w:b w:val="0"/>
                <w:color w:val="1F2937"/>
                <w:sz w:val="16"/>
              </w:rPr>
              <w:t>Hidden buttons called directly; manipulated IDs; modified request payloads.</w:t>
            </w:r>
          </w:p>
        </w:tc>
      </w:tr>
      <w:tr>
        <w:tc>
          <w:tcPr>
            <w:tcW w:type="dxa" w:w="5083"/>
            <w:vAlign w:val="center"/>
            <w:shd w:fill="F9FAFB"/>
          </w:tcPr>
          <w:p>
            <w:pPr>
              <w:spacing w:after="0"/>
            </w:pPr>
            <w:r/>
            <w:r>
              <w:rPr>
                <w:rFonts w:ascii="Aptos" w:hAnsi="Aptos"/>
                <w:b w:val="0"/>
                <w:color w:val="1F2937"/>
                <w:sz w:val="16"/>
              </w:rPr>
              <w:t>Concurrency</w:t>
            </w:r>
          </w:p>
        </w:tc>
        <w:tc>
          <w:tcPr>
            <w:tcW w:type="dxa" w:w="5083"/>
            <w:vAlign w:val="center"/>
            <w:shd w:fill="F9FAFB"/>
          </w:tcPr>
          <w:p>
            <w:pPr>
              <w:spacing w:after="0"/>
            </w:pPr>
            <w:r/>
            <w:r>
              <w:rPr>
                <w:rFonts w:ascii="Aptos" w:hAnsi="Aptos"/>
                <w:b w:val="0"/>
                <w:color w:val="1F2937"/>
                <w:sz w:val="16"/>
              </w:rPr>
              <w:t>Role removed during active session; assignment regenerated idempotently; duplicate invite acceptance.</w:t>
            </w:r>
          </w:p>
        </w:tc>
      </w:tr>
    </w:tbl>
    <w:p>
      <w:pPr>
        <w:spacing w:after="0"/>
      </w:pPr>
    </w:p>
    <w:p>
      <w:pPr>
        <w:pStyle w:val="Heading1"/>
      </w:pPr>
      <w:r>
        <w:t>17. Final Architect Recommendation</w:t>
      </w:r>
    </w:p>
    <w:tbl>
      <w:tblPr>
        <w:tblW w:type="auto" w:w="0"/>
        <w:jc w:val="center"/>
        <w:tblLook w:firstColumn="1" w:firstRow="1" w:lastColumn="0" w:lastRow="0" w:noHBand="0" w:noVBand="1" w:val="04A0"/>
      </w:tblPr>
      <w:tblGrid>
        <w:gridCol w:w="10166"/>
      </w:tblGrid>
      <w:tr>
        <w:tc>
          <w:tcPr>
            <w:tcW w:type="dxa" w:w="10166"/>
            <w:shd w:fill="FFF7ED"/>
            <w:tcBorders>
              <w:top w:val="single" w:sz="10" w:color="F96D3E"/>
              <w:left w:val="single" w:sz="10" w:color="F96D3E"/>
              <w:bottom w:val="single" w:sz="10" w:color="F96D3E"/>
              <w:right w:val="single" w:sz="10" w:color="F96D3E"/>
            </w:tcBorders>
          </w:tcPr>
          <w:p>
            <w:pPr>
              <w:spacing w:after="40"/>
            </w:pPr>
            <w:r>
              <w:rPr>
                <w:b/>
                <w:color w:val="F96D3E"/>
                <w:sz w:val="22"/>
              </w:rPr>
              <w:t>Proceed with a root refactor, not an enum expansion</w:t>
              <w:br/>
            </w:r>
            <w:r>
              <w:rPr>
                <w:color w:val="1F2937"/>
                <w:sz w:val="19"/>
              </w:rPr>
              <w:t>Keep the Replit monolith, but replace scattered role interpretation with a centralized tenant-aware authorization layer. Use normalized roles and permissions, explicit product memberships, direct-report and resource-level scope, and separate SOP rollout from access control. Operations, designation, public title and author profile must remain descriptive or workflow metadata—not security authority.</w:t>
            </w:r>
          </w:p>
        </w:tc>
      </w:tr>
    </w:tbl>
    <w:p>
      <w:pPr>
        <w:spacing w:after="0"/>
      </w:pPr>
    </w:p>
    <w:p>
      <w:r>
        <w:t>The immediate tactical fixes should be completed only to restore current behavior. The production solution should then be delivered through the phased migration above. This approach is appropriate for the current internal platform and creates the foundation needed to offer the platform to external customers without rebuilding authorization again.</w:t>
      </w:r>
    </w:p>
    <w:p>
      <w:pPr>
        <w:pStyle w:val="Heading1"/>
      </w:pPr>
      <w:r>
        <w:t>18. Source Basis</w:t>
      </w:r>
    </w:p>
    <w:p>
      <w:r>
        <w:t>This recommendation incorporates the current Hire’in multi-portal architecture, the existing authentication and authorization implementation summary, and the specific RBAC/SOP issues and business decisions supplied for this review.</w:t>
      </w:r>
    </w:p>
    <w:p>
      <w:pPr>
        <w:pStyle w:val="ListBullet"/>
        <w:spacing w:after="40"/>
      </w:pPr>
      <w:r>
        <w:t>CredentialRX System Architecture Documentation — current users, sessions and role implementation.</w:t>
      </w:r>
    </w:p>
    <w:p>
      <w:pPr>
        <w:pStyle w:val="ListBullet"/>
        <w:spacing w:after="40"/>
      </w:pPr>
      <w:r>
        <w:t>Hire-In Multi-Portal System: Complete Architecture &amp; Implementation Plan — shared authentication, portal access and prior multi-role proposal.</w:t>
      </w:r>
    </w:p>
    <w:p>
      <w:pPr>
        <w:pStyle w:val="ListBullet"/>
        <w:spacing w:after="40"/>
      </w:pPr>
      <w:r>
        <w:t>Current RBAC/SOP root-cause findings and confirmed access decisions supplied in this architecture review.</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Confidential — Final Architecture Recommendation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Hire’in Solutions | Security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3A6E"/>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F96D3E"/>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3A6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Callout">
    <w:name w:val="Executive Callout"/>
    <w:rPr>
      <w:rFonts w:ascii="Aptos" w:hAnsi="Aptos"/>
      <w:b/>
      <w:color w:val="1F3A6E"/>
      <w:sz w:val="22"/>
    </w:rPr>
  </w:style>
  <w:style w:type="paragraph" w:customStyle="1" w:styleId="SmallNote">
    <w:name w:val="Small Note"/>
    <w:rPr>
      <w:rFonts w:ascii="Aptos" w:hAnsi="Aptos"/>
      <w:b w:val="0"/>
      <w:color w:val="6B7280"/>
      <w:sz w:val="17"/>
    </w:rPr>
  </w:style>
  <w:style w:type="paragraph" w:customStyle="1" w:styleId="TableText">
    <w:name w:val="Table Text"/>
    <w:rPr>
      <w:rFonts w:ascii="Aptos" w:hAnsi="Aptos"/>
      <w:b w:val="0"/>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Hire’in Authentication, Authorization and Access-Control Architecture</dc:title>
  <dc:subject>Final Replit Architecture Recommendation</dc:subject>
  <dc:creator>Hire’in Solutions</dc:creator>
  <cp:keywords>RBAC, authentication, authorization, Replit, SaaS, SOP governance, tenant isolation</cp:keywords>
  <dc:description>generated by python-docx</dc:description>
  <cp:lastModifiedBy/>
  <cp:revision>1</cp:revision>
  <dcterms:created xsi:type="dcterms:W3CDTF">2013-12-23T23:15:00Z</dcterms:created>
  <dcterms:modified xsi:type="dcterms:W3CDTF">2013-12-23T23:15:00Z</dcterms:modified>
  <cp:category/>
</cp:coreProperties>
</file>