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9" w:lineRule="auto"/>
        <w:jc w:val="center"/>
      </w:pPr>
      <w:r>
        <w:rPr>
          <w:b/>
          <w:color w:val="1F4E79"/>
          <w:sz w:val="48"/>
        </w:rPr>
        <w:t>Talent Acquisition Target &amp; Incentive Calculator Tool Specification</w:t>
      </w:r>
    </w:p>
    <w:p>
      <w:pPr>
        <w:spacing w:after="80" w:line="259" w:lineRule="auto"/>
        <w:jc w:val="center"/>
      </w:pPr>
      <w:r>
        <w:rPr>
          <w:i/>
          <w:color w:val="595959"/>
          <w:sz w:val="24"/>
        </w:rPr>
        <w:t>Healthcare and IT Staffing | Business Logic, Algorithms, Data Model, Manager Workflow, and Implementation Blueprint</w:t>
      </w:r>
    </w:p>
    <w:p>
      <w:pPr>
        <w:spacing w:after="80" w:line="259" w:lineRule="auto"/>
        <w:jc w:val="center"/>
      </w:pPr>
      <w:r>
        <w:rPr>
          <w:color w:val="595959"/>
          <w:sz w:val="20"/>
        </w:rPr>
        <w:t>Draft Date: June 04, 2026</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EAF3F8"/>
          </w:tcPr>
          <w:p>
            <w:pPr>
              <w:spacing w:after="0" w:line="240" w:lineRule="auto"/>
            </w:pPr>
            <w:r>
              <w:rPr>
                <w:b/>
                <w:color w:val="1F4E79"/>
                <w:sz w:val="20"/>
              </w:rPr>
              <w:t>Purpose</w:t>
            </w:r>
          </w:p>
          <w:p>
            <w:pPr>
              <w:spacing w:after="0" w:line="240" w:lineRule="auto"/>
            </w:pPr>
            <w:r>
              <w:rPr>
                <w:sz w:val="18"/>
              </w:rPr>
              <w:t>Create a manager-facing calculator that assigns thoughtful, defensible, and business-aligned recruiting targets based on role type, recruiter level, fixed salary, support resources, margin economics, placement quality, and expected ownership. The first release should support Healthcare staffing and IT Talent Acquisition, with a common engine and department-specific rules.</w:t>
            </w:r>
          </w:p>
        </w:tc>
      </w:tr>
    </w:tbl>
    <w:p>
      <w:pPr>
        <w:spacing w:after="80" w:line="259" w:lineRule="auto"/>
      </w:pPr>
    </w:p>
    <w:p>
      <w:pPr>
        <w:pStyle w:val="Heading1"/>
        <w:spacing w:after="80" w:line="259" w:lineRule="auto"/>
      </w:pPr>
      <w:r>
        <w:rPr>
          <w:color w:val="1F4E79"/>
        </w:rPr>
        <w:t>Executive Summary</w:t>
      </w:r>
    </w:p>
    <w:p>
      <w:pPr>
        <w:pStyle w:val="ListBullet"/>
        <w:spacing w:after="80" w:line="259" w:lineRule="auto"/>
      </w:pPr>
      <w:r>
        <w:rPr>
          <w:sz w:val="19"/>
        </w:rPr>
        <w:t>The tool should convert compensation and desk economics into clear monthly and 90-day targets for recruiters, leads, assistant managers, sourcers, and MIS/support roles.</w:t>
      </w:r>
    </w:p>
    <w:p>
      <w:pPr>
        <w:pStyle w:val="ListBullet"/>
        <w:spacing w:after="80" w:line="259" w:lineRule="auto"/>
      </w:pPr>
      <w:r>
        <w:rPr>
          <w:sz w:val="19"/>
        </w:rPr>
        <w:t>Targets should not be based on submissions alone. For staffing, the real target is retained, profitable, billing placements with clean documentation and low falloff risk.</w:t>
      </w:r>
    </w:p>
    <w:p>
      <w:pPr>
        <w:pStyle w:val="ListBullet"/>
        <w:spacing w:after="80" w:line="259" w:lineRule="auto"/>
      </w:pPr>
      <w:r>
        <w:rPr>
          <w:sz w:val="19"/>
        </w:rPr>
        <w:t>Healthcare and IT should use the same core calculation engine, but separate role-family rules because Healthcare is usually hourly spread/retention driven while IT can be contract margin, full-time placement fee, or mixed delivery.</w:t>
      </w:r>
    </w:p>
    <w:p>
      <w:pPr>
        <w:pStyle w:val="ListBullet"/>
        <w:spacing w:after="80" w:line="259" w:lineRule="auto"/>
      </w:pPr>
      <w:r>
        <w:rPr>
          <w:sz w:val="19"/>
        </w:rPr>
        <w:t>The system should produce: target starts/closes, expected margin/contribution, activity goals, quality gates, incentive eligibility, and review scorecards.</w:t>
      </w:r>
    </w:p>
    <w:p>
      <w:pPr>
        <w:pStyle w:val="ListBullet"/>
        <w:spacing w:after="80" w:line="259" w:lineRule="auto"/>
      </w:pPr>
      <w:r>
        <w:rPr>
          <w:sz w:val="19"/>
        </w:rPr>
        <w:t>The tool should make manager decisions transparent: what target was assigned, why it was assigned, and what business math supports it.</w:t>
      </w:r>
    </w:p>
    <w:p>
      <w:pPr>
        <w:pStyle w:val="Heading1"/>
        <w:spacing w:after="80" w:line="259" w:lineRule="auto"/>
      </w:pPr>
      <w:r>
        <w:rPr>
          <w:color w:val="1F4E79"/>
        </w:rPr>
        <w:t>1. Business Objectives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160"/>
            <w:shd w:fill="1F4E79"/>
            <w:vAlign w:val="center"/>
          </w:tcPr>
          <w:p>
            <w:pPr>
              <w:spacing w:after="0" w:line="240" w:lineRule="auto"/>
            </w:pPr>
            <w:r>
              <w:rPr>
                <w:sz w:val="17"/>
              </w:rPr>
            </w:r>
            <w:r>
              <w:rPr>
                <w:b/>
                <w:color w:val="FFFFFF"/>
                <w:sz w:val="17"/>
              </w:rPr>
              <w:t>Objective</w:t>
            </w:r>
          </w:p>
        </w:tc>
        <w:tc>
          <w:tcPr>
            <w:tcW w:type="dxa" w:w="4320"/>
            <w:shd w:fill="1F4E79"/>
            <w:vAlign w:val="center"/>
          </w:tcPr>
          <w:p>
            <w:pPr>
              <w:spacing w:after="0" w:line="240" w:lineRule="auto"/>
            </w:pPr>
            <w:r>
              <w:rPr>
                <w:sz w:val="17"/>
              </w:rPr>
            </w:r>
            <w:r>
              <w:rPr>
                <w:b/>
                <w:color w:val="FFFFFF"/>
                <w:sz w:val="17"/>
              </w:rPr>
              <w:t>Tool Requirement</w:t>
            </w:r>
          </w:p>
        </w:tc>
        <w:tc>
          <w:tcPr>
            <w:tcW w:type="dxa" w:w="4032"/>
            <w:shd w:fill="1F4E79"/>
            <w:vAlign w:val="center"/>
          </w:tcPr>
          <w:p>
            <w:pPr>
              <w:spacing w:after="0" w:line="240" w:lineRule="auto"/>
            </w:pPr>
            <w:r>
              <w:rPr>
                <w:sz w:val="17"/>
              </w:rPr>
            </w:r>
            <w:r>
              <w:rPr>
                <w:b/>
                <w:color w:val="FFFFFF"/>
                <w:sz w:val="17"/>
              </w:rPr>
              <w:t>Business Outcome</w:t>
            </w:r>
          </w:p>
        </w:tc>
      </w:tr>
      <w:tr>
        <w:tc>
          <w:tcPr>
            <w:tcW w:type="dxa" w:w="2160"/>
            <w:vAlign w:val="top"/>
          </w:tcPr>
          <w:p>
            <w:pPr>
              <w:spacing w:after="0" w:line="240" w:lineRule="auto"/>
            </w:pPr>
            <w:r>
              <w:rPr>
                <w:sz w:val="17"/>
              </w:rPr>
            </w:r>
            <w:r>
              <w:rPr>
                <w:b w:val="0"/>
                <w:sz w:val="17"/>
              </w:rPr>
              <w:t>Fair target-setting</w:t>
            </w:r>
          </w:p>
        </w:tc>
        <w:tc>
          <w:tcPr>
            <w:tcW w:type="dxa" w:w="4320"/>
            <w:vAlign w:val="top"/>
          </w:tcPr>
          <w:p>
            <w:pPr>
              <w:spacing w:after="0" w:line="240" w:lineRule="auto"/>
            </w:pPr>
            <w:r>
              <w:rPr>
                <w:sz w:val="17"/>
              </w:rPr>
            </w:r>
            <w:r>
              <w:rPr>
                <w:b w:val="0"/>
                <w:sz w:val="17"/>
              </w:rPr>
              <w:t>Calculate goals from salary, role level, client demand, support resources, and margin economics.</w:t>
            </w:r>
          </w:p>
        </w:tc>
        <w:tc>
          <w:tcPr>
            <w:tcW w:type="dxa" w:w="4032"/>
            <w:vAlign w:val="top"/>
          </w:tcPr>
          <w:p>
            <w:pPr>
              <w:spacing w:after="0" w:line="240" w:lineRule="auto"/>
            </w:pPr>
            <w:r>
              <w:rPr>
                <w:sz w:val="17"/>
              </w:rPr>
            </w:r>
            <w:r>
              <w:rPr>
                <w:b w:val="0"/>
                <w:sz w:val="17"/>
              </w:rPr>
              <w:t>Managers avoid arbitrary goals and salary negotiations become more objective.</w:t>
            </w:r>
          </w:p>
        </w:tc>
      </w:tr>
      <w:tr>
        <w:tc>
          <w:tcPr>
            <w:tcW w:type="dxa" w:w="2160"/>
            <w:vAlign w:val="top"/>
          </w:tcPr>
          <w:p>
            <w:pPr>
              <w:spacing w:after="0" w:line="240" w:lineRule="auto"/>
            </w:pPr>
            <w:r>
              <w:rPr>
                <w:sz w:val="17"/>
              </w:rPr>
            </w:r>
            <w:r>
              <w:rPr>
                <w:b w:val="0"/>
                <w:sz w:val="17"/>
              </w:rPr>
              <w:t>Profitability protection</w:t>
            </w:r>
          </w:p>
        </w:tc>
        <w:tc>
          <w:tcPr>
            <w:tcW w:type="dxa" w:w="4320"/>
            <w:vAlign w:val="top"/>
          </w:tcPr>
          <w:p>
            <w:pPr>
              <w:spacing w:after="0" w:line="240" w:lineRule="auto"/>
            </w:pPr>
            <w:r>
              <w:rPr>
                <w:sz w:val="17"/>
              </w:rPr>
            </w:r>
            <w:r>
              <w:rPr>
                <w:b w:val="0"/>
                <w:sz w:val="17"/>
              </w:rPr>
              <w:t>Use a fully loaded calculator before counting a placement toward incentive or salary-band review.</w:t>
            </w:r>
          </w:p>
        </w:tc>
        <w:tc>
          <w:tcPr>
            <w:tcW w:type="dxa" w:w="4032"/>
            <w:vAlign w:val="top"/>
          </w:tcPr>
          <w:p>
            <w:pPr>
              <w:spacing w:after="0" w:line="240" w:lineRule="auto"/>
            </w:pPr>
            <w:r>
              <w:rPr>
                <w:sz w:val="17"/>
              </w:rPr>
            </w:r>
            <w:r>
              <w:rPr>
                <w:b w:val="0"/>
                <w:sz w:val="17"/>
              </w:rPr>
              <w:t>Company does not reward low-quality or unprofitable starts.</w:t>
            </w:r>
          </w:p>
        </w:tc>
      </w:tr>
      <w:tr>
        <w:tc>
          <w:tcPr>
            <w:tcW w:type="dxa" w:w="2160"/>
            <w:vAlign w:val="top"/>
          </w:tcPr>
          <w:p>
            <w:pPr>
              <w:spacing w:after="0" w:line="240" w:lineRule="auto"/>
            </w:pPr>
            <w:r>
              <w:rPr>
                <w:sz w:val="17"/>
              </w:rPr>
            </w:r>
            <w:r>
              <w:rPr>
                <w:b w:val="0"/>
                <w:sz w:val="17"/>
              </w:rPr>
              <w:t>Performance clarity</w:t>
            </w:r>
          </w:p>
        </w:tc>
        <w:tc>
          <w:tcPr>
            <w:tcW w:type="dxa" w:w="4320"/>
            <w:vAlign w:val="top"/>
          </w:tcPr>
          <w:p>
            <w:pPr>
              <w:spacing w:after="0" w:line="240" w:lineRule="auto"/>
            </w:pPr>
            <w:r>
              <w:rPr>
                <w:sz w:val="17"/>
              </w:rPr>
            </w:r>
            <w:r>
              <w:rPr>
                <w:b w:val="0"/>
                <w:sz w:val="17"/>
              </w:rPr>
              <w:t>Show monthly and 90-day targets with definitions for qualified retained starts and qualified IT closes.</w:t>
            </w:r>
          </w:p>
        </w:tc>
        <w:tc>
          <w:tcPr>
            <w:tcW w:type="dxa" w:w="4032"/>
            <w:vAlign w:val="top"/>
          </w:tcPr>
          <w:p>
            <w:pPr>
              <w:spacing w:after="0" w:line="240" w:lineRule="auto"/>
            </w:pPr>
            <w:r>
              <w:rPr>
                <w:sz w:val="17"/>
              </w:rPr>
            </w:r>
            <w:r>
              <w:rPr>
                <w:b w:val="0"/>
                <w:sz w:val="17"/>
              </w:rPr>
              <w:t>Recruiters know exactly what good performance means.</w:t>
            </w:r>
          </w:p>
        </w:tc>
      </w:tr>
      <w:tr>
        <w:tc>
          <w:tcPr>
            <w:tcW w:type="dxa" w:w="2160"/>
            <w:vAlign w:val="top"/>
          </w:tcPr>
          <w:p>
            <w:pPr>
              <w:spacing w:after="0" w:line="240" w:lineRule="auto"/>
            </w:pPr>
            <w:r>
              <w:rPr>
                <w:sz w:val="17"/>
              </w:rPr>
            </w:r>
            <w:r>
              <w:rPr>
                <w:b w:val="0"/>
                <w:sz w:val="17"/>
              </w:rPr>
              <w:t>Quality control</w:t>
            </w:r>
          </w:p>
        </w:tc>
        <w:tc>
          <w:tcPr>
            <w:tcW w:type="dxa" w:w="4320"/>
            <w:vAlign w:val="top"/>
          </w:tcPr>
          <w:p>
            <w:pPr>
              <w:spacing w:after="0" w:line="240" w:lineRule="auto"/>
            </w:pPr>
            <w:r>
              <w:rPr>
                <w:sz w:val="17"/>
              </w:rPr>
            </w:r>
            <w:r>
              <w:rPr>
                <w:b w:val="0"/>
                <w:sz w:val="17"/>
              </w:rPr>
              <w:t>Include candidate retention, falloff, documentation, RTR accuracy, and margin gates.</w:t>
            </w:r>
          </w:p>
        </w:tc>
        <w:tc>
          <w:tcPr>
            <w:tcW w:type="dxa" w:w="4032"/>
            <w:vAlign w:val="top"/>
          </w:tcPr>
          <w:p>
            <w:pPr>
              <w:spacing w:after="0" w:line="240" w:lineRule="auto"/>
            </w:pPr>
            <w:r>
              <w:rPr>
                <w:sz w:val="17"/>
              </w:rPr>
            </w:r>
            <w:r>
              <w:rPr>
                <w:b w:val="0"/>
                <w:sz w:val="17"/>
              </w:rPr>
              <w:t>Fewer failed starts and cleaner client experience.</w:t>
            </w:r>
          </w:p>
        </w:tc>
      </w:tr>
      <w:tr>
        <w:tc>
          <w:tcPr>
            <w:tcW w:type="dxa" w:w="2160"/>
            <w:vAlign w:val="top"/>
          </w:tcPr>
          <w:p>
            <w:pPr>
              <w:spacing w:after="0" w:line="240" w:lineRule="auto"/>
            </w:pPr>
            <w:r>
              <w:rPr>
                <w:sz w:val="17"/>
              </w:rPr>
            </w:r>
            <w:r>
              <w:rPr>
                <w:b w:val="0"/>
                <w:sz w:val="17"/>
              </w:rPr>
              <w:t>Scalability</w:t>
            </w:r>
          </w:p>
        </w:tc>
        <w:tc>
          <w:tcPr>
            <w:tcW w:type="dxa" w:w="4320"/>
            <w:vAlign w:val="top"/>
          </w:tcPr>
          <w:p>
            <w:pPr>
              <w:spacing w:after="0" w:line="240" w:lineRule="auto"/>
            </w:pPr>
            <w:r>
              <w:rPr>
                <w:sz w:val="17"/>
              </w:rPr>
            </w:r>
            <w:r>
              <w:rPr>
                <w:b w:val="0"/>
                <w:sz w:val="17"/>
              </w:rPr>
              <w:t>Create department-specific configuration for Healthcare and IT while using one data model.</w:t>
            </w:r>
          </w:p>
        </w:tc>
        <w:tc>
          <w:tcPr>
            <w:tcW w:type="dxa" w:w="4032"/>
            <w:vAlign w:val="top"/>
          </w:tcPr>
          <w:p>
            <w:pPr>
              <w:spacing w:after="0" w:line="240" w:lineRule="auto"/>
            </w:pPr>
            <w:r>
              <w:rPr>
                <w:sz w:val="17"/>
              </w:rPr>
            </w:r>
            <w:r>
              <w:rPr>
                <w:b w:val="0"/>
                <w:sz w:val="17"/>
              </w:rPr>
              <w:t>Same platform can expand to Non-IT, RPO, or other staffing lines.</w:t>
            </w:r>
          </w:p>
        </w:tc>
      </w:tr>
    </w:tbl>
    <w:p>
      <w:pPr>
        <w:spacing w:after="80" w:line="259" w:lineRule="auto"/>
      </w:pPr>
    </w:p>
    <w:p>
      <w:pPr>
        <w:pStyle w:val="Heading1"/>
        <w:spacing w:after="80" w:line="259" w:lineRule="auto"/>
      </w:pPr>
      <w:r>
        <w:rPr>
          <w:color w:val="1F4E79"/>
        </w:rPr>
        <w:t>2. Core Design Principle</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FF2CC"/>
          </w:tcPr>
          <w:p>
            <w:pPr>
              <w:spacing w:after="0" w:line="240" w:lineRule="auto"/>
            </w:pPr>
            <w:r>
              <w:rPr>
                <w:b/>
                <w:color w:val="1F4E79"/>
                <w:sz w:val="20"/>
              </w:rPr>
              <w:t>Core Rule</w:t>
            </w:r>
          </w:p>
          <w:p>
            <w:pPr>
              <w:spacing w:after="0" w:line="240" w:lineRule="auto"/>
            </w:pPr>
            <w:r>
              <w:rPr>
                <w:sz w:val="18"/>
              </w:rPr>
              <w:t>Targets should be generated from retained business value, not activity volume alone. Submissions and interviews are leading indicators; starts, retention, margin, quality, and documentation are business outcomes.</w:t>
            </w:r>
          </w:p>
        </w:tc>
      </w:tr>
    </w:tbl>
    <w:p>
      <w:pPr>
        <w:spacing w:after="80" w:line="259" w:lineRule="auto"/>
      </w:pPr>
    </w:p>
    <w:p>
      <w:pPr>
        <w:pStyle w:val="ListBullet"/>
        <w:spacing w:after="80" w:line="259" w:lineRule="auto"/>
      </w:pPr>
      <w:r>
        <w:rPr>
          <w:sz w:val="19"/>
        </w:rPr>
        <w:t>A high-submission recruiter should not automatically be considered high performing if starts fall off, margins are weak, or documentation is incomplete.</w:t>
      </w:r>
    </w:p>
    <w:p>
      <w:pPr>
        <w:pStyle w:val="ListBullet"/>
        <w:spacing w:after="80" w:line="259" w:lineRule="auto"/>
      </w:pPr>
      <w:r>
        <w:rPr>
          <w:sz w:val="19"/>
        </w:rPr>
        <w:t>A senior recruiter or lead should be measured on ownership: pipeline quality, sourcer direction, candidate commitment, retained billing, and confidentiality.</w:t>
      </w:r>
    </w:p>
    <w:p>
      <w:pPr>
        <w:pStyle w:val="ListBullet"/>
        <w:spacing w:after="80" w:line="259" w:lineRule="auto"/>
      </w:pPr>
      <w:r>
        <w:rPr>
          <w:sz w:val="19"/>
        </w:rPr>
        <w:t>Targets should increase when the company provides more support resources such as sourcers, tools, job portals, MIS, or lead/manager support.</w:t>
      </w:r>
    </w:p>
    <w:p>
      <w:pPr>
        <w:pStyle w:val="Heading1"/>
        <w:spacing w:after="80" w:line="259" w:lineRule="auto"/>
      </w:pPr>
      <w:r>
        <w:rPr>
          <w:color w:val="1F4E79"/>
        </w:rPr>
        <w:t>3. Users and Roles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304"/>
            <w:shd w:fill="1F4E79"/>
            <w:vAlign w:val="center"/>
          </w:tcPr>
          <w:p>
            <w:pPr>
              <w:spacing w:after="0" w:line="240" w:lineRule="auto"/>
            </w:pPr>
            <w:r>
              <w:rPr>
                <w:sz w:val="17"/>
              </w:rPr>
            </w:r>
            <w:r>
              <w:rPr>
                <w:b/>
                <w:color w:val="FFFFFF"/>
                <w:sz w:val="17"/>
              </w:rPr>
              <w:t>User Type</w:t>
            </w:r>
          </w:p>
        </w:tc>
        <w:tc>
          <w:tcPr>
            <w:tcW w:type="dxa" w:w="4320"/>
            <w:shd w:fill="1F4E79"/>
            <w:vAlign w:val="center"/>
          </w:tcPr>
          <w:p>
            <w:pPr>
              <w:spacing w:after="0" w:line="240" w:lineRule="auto"/>
            </w:pPr>
            <w:r>
              <w:rPr>
                <w:sz w:val="17"/>
              </w:rPr>
            </w:r>
            <w:r>
              <w:rPr>
                <w:b/>
                <w:color w:val="FFFFFF"/>
                <w:sz w:val="17"/>
              </w:rPr>
              <w:t>Permissions / Usage</w:t>
            </w:r>
          </w:p>
        </w:tc>
        <w:tc>
          <w:tcPr>
            <w:tcW w:type="dxa" w:w="4032"/>
            <w:shd w:fill="1F4E79"/>
            <w:vAlign w:val="center"/>
          </w:tcPr>
          <w:p>
            <w:pPr>
              <w:spacing w:after="0" w:line="240" w:lineRule="auto"/>
            </w:pPr>
            <w:r>
              <w:rPr>
                <w:sz w:val="17"/>
              </w:rPr>
            </w:r>
            <w:r>
              <w:rPr>
                <w:b/>
                <w:color w:val="FFFFFF"/>
                <w:sz w:val="17"/>
              </w:rPr>
              <w:t>Primary Output</w:t>
            </w:r>
          </w:p>
        </w:tc>
      </w:tr>
      <w:tr>
        <w:tc>
          <w:tcPr>
            <w:tcW w:type="dxa" w:w="2304"/>
            <w:vAlign w:val="top"/>
          </w:tcPr>
          <w:p>
            <w:pPr>
              <w:spacing w:after="0" w:line="240" w:lineRule="auto"/>
            </w:pPr>
            <w:r>
              <w:rPr>
                <w:sz w:val="17"/>
              </w:rPr>
            </w:r>
            <w:r>
              <w:rPr>
                <w:b w:val="0"/>
                <w:sz w:val="17"/>
              </w:rPr>
              <w:t>CEO / Founder</w:t>
            </w:r>
          </w:p>
        </w:tc>
        <w:tc>
          <w:tcPr>
            <w:tcW w:type="dxa" w:w="4320"/>
            <w:vAlign w:val="top"/>
          </w:tcPr>
          <w:p>
            <w:pPr>
              <w:spacing w:after="0" w:line="240" w:lineRule="auto"/>
            </w:pPr>
            <w:r>
              <w:rPr>
                <w:sz w:val="17"/>
              </w:rPr>
            </w:r>
            <w:r>
              <w:rPr>
                <w:b w:val="0"/>
                <w:sz w:val="17"/>
              </w:rPr>
              <w:t>Configure company assumptions, cost allocation, target multipliers, and incentive rules.</w:t>
            </w:r>
          </w:p>
        </w:tc>
        <w:tc>
          <w:tcPr>
            <w:tcW w:type="dxa" w:w="4032"/>
            <w:vAlign w:val="top"/>
          </w:tcPr>
          <w:p>
            <w:pPr>
              <w:spacing w:after="0" w:line="240" w:lineRule="auto"/>
            </w:pPr>
            <w:r>
              <w:rPr>
                <w:sz w:val="17"/>
              </w:rPr>
            </w:r>
            <w:r>
              <w:rPr>
                <w:b w:val="0"/>
                <w:sz w:val="17"/>
              </w:rPr>
              <w:t>Company-level target policy and role-level expected return.</w:t>
            </w:r>
          </w:p>
        </w:tc>
      </w:tr>
      <w:tr>
        <w:tc>
          <w:tcPr>
            <w:tcW w:type="dxa" w:w="2304"/>
            <w:vAlign w:val="top"/>
          </w:tcPr>
          <w:p>
            <w:pPr>
              <w:spacing w:after="0" w:line="240" w:lineRule="auto"/>
            </w:pPr>
            <w:r>
              <w:rPr>
                <w:sz w:val="17"/>
              </w:rPr>
            </w:r>
            <w:r>
              <w:rPr>
                <w:b w:val="0"/>
                <w:sz w:val="17"/>
              </w:rPr>
              <w:t>Operations / Finance</w:t>
            </w:r>
          </w:p>
        </w:tc>
        <w:tc>
          <w:tcPr>
            <w:tcW w:type="dxa" w:w="4320"/>
            <w:vAlign w:val="top"/>
          </w:tcPr>
          <w:p>
            <w:pPr>
              <w:spacing w:after="0" w:line="240" w:lineRule="auto"/>
            </w:pPr>
            <w:r>
              <w:rPr>
                <w:sz w:val="17"/>
              </w:rPr>
            </w:r>
            <w:r>
              <w:rPr>
                <w:b w:val="0"/>
                <w:sz w:val="17"/>
              </w:rPr>
              <w:t>Maintain salary bands, costs, exchange rate, margin calculator, overhead assumptions.</w:t>
            </w:r>
          </w:p>
        </w:tc>
        <w:tc>
          <w:tcPr>
            <w:tcW w:type="dxa" w:w="4032"/>
            <w:vAlign w:val="top"/>
          </w:tcPr>
          <w:p>
            <w:pPr>
              <w:spacing w:after="0" w:line="240" w:lineRule="auto"/>
            </w:pPr>
            <w:r>
              <w:rPr>
                <w:sz w:val="17"/>
              </w:rPr>
            </w:r>
            <w:r>
              <w:rPr>
                <w:b w:val="0"/>
                <w:sz w:val="17"/>
              </w:rPr>
              <w:t>Profitability thresholds and incentive eligibility rules.</w:t>
            </w:r>
          </w:p>
        </w:tc>
      </w:tr>
      <w:tr>
        <w:tc>
          <w:tcPr>
            <w:tcW w:type="dxa" w:w="2304"/>
            <w:vAlign w:val="top"/>
          </w:tcPr>
          <w:p>
            <w:pPr>
              <w:spacing w:after="0" w:line="240" w:lineRule="auto"/>
            </w:pPr>
            <w:r>
              <w:rPr>
                <w:sz w:val="17"/>
              </w:rPr>
            </w:r>
            <w:r>
              <w:rPr>
                <w:b w:val="0"/>
                <w:sz w:val="17"/>
              </w:rPr>
              <w:t>Manager / Team Lead</w:t>
            </w:r>
          </w:p>
        </w:tc>
        <w:tc>
          <w:tcPr>
            <w:tcW w:type="dxa" w:w="4320"/>
            <w:vAlign w:val="top"/>
          </w:tcPr>
          <w:p>
            <w:pPr>
              <w:spacing w:after="0" w:line="240" w:lineRule="auto"/>
            </w:pPr>
            <w:r>
              <w:rPr>
                <w:sz w:val="17"/>
              </w:rPr>
            </w:r>
            <w:r>
              <w:rPr>
                <w:b w:val="0"/>
                <w:sz w:val="17"/>
              </w:rPr>
              <w:t>Assign targets to team members and review weekly/monthly performance.</w:t>
            </w:r>
          </w:p>
        </w:tc>
        <w:tc>
          <w:tcPr>
            <w:tcW w:type="dxa" w:w="4032"/>
            <w:vAlign w:val="top"/>
          </w:tcPr>
          <w:p>
            <w:pPr>
              <w:spacing w:after="0" w:line="240" w:lineRule="auto"/>
            </w:pPr>
            <w:r>
              <w:rPr>
                <w:sz w:val="17"/>
              </w:rPr>
            </w:r>
            <w:r>
              <w:rPr>
                <w:b w:val="0"/>
                <w:sz w:val="17"/>
              </w:rPr>
              <w:t>Individual 30/60/90-day scorecards.</w:t>
            </w:r>
          </w:p>
        </w:tc>
      </w:tr>
      <w:tr>
        <w:tc>
          <w:tcPr>
            <w:tcW w:type="dxa" w:w="2304"/>
            <w:vAlign w:val="top"/>
          </w:tcPr>
          <w:p>
            <w:pPr>
              <w:spacing w:after="0" w:line="240" w:lineRule="auto"/>
            </w:pPr>
            <w:r>
              <w:rPr>
                <w:sz w:val="17"/>
              </w:rPr>
            </w:r>
            <w:r>
              <w:rPr>
                <w:b w:val="0"/>
                <w:sz w:val="17"/>
              </w:rPr>
              <w:t>Recruiter / Sourcer</w:t>
            </w:r>
          </w:p>
        </w:tc>
        <w:tc>
          <w:tcPr>
            <w:tcW w:type="dxa" w:w="4320"/>
            <w:vAlign w:val="top"/>
          </w:tcPr>
          <w:p>
            <w:pPr>
              <w:spacing w:after="0" w:line="240" w:lineRule="auto"/>
            </w:pPr>
            <w:r>
              <w:rPr>
                <w:sz w:val="17"/>
              </w:rPr>
            </w:r>
            <w:r>
              <w:rPr>
                <w:b w:val="0"/>
                <w:sz w:val="17"/>
              </w:rPr>
              <w:t>View assigned targets and progress if employee dashboard is enabled.</w:t>
            </w:r>
          </w:p>
        </w:tc>
        <w:tc>
          <w:tcPr>
            <w:tcW w:type="dxa" w:w="4032"/>
            <w:vAlign w:val="top"/>
          </w:tcPr>
          <w:p>
            <w:pPr>
              <w:spacing w:after="0" w:line="240" w:lineRule="auto"/>
            </w:pPr>
            <w:r>
              <w:rPr>
                <w:sz w:val="17"/>
              </w:rPr>
            </w:r>
            <w:r>
              <w:rPr>
                <w:b w:val="0"/>
                <w:sz w:val="17"/>
              </w:rPr>
              <w:t>Clarity on goals and incentive qualification.</w:t>
            </w:r>
          </w:p>
        </w:tc>
      </w:tr>
      <w:tr>
        <w:tc>
          <w:tcPr>
            <w:tcW w:type="dxa" w:w="2304"/>
            <w:vAlign w:val="top"/>
          </w:tcPr>
          <w:p>
            <w:pPr>
              <w:spacing w:after="0" w:line="240" w:lineRule="auto"/>
            </w:pPr>
            <w:r>
              <w:rPr>
                <w:sz w:val="17"/>
              </w:rPr>
            </w:r>
            <w:r>
              <w:rPr>
                <w:b w:val="0"/>
                <w:sz w:val="17"/>
              </w:rPr>
              <w:t>HR</w:t>
            </w:r>
          </w:p>
        </w:tc>
        <w:tc>
          <w:tcPr>
            <w:tcW w:type="dxa" w:w="4320"/>
            <w:vAlign w:val="top"/>
          </w:tcPr>
          <w:p>
            <w:pPr>
              <w:spacing w:after="0" w:line="240" w:lineRule="auto"/>
            </w:pPr>
            <w:r>
              <w:rPr>
                <w:sz w:val="17"/>
              </w:rPr>
            </w:r>
            <w:r>
              <w:rPr>
                <w:b w:val="0"/>
                <w:sz w:val="17"/>
              </w:rPr>
              <w:t>Generate compensation addenda, review plans, and documented target letters.</w:t>
            </w:r>
          </w:p>
        </w:tc>
        <w:tc>
          <w:tcPr>
            <w:tcW w:type="dxa" w:w="4032"/>
            <w:vAlign w:val="top"/>
          </w:tcPr>
          <w:p>
            <w:pPr>
              <w:spacing w:after="0" w:line="240" w:lineRule="auto"/>
            </w:pPr>
            <w:r>
              <w:rPr>
                <w:sz w:val="17"/>
              </w:rPr>
            </w:r>
            <w:r>
              <w:rPr>
                <w:b w:val="0"/>
                <w:sz w:val="17"/>
              </w:rPr>
              <w:t>Consistent employment documentation.</w:t>
            </w:r>
          </w:p>
        </w:tc>
      </w:tr>
    </w:tbl>
    <w:p>
      <w:pPr>
        <w:spacing w:after="80" w:line="259" w:lineRule="auto"/>
      </w:pPr>
    </w:p>
    <w:p>
      <w:pPr>
        <w:pStyle w:val="Heading1"/>
        <w:spacing w:after="80" w:line="259" w:lineRule="auto"/>
      </w:pPr>
      <w:r>
        <w:rPr>
          <w:color w:val="1F4E79"/>
        </w:rPr>
        <w:t>4. Tool Modules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Module</w:t>
            </w:r>
          </w:p>
        </w:tc>
        <w:tc>
          <w:tcPr>
            <w:tcW w:type="dxa" w:w="4608"/>
            <w:shd w:fill="1F4E79"/>
            <w:vAlign w:val="center"/>
          </w:tcPr>
          <w:p>
            <w:pPr>
              <w:spacing w:after="0" w:line="240" w:lineRule="auto"/>
            </w:pPr>
            <w:r>
              <w:rPr>
                <w:sz w:val="17"/>
              </w:rPr>
            </w:r>
            <w:r>
              <w:rPr>
                <w:b/>
                <w:color w:val="FFFFFF"/>
                <w:sz w:val="17"/>
              </w:rPr>
              <w:t>Description</w:t>
            </w:r>
          </w:p>
        </w:tc>
        <w:tc>
          <w:tcPr>
            <w:tcW w:type="dxa" w:w="3312"/>
            <w:shd w:fill="1F4E79"/>
            <w:vAlign w:val="center"/>
          </w:tcPr>
          <w:p>
            <w:pPr>
              <w:spacing w:after="0" w:line="240" w:lineRule="auto"/>
            </w:pPr>
            <w:r>
              <w:rPr>
                <w:sz w:val="17"/>
              </w:rPr>
            </w:r>
            <w:r>
              <w:rPr>
                <w:b/>
                <w:color w:val="FFFFFF"/>
                <w:sz w:val="17"/>
              </w:rPr>
              <w:t>Key Outputs</w:t>
            </w:r>
          </w:p>
        </w:tc>
      </w:tr>
      <w:tr>
        <w:tc>
          <w:tcPr>
            <w:tcW w:type="dxa" w:w="2592"/>
            <w:vAlign w:val="top"/>
          </w:tcPr>
          <w:p>
            <w:pPr>
              <w:spacing w:after="0" w:line="240" w:lineRule="auto"/>
            </w:pPr>
            <w:r>
              <w:rPr>
                <w:sz w:val="17"/>
              </w:rPr>
            </w:r>
            <w:r>
              <w:rPr>
                <w:b w:val="0"/>
                <w:sz w:val="17"/>
              </w:rPr>
              <w:t>Profile Intake</w:t>
            </w:r>
          </w:p>
        </w:tc>
        <w:tc>
          <w:tcPr>
            <w:tcW w:type="dxa" w:w="4608"/>
            <w:vAlign w:val="top"/>
          </w:tcPr>
          <w:p>
            <w:pPr>
              <w:spacing w:after="0" w:line="240" w:lineRule="auto"/>
            </w:pPr>
            <w:r>
              <w:rPr>
                <w:sz w:val="17"/>
              </w:rPr>
            </w:r>
            <w:r>
              <w:rPr>
                <w:b w:val="0"/>
                <w:sz w:val="17"/>
              </w:rPr>
              <w:t>Collects employee role, level, salary, department, clients, support resources, and responsibilities.</w:t>
            </w:r>
          </w:p>
        </w:tc>
        <w:tc>
          <w:tcPr>
            <w:tcW w:type="dxa" w:w="3312"/>
            <w:vAlign w:val="top"/>
          </w:tcPr>
          <w:p>
            <w:pPr>
              <w:spacing w:after="0" w:line="240" w:lineRule="auto"/>
            </w:pPr>
            <w:r>
              <w:rPr>
                <w:sz w:val="17"/>
              </w:rPr>
            </w:r>
            <w:r>
              <w:rPr>
                <w:b w:val="0"/>
                <w:sz w:val="17"/>
              </w:rPr>
              <w:t>Employee target profile.</w:t>
            </w:r>
          </w:p>
        </w:tc>
      </w:tr>
      <w:tr>
        <w:tc>
          <w:tcPr>
            <w:tcW w:type="dxa" w:w="2592"/>
            <w:vAlign w:val="top"/>
          </w:tcPr>
          <w:p>
            <w:pPr>
              <w:spacing w:after="0" w:line="240" w:lineRule="auto"/>
            </w:pPr>
            <w:r>
              <w:rPr>
                <w:sz w:val="17"/>
              </w:rPr>
            </w:r>
            <w:r>
              <w:rPr>
                <w:b w:val="0"/>
                <w:sz w:val="17"/>
              </w:rPr>
              <w:t>Cost &amp; Margin Engine</w:t>
            </w:r>
          </w:p>
        </w:tc>
        <w:tc>
          <w:tcPr>
            <w:tcW w:type="dxa" w:w="4608"/>
            <w:vAlign w:val="top"/>
          </w:tcPr>
          <w:p>
            <w:pPr>
              <w:spacing w:after="0" w:line="240" w:lineRule="auto"/>
            </w:pPr>
            <w:r>
              <w:rPr>
                <w:sz w:val="17"/>
              </w:rPr>
            </w:r>
            <w:r>
              <w:rPr>
                <w:b w:val="0"/>
                <w:sz w:val="17"/>
              </w:rPr>
              <w:t>Calculates retained gross margin and fully loaded contribution after all relevant costs.</w:t>
            </w:r>
          </w:p>
        </w:tc>
        <w:tc>
          <w:tcPr>
            <w:tcW w:type="dxa" w:w="3312"/>
            <w:vAlign w:val="top"/>
          </w:tcPr>
          <w:p>
            <w:pPr>
              <w:spacing w:after="0" w:line="240" w:lineRule="auto"/>
            </w:pPr>
            <w:r>
              <w:rPr>
                <w:sz w:val="17"/>
              </w:rPr>
            </w:r>
            <w:r>
              <w:rPr>
                <w:b w:val="0"/>
                <w:sz w:val="17"/>
              </w:rPr>
              <w:t>Profitability pass/fail, monthly contribution.</w:t>
            </w:r>
          </w:p>
        </w:tc>
      </w:tr>
      <w:tr>
        <w:tc>
          <w:tcPr>
            <w:tcW w:type="dxa" w:w="2592"/>
            <w:vAlign w:val="top"/>
          </w:tcPr>
          <w:p>
            <w:pPr>
              <w:spacing w:after="0" w:line="240" w:lineRule="auto"/>
            </w:pPr>
            <w:r>
              <w:rPr>
                <w:sz w:val="17"/>
              </w:rPr>
            </w:r>
            <w:r>
              <w:rPr>
                <w:b w:val="0"/>
                <w:sz w:val="17"/>
              </w:rPr>
              <w:t>Target Generator</w:t>
            </w:r>
          </w:p>
        </w:tc>
        <w:tc>
          <w:tcPr>
            <w:tcW w:type="dxa" w:w="4608"/>
            <w:vAlign w:val="top"/>
          </w:tcPr>
          <w:p>
            <w:pPr>
              <w:spacing w:after="0" w:line="240" w:lineRule="auto"/>
            </w:pPr>
            <w:r>
              <w:rPr>
                <w:sz w:val="17"/>
              </w:rPr>
            </w:r>
            <w:r>
              <w:rPr>
                <w:b w:val="0"/>
                <w:sz w:val="17"/>
              </w:rPr>
              <w:t>Converts role level and economics into monthly and 90-day targets.</w:t>
            </w:r>
          </w:p>
        </w:tc>
        <w:tc>
          <w:tcPr>
            <w:tcW w:type="dxa" w:w="3312"/>
            <w:vAlign w:val="top"/>
          </w:tcPr>
          <w:p>
            <w:pPr>
              <w:spacing w:after="0" w:line="240" w:lineRule="auto"/>
            </w:pPr>
            <w:r>
              <w:rPr>
                <w:sz w:val="17"/>
              </w:rPr>
            </w:r>
            <w:r>
              <w:rPr>
                <w:b w:val="0"/>
                <w:sz w:val="17"/>
              </w:rPr>
              <w:t>Starts/closes, margin, pipeline, reporting, and quality goals.</w:t>
            </w:r>
          </w:p>
        </w:tc>
      </w:tr>
      <w:tr>
        <w:tc>
          <w:tcPr>
            <w:tcW w:type="dxa" w:w="2592"/>
            <w:vAlign w:val="top"/>
          </w:tcPr>
          <w:p>
            <w:pPr>
              <w:spacing w:after="0" w:line="240" w:lineRule="auto"/>
            </w:pPr>
            <w:r>
              <w:rPr>
                <w:sz w:val="17"/>
              </w:rPr>
            </w:r>
            <w:r>
              <w:rPr>
                <w:b w:val="0"/>
                <w:sz w:val="17"/>
              </w:rPr>
              <w:t>Incentive Engine</w:t>
            </w:r>
          </w:p>
        </w:tc>
        <w:tc>
          <w:tcPr>
            <w:tcW w:type="dxa" w:w="4608"/>
            <w:vAlign w:val="top"/>
          </w:tcPr>
          <w:p>
            <w:pPr>
              <w:spacing w:after="0" w:line="240" w:lineRule="auto"/>
            </w:pPr>
            <w:r>
              <w:rPr>
                <w:sz w:val="17"/>
              </w:rPr>
            </w:r>
            <w:r>
              <w:rPr>
                <w:b w:val="0"/>
                <w:sz w:val="17"/>
              </w:rPr>
              <w:t>Determines eligibility based on retained starts/closes, margin threshold, retention period, and documentation.</w:t>
            </w:r>
          </w:p>
        </w:tc>
        <w:tc>
          <w:tcPr>
            <w:tcW w:type="dxa" w:w="3312"/>
            <w:vAlign w:val="top"/>
          </w:tcPr>
          <w:p>
            <w:pPr>
              <w:spacing w:after="0" w:line="240" w:lineRule="auto"/>
            </w:pPr>
            <w:r>
              <w:rPr>
                <w:sz w:val="17"/>
              </w:rPr>
            </w:r>
            <w:r>
              <w:rPr>
                <w:b w:val="0"/>
                <w:sz w:val="17"/>
              </w:rPr>
              <w:t>Incentive amount, payout date, exclusions.</w:t>
            </w:r>
          </w:p>
        </w:tc>
      </w:tr>
      <w:tr>
        <w:tc>
          <w:tcPr>
            <w:tcW w:type="dxa" w:w="2592"/>
            <w:vAlign w:val="top"/>
          </w:tcPr>
          <w:p>
            <w:pPr>
              <w:spacing w:after="0" w:line="240" w:lineRule="auto"/>
            </w:pPr>
            <w:r>
              <w:rPr>
                <w:sz w:val="17"/>
              </w:rPr>
            </w:r>
            <w:r>
              <w:rPr>
                <w:b w:val="0"/>
                <w:sz w:val="17"/>
              </w:rPr>
              <w:t>Scorecard Tracker</w:t>
            </w:r>
          </w:p>
        </w:tc>
        <w:tc>
          <w:tcPr>
            <w:tcW w:type="dxa" w:w="4608"/>
            <w:vAlign w:val="top"/>
          </w:tcPr>
          <w:p>
            <w:pPr>
              <w:spacing w:after="0" w:line="240" w:lineRule="auto"/>
            </w:pPr>
            <w:r>
              <w:rPr>
                <w:sz w:val="17"/>
              </w:rPr>
            </w:r>
            <w:r>
              <w:rPr>
                <w:b w:val="0"/>
                <w:sz w:val="17"/>
              </w:rPr>
              <w:t>Tracks weekly and monthly progress against targets.</w:t>
            </w:r>
          </w:p>
        </w:tc>
        <w:tc>
          <w:tcPr>
            <w:tcW w:type="dxa" w:w="3312"/>
            <w:vAlign w:val="top"/>
          </w:tcPr>
          <w:p>
            <w:pPr>
              <w:spacing w:after="0" w:line="240" w:lineRule="auto"/>
            </w:pPr>
            <w:r>
              <w:rPr>
                <w:sz w:val="17"/>
              </w:rPr>
            </w:r>
            <w:r>
              <w:rPr>
                <w:b w:val="0"/>
                <w:sz w:val="17"/>
              </w:rPr>
              <w:t>Manager dashboard and employee review data.</w:t>
            </w:r>
          </w:p>
        </w:tc>
      </w:tr>
      <w:tr>
        <w:tc>
          <w:tcPr>
            <w:tcW w:type="dxa" w:w="2592"/>
            <w:vAlign w:val="top"/>
          </w:tcPr>
          <w:p>
            <w:pPr>
              <w:spacing w:after="0" w:line="240" w:lineRule="auto"/>
            </w:pPr>
            <w:r>
              <w:rPr>
                <w:sz w:val="17"/>
              </w:rPr>
            </w:r>
            <w:r>
              <w:rPr>
                <w:b w:val="0"/>
                <w:sz w:val="17"/>
              </w:rPr>
              <w:t>Document Generator</w:t>
            </w:r>
          </w:p>
        </w:tc>
        <w:tc>
          <w:tcPr>
            <w:tcW w:type="dxa" w:w="4608"/>
            <w:vAlign w:val="top"/>
          </w:tcPr>
          <w:p>
            <w:pPr>
              <w:spacing w:after="0" w:line="240" w:lineRule="auto"/>
            </w:pPr>
            <w:r>
              <w:rPr>
                <w:sz w:val="17"/>
              </w:rPr>
            </w:r>
            <w:r>
              <w:rPr>
                <w:b w:val="0"/>
                <w:sz w:val="17"/>
              </w:rPr>
              <w:t>Creates target letters, review plans, and addenda using approved templates.</w:t>
            </w:r>
          </w:p>
        </w:tc>
        <w:tc>
          <w:tcPr>
            <w:tcW w:type="dxa" w:w="3312"/>
            <w:vAlign w:val="top"/>
          </w:tcPr>
          <w:p>
            <w:pPr>
              <w:spacing w:after="0" w:line="240" w:lineRule="auto"/>
            </w:pPr>
            <w:r>
              <w:rPr>
                <w:sz w:val="17"/>
              </w:rPr>
            </w:r>
            <w:r>
              <w:rPr>
                <w:b w:val="0"/>
                <w:sz w:val="17"/>
              </w:rPr>
              <w:t>PDF/DOCX-ready letters and review plans.</w:t>
            </w:r>
          </w:p>
        </w:tc>
      </w:tr>
      <w:tr>
        <w:tc>
          <w:tcPr>
            <w:tcW w:type="dxa" w:w="2592"/>
            <w:vAlign w:val="top"/>
          </w:tcPr>
          <w:p>
            <w:pPr>
              <w:spacing w:after="0" w:line="240" w:lineRule="auto"/>
            </w:pPr>
            <w:r>
              <w:rPr>
                <w:sz w:val="17"/>
              </w:rPr>
            </w:r>
            <w:r>
              <w:rPr>
                <w:b w:val="0"/>
                <w:sz w:val="17"/>
              </w:rPr>
              <w:t>Audit Log</w:t>
            </w:r>
          </w:p>
        </w:tc>
        <w:tc>
          <w:tcPr>
            <w:tcW w:type="dxa" w:w="4608"/>
            <w:vAlign w:val="top"/>
          </w:tcPr>
          <w:p>
            <w:pPr>
              <w:spacing w:after="0" w:line="240" w:lineRule="auto"/>
            </w:pPr>
            <w:r>
              <w:rPr>
                <w:sz w:val="17"/>
              </w:rPr>
            </w:r>
            <w:r>
              <w:rPr>
                <w:b w:val="0"/>
                <w:sz w:val="17"/>
              </w:rPr>
              <w:t>Tracks who changed assumptions, targets, approvals, and exceptions.</w:t>
            </w:r>
          </w:p>
        </w:tc>
        <w:tc>
          <w:tcPr>
            <w:tcW w:type="dxa" w:w="3312"/>
            <w:vAlign w:val="top"/>
          </w:tcPr>
          <w:p>
            <w:pPr>
              <w:spacing w:after="0" w:line="240" w:lineRule="auto"/>
            </w:pPr>
            <w:r>
              <w:rPr>
                <w:sz w:val="17"/>
              </w:rPr>
            </w:r>
            <w:r>
              <w:rPr>
                <w:b w:val="0"/>
                <w:sz w:val="17"/>
              </w:rPr>
              <w:t>Governance trail for disputes.</w:t>
            </w:r>
          </w:p>
        </w:tc>
      </w:tr>
    </w:tbl>
    <w:p>
      <w:pPr>
        <w:spacing w:after="80" w:line="259" w:lineRule="auto"/>
      </w:pPr>
    </w:p>
    <w:p>
      <w:pPr>
        <w:pStyle w:val="Heading1"/>
        <w:spacing w:after="80" w:line="259" w:lineRule="auto"/>
      </w:pPr>
      <w:r>
        <w:rPr>
          <w:color w:val="1F4E79"/>
        </w:rPr>
        <w:t>5. Key Definitions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2880"/>
            <w:shd w:fill="1F4E79"/>
            <w:vAlign w:val="center"/>
          </w:tcPr>
          <w:p>
            <w:pPr>
              <w:spacing w:after="0" w:line="240" w:lineRule="auto"/>
            </w:pPr>
            <w:r>
              <w:rPr>
                <w:sz w:val="17"/>
              </w:rPr>
            </w:r>
            <w:r>
              <w:rPr>
                <w:b/>
                <w:color w:val="FFFFFF"/>
                <w:sz w:val="17"/>
              </w:rPr>
              <w:t>Term</w:t>
            </w:r>
          </w:p>
        </w:tc>
        <w:tc>
          <w:tcPr>
            <w:tcW w:type="dxa" w:w="7632"/>
            <w:shd w:fill="1F4E79"/>
            <w:vAlign w:val="center"/>
          </w:tcPr>
          <w:p>
            <w:pPr>
              <w:spacing w:after="0" w:line="240" w:lineRule="auto"/>
            </w:pPr>
            <w:r>
              <w:rPr>
                <w:sz w:val="17"/>
              </w:rPr>
            </w:r>
            <w:r>
              <w:rPr>
                <w:b/>
                <w:color w:val="FFFFFF"/>
                <w:sz w:val="17"/>
              </w:rPr>
              <w:t>Definition</w:t>
            </w:r>
          </w:p>
        </w:tc>
      </w:tr>
      <w:tr>
        <w:tc>
          <w:tcPr>
            <w:tcW w:type="dxa" w:w="2880"/>
            <w:vAlign w:val="top"/>
          </w:tcPr>
          <w:p>
            <w:pPr>
              <w:spacing w:after="0" w:line="240" w:lineRule="auto"/>
            </w:pPr>
            <w:r>
              <w:rPr>
                <w:sz w:val="17"/>
              </w:rPr>
            </w:r>
            <w:r>
              <w:rPr>
                <w:b w:val="0"/>
                <w:sz w:val="17"/>
              </w:rPr>
              <w:t>Qualified Retained Start - Healthcare</w:t>
            </w:r>
          </w:p>
        </w:tc>
        <w:tc>
          <w:tcPr>
            <w:tcW w:type="dxa" w:w="7632"/>
            <w:vAlign w:val="top"/>
          </w:tcPr>
          <w:p>
            <w:pPr>
              <w:spacing w:after="0" w:line="240" w:lineRule="auto"/>
            </w:pPr>
            <w:r>
              <w:rPr>
                <w:sz w:val="17"/>
              </w:rPr>
            </w:r>
            <w:r>
              <w:rPr>
                <w:b w:val="0"/>
                <w:sz w:val="17"/>
              </w:rPr>
              <w:t>Candidate starts, is accepted by client/MSP, has complete RTR/documentation, meets role and commitment requirements, is actively billing, and does not fall off due to avoidable screening or commitment gaps.</w:t>
            </w:r>
          </w:p>
        </w:tc>
      </w:tr>
      <w:tr>
        <w:tc>
          <w:tcPr>
            <w:tcW w:type="dxa" w:w="2880"/>
            <w:vAlign w:val="top"/>
          </w:tcPr>
          <w:p>
            <w:pPr>
              <w:spacing w:after="0" w:line="240" w:lineRule="auto"/>
            </w:pPr>
            <w:r>
              <w:rPr>
                <w:sz w:val="17"/>
              </w:rPr>
            </w:r>
            <w:r>
              <w:rPr>
                <w:b w:val="0"/>
                <w:sz w:val="17"/>
              </w:rPr>
              <w:t>Qualified IT Close</w:t>
            </w:r>
          </w:p>
        </w:tc>
        <w:tc>
          <w:tcPr>
            <w:tcW w:type="dxa" w:w="7632"/>
            <w:vAlign w:val="top"/>
          </w:tcPr>
          <w:p>
            <w:pPr>
              <w:spacing w:after="0" w:line="240" w:lineRule="auto"/>
            </w:pPr>
            <w:r>
              <w:rPr>
                <w:sz w:val="17"/>
              </w:rPr>
            </w:r>
            <w:r>
              <w:rPr>
                <w:b w:val="0"/>
                <w:sz w:val="17"/>
              </w:rPr>
              <w:t>For contract IT: candidate starts and bills successfully. For full-time/permanent: candidate joins and fee becomes payable/collectible per client terms.</w:t>
            </w:r>
          </w:p>
        </w:tc>
      </w:tr>
      <w:tr>
        <w:tc>
          <w:tcPr>
            <w:tcW w:type="dxa" w:w="2880"/>
            <w:vAlign w:val="top"/>
          </w:tcPr>
          <w:p>
            <w:pPr>
              <w:spacing w:after="0" w:line="240" w:lineRule="auto"/>
            </w:pPr>
            <w:r>
              <w:rPr>
                <w:sz w:val="17"/>
              </w:rPr>
            </w:r>
            <w:r>
              <w:rPr>
                <w:b w:val="0"/>
                <w:sz w:val="17"/>
              </w:rPr>
              <w:t>Retained Billing</w:t>
            </w:r>
          </w:p>
        </w:tc>
        <w:tc>
          <w:tcPr>
            <w:tcW w:type="dxa" w:w="7632"/>
            <w:vAlign w:val="top"/>
          </w:tcPr>
          <w:p>
            <w:pPr>
              <w:spacing w:after="0" w:line="240" w:lineRule="auto"/>
            </w:pPr>
            <w:r>
              <w:rPr>
                <w:sz w:val="17"/>
              </w:rPr>
            </w:r>
            <w:r>
              <w:rPr>
                <w:b w:val="0"/>
                <w:sz w:val="17"/>
              </w:rPr>
              <w:t>Revenue or margin that remains valid after the retention period or client acceptance period.</w:t>
            </w:r>
          </w:p>
        </w:tc>
      </w:tr>
      <w:tr>
        <w:tc>
          <w:tcPr>
            <w:tcW w:type="dxa" w:w="2880"/>
            <w:vAlign w:val="top"/>
          </w:tcPr>
          <w:p>
            <w:pPr>
              <w:spacing w:after="0" w:line="240" w:lineRule="auto"/>
            </w:pPr>
            <w:r>
              <w:rPr>
                <w:sz w:val="17"/>
              </w:rPr>
            </w:r>
            <w:r>
              <w:rPr>
                <w:b w:val="0"/>
                <w:sz w:val="17"/>
              </w:rPr>
              <w:t>Fully Loaded Contribution Margin</w:t>
            </w:r>
          </w:p>
        </w:tc>
        <w:tc>
          <w:tcPr>
            <w:tcW w:type="dxa" w:w="7632"/>
            <w:vAlign w:val="top"/>
          </w:tcPr>
          <w:p>
            <w:pPr>
              <w:spacing w:after="0" w:line="240" w:lineRule="auto"/>
            </w:pPr>
            <w:r>
              <w:rPr>
                <w:sz w:val="17"/>
              </w:rPr>
            </w:r>
            <w:r>
              <w:rPr>
                <w:b w:val="0"/>
                <w:sz w:val="17"/>
              </w:rPr>
              <w:t>Margin after pay rate, payroll burden, MSP/client fees, split/vendor fees, operational allocations, tools/admin cost, and other applicable deductions.</w:t>
            </w:r>
          </w:p>
        </w:tc>
      </w:tr>
      <w:tr>
        <w:tc>
          <w:tcPr>
            <w:tcW w:type="dxa" w:w="2880"/>
            <w:vAlign w:val="top"/>
          </w:tcPr>
          <w:p>
            <w:pPr>
              <w:spacing w:after="0" w:line="240" w:lineRule="auto"/>
            </w:pPr>
            <w:r>
              <w:rPr>
                <w:sz w:val="17"/>
              </w:rPr>
            </w:r>
            <w:r>
              <w:rPr>
                <w:b w:val="0"/>
                <w:sz w:val="17"/>
              </w:rPr>
              <w:t>Strategic Exception</w:t>
            </w:r>
          </w:p>
        </w:tc>
        <w:tc>
          <w:tcPr>
            <w:tcW w:type="dxa" w:w="7632"/>
            <w:vAlign w:val="top"/>
          </w:tcPr>
          <w:p>
            <w:pPr>
              <w:spacing w:after="0" w:line="240" w:lineRule="auto"/>
            </w:pPr>
            <w:r>
              <w:rPr>
                <w:sz w:val="17"/>
              </w:rPr>
            </w:r>
            <w:r>
              <w:rPr>
                <w:b w:val="0"/>
                <w:sz w:val="17"/>
              </w:rPr>
              <w:t>A low-margin placement approved by leadership for strategic client value, future volume, or account expansion. These should not automatically qualify for incentives unless approved.</w:t>
            </w:r>
          </w:p>
        </w:tc>
      </w:tr>
      <w:tr>
        <w:tc>
          <w:tcPr>
            <w:tcW w:type="dxa" w:w="2880"/>
            <w:vAlign w:val="top"/>
          </w:tcPr>
          <w:p>
            <w:pPr>
              <w:spacing w:after="0" w:line="240" w:lineRule="auto"/>
            </w:pPr>
            <w:r>
              <w:rPr>
                <w:sz w:val="17"/>
              </w:rPr>
            </w:r>
            <w:r>
              <w:rPr>
                <w:b w:val="0"/>
                <w:sz w:val="17"/>
              </w:rPr>
              <w:t>Support Multiplier</w:t>
            </w:r>
          </w:p>
        </w:tc>
        <w:tc>
          <w:tcPr>
            <w:tcW w:type="dxa" w:w="7632"/>
            <w:vAlign w:val="top"/>
          </w:tcPr>
          <w:p>
            <w:pPr>
              <w:spacing w:after="0" w:line="240" w:lineRule="auto"/>
            </w:pPr>
            <w:r>
              <w:rPr>
                <w:sz w:val="17"/>
              </w:rPr>
            </w:r>
            <w:r>
              <w:rPr>
                <w:b w:val="0"/>
                <w:sz w:val="17"/>
              </w:rPr>
              <w:t>Adjustment that increases target expectations when recruiter has sourcer/JR/MIS/tool support.</w:t>
            </w:r>
          </w:p>
        </w:tc>
      </w:tr>
    </w:tbl>
    <w:p>
      <w:pPr>
        <w:spacing w:after="80" w:line="259" w:lineRule="auto"/>
      </w:pPr>
    </w:p>
    <w:p>
      <w:pPr>
        <w:pStyle w:val="Heading1"/>
        <w:spacing w:after="80" w:line="259" w:lineRule="auto"/>
      </w:pPr>
      <w:r>
        <w:rPr>
          <w:color w:val="1F4E79"/>
        </w:rPr>
        <w:t>6. Input Data Model</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Input Group</w:t>
            </w:r>
          </w:p>
        </w:tc>
        <w:tc>
          <w:tcPr>
            <w:tcW w:type="dxa" w:w="5328"/>
            <w:shd w:fill="1F4E79"/>
            <w:vAlign w:val="center"/>
          </w:tcPr>
          <w:p>
            <w:pPr>
              <w:spacing w:after="0" w:line="240" w:lineRule="auto"/>
            </w:pPr>
            <w:r>
              <w:rPr>
                <w:sz w:val="17"/>
              </w:rPr>
            </w:r>
            <w:r>
              <w:rPr>
                <w:b/>
                <w:color w:val="FFFFFF"/>
                <w:sz w:val="17"/>
              </w:rPr>
              <w:t>Required Fields</w:t>
            </w:r>
          </w:p>
        </w:tc>
        <w:tc>
          <w:tcPr>
            <w:tcW w:type="dxa" w:w="2592"/>
            <w:shd w:fill="1F4E79"/>
            <w:vAlign w:val="center"/>
          </w:tcPr>
          <w:p>
            <w:pPr>
              <w:spacing w:after="0" w:line="240" w:lineRule="auto"/>
            </w:pPr>
            <w:r>
              <w:rPr>
                <w:sz w:val="17"/>
              </w:rPr>
            </w:r>
            <w:r>
              <w:rPr>
                <w:b/>
                <w:color w:val="FFFFFF"/>
                <w:sz w:val="17"/>
              </w:rPr>
              <w:t>Notes</w:t>
            </w:r>
          </w:p>
        </w:tc>
      </w:tr>
      <w:tr>
        <w:tc>
          <w:tcPr>
            <w:tcW w:type="dxa" w:w="2592"/>
            <w:vAlign w:val="top"/>
          </w:tcPr>
          <w:p>
            <w:pPr>
              <w:spacing w:after="0" w:line="240" w:lineRule="auto"/>
            </w:pPr>
            <w:r>
              <w:rPr>
                <w:sz w:val="17"/>
              </w:rPr>
            </w:r>
            <w:r>
              <w:rPr>
                <w:b w:val="0"/>
                <w:sz w:val="17"/>
              </w:rPr>
              <w:t>Employee Profile</w:t>
            </w:r>
          </w:p>
        </w:tc>
        <w:tc>
          <w:tcPr>
            <w:tcW w:type="dxa" w:w="5328"/>
            <w:vAlign w:val="top"/>
          </w:tcPr>
          <w:p>
            <w:pPr>
              <w:spacing w:after="0" w:line="240" w:lineRule="auto"/>
            </w:pPr>
            <w:r>
              <w:rPr>
                <w:sz w:val="17"/>
              </w:rPr>
            </w:r>
            <w:r>
              <w:rPr>
                <w:b w:val="0"/>
                <w:sz w:val="17"/>
              </w:rPr>
              <w:t>Name, role, level, salary, department, reporting manager, location, employment type.</w:t>
            </w:r>
          </w:p>
        </w:tc>
        <w:tc>
          <w:tcPr>
            <w:tcW w:type="dxa" w:w="2592"/>
            <w:vAlign w:val="top"/>
          </w:tcPr>
          <w:p>
            <w:pPr>
              <w:spacing w:after="0" w:line="240" w:lineRule="auto"/>
            </w:pPr>
            <w:r>
              <w:rPr>
                <w:sz w:val="17"/>
              </w:rPr>
            </w:r>
            <w:r>
              <w:rPr>
                <w:b w:val="0"/>
                <w:sz w:val="17"/>
              </w:rPr>
              <w:t>Used to determine role expectations and salary-to-return ratio.</w:t>
            </w:r>
          </w:p>
        </w:tc>
      </w:tr>
      <w:tr>
        <w:tc>
          <w:tcPr>
            <w:tcW w:type="dxa" w:w="2592"/>
            <w:vAlign w:val="top"/>
          </w:tcPr>
          <w:p>
            <w:pPr>
              <w:spacing w:after="0" w:line="240" w:lineRule="auto"/>
            </w:pPr>
            <w:r>
              <w:rPr>
                <w:sz w:val="17"/>
              </w:rPr>
            </w:r>
            <w:r>
              <w:rPr>
                <w:b w:val="0"/>
                <w:sz w:val="17"/>
              </w:rPr>
              <w:t>Role / Level</w:t>
            </w:r>
          </w:p>
        </w:tc>
        <w:tc>
          <w:tcPr>
            <w:tcW w:type="dxa" w:w="5328"/>
            <w:vAlign w:val="top"/>
          </w:tcPr>
          <w:p>
            <w:pPr>
              <w:spacing w:after="0" w:line="240" w:lineRule="auto"/>
            </w:pPr>
            <w:r>
              <w:rPr>
                <w:sz w:val="17"/>
              </w:rPr>
            </w:r>
            <w:r>
              <w:rPr>
                <w:b w:val="0"/>
                <w:sz w:val="17"/>
              </w:rPr>
              <w:t>Sourcer, Junior Recruiter, Recruiter, Senior Recruiter, Lead, Assistant Manager, Manager.</w:t>
            </w:r>
          </w:p>
        </w:tc>
        <w:tc>
          <w:tcPr>
            <w:tcW w:type="dxa" w:w="2592"/>
            <w:vAlign w:val="top"/>
          </w:tcPr>
          <w:p>
            <w:pPr>
              <w:spacing w:after="0" w:line="240" w:lineRule="auto"/>
            </w:pPr>
            <w:r>
              <w:rPr>
                <w:sz w:val="17"/>
              </w:rPr>
            </w:r>
            <w:r>
              <w:rPr>
                <w:b w:val="0"/>
                <w:sz w:val="17"/>
              </w:rPr>
              <w:t>Each level has different ownership and target assumptions.</w:t>
            </w:r>
          </w:p>
        </w:tc>
      </w:tr>
      <w:tr>
        <w:tc>
          <w:tcPr>
            <w:tcW w:type="dxa" w:w="2592"/>
            <w:vAlign w:val="top"/>
          </w:tcPr>
          <w:p>
            <w:pPr>
              <w:spacing w:after="0" w:line="240" w:lineRule="auto"/>
            </w:pPr>
            <w:r>
              <w:rPr>
                <w:sz w:val="17"/>
              </w:rPr>
            </w:r>
            <w:r>
              <w:rPr>
                <w:b w:val="0"/>
                <w:sz w:val="17"/>
              </w:rPr>
              <w:t>Department</w:t>
            </w:r>
          </w:p>
        </w:tc>
        <w:tc>
          <w:tcPr>
            <w:tcW w:type="dxa" w:w="5328"/>
            <w:vAlign w:val="top"/>
          </w:tcPr>
          <w:p>
            <w:pPr>
              <w:spacing w:after="0" w:line="240" w:lineRule="auto"/>
            </w:pPr>
            <w:r>
              <w:rPr>
                <w:sz w:val="17"/>
              </w:rPr>
            </w:r>
            <w:r>
              <w:rPr>
                <w:b w:val="0"/>
                <w:sz w:val="17"/>
              </w:rPr>
              <w:t>Healthcare, IT Contract, IT Permanent, IT Mixed.</w:t>
            </w:r>
          </w:p>
        </w:tc>
        <w:tc>
          <w:tcPr>
            <w:tcW w:type="dxa" w:w="2592"/>
            <w:vAlign w:val="top"/>
          </w:tcPr>
          <w:p>
            <w:pPr>
              <w:spacing w:after="0" w:line="240" w:lineRule="auto"/>
            </w:pPr>
            <w:r>
              <w:rPr>
                <w:sz w:val="17"/>
              </w:rPr>
            </w:r>
            <w:r>
              <w:rPr>
                <w:b w:val="0"/>
                <w:sz w:val="17"/>
              </w:rPr>
              <w:t>Drives business logic and targets.</w:t>
            </w:r>
          </w:p>
        </w:tc>
      </w:tr>
      <w:tr>
        <w:tc>
          <w:tcPr>
            <w:tcW w:type="dxa" w:w="2592"/>
            <w:vAlign w:val="top"/>
          </w:tcPr>
          <w:p>
            <w:pPr>
              <w:spacing w:after="0" w:line="240" w:lineRule="auto"/>
            </w:pPr>
            <w:r>
              <w:rPr>
                <w:sz w:val="17"/>
              </w:rPr>
            </w:r>
            <w:r>
              <w:rPr>
                <w:b w:val="0"/>
                <w:sz w:val="17"/>
              </w:rPr>
              <w:t>Compensation</w:t>
            </w:r>
          </w:p>
        </w:tc>
        <w:tc>
          <w:tcPr>
            <w:tcW w:type="dxa" w:w="5328"/>
            <w:vAlign w:val="top"/>
          </w:tcPr>
          <w:p>
            <w:pPr>
              <w:spacing w:after="0" w:line="240" w:lineRule="auto"/>
            </w:pPr>
            <w:r>
              <w:rPr>
                <w:sz w:val="17"/>
              </w:rPr>
            </w:r>
            <w:r>
              <w:rPr>
                <w:b w:val="0"/>
                <w:sz w:val="17"/>
              </w:rPr>
              <w:t>Fixed salary, salary band, currency, effective date.</w:t>
            </w:r>
          </w:p>
        </w:tc>
        <w:tc>
          <w:tcPr>
            <w:tcW w:type="dxa" w:w="2592"/>
            <w:vAlign w:val="top"/>
          </w:tcPr>
          <w:p>
            <w:pPr>
              <w:spacing w:after="0" w:line="240" w:lineRule="auto"/>
            </w:pPr>
            <w:r>
              <w:rPr>
                <w:sz w:val="17"/>
              </w:rPr>
            </w:r>
            <w:r>
              <w:rPr>
                <w:b w:val="0"/>
                <w:sz w:val="17"/>
              </w:rPr>
              <w:t>Used to calculate expected return and target margin.</w:t>
            </w:r>
          </w:p>
        </w:tc>
      </w:tr>
      <w:tr>
        <w:tc>
          <w:tcPr>
            <w:tcW w:type="dxa" w:w="2592"/>
            <w:vAlign w:val="top"/>
          </w:tcPr>
          <w:p>
            <w:pPr>
              <w:spacing w:after="0" w:line="240" w:lineRule="auto"/>
            </w:pPr>
            <w:r>
              <w:rPr>
                <w:sz w:val="17"/>
              </w:rPr>
            </w:r>
            <w:r>
              <w:rPr>
                <w:b w:val="0"/>
                <w:sz w:val="17"/>
              </w:rPr>
              <w:t>Support Resources</w:t>
            </w:r>
          </w:p>
        </w:tc>
        <w:tc>
          <w:tcPr>
            <w:tcW w:type="dxa" w:w="5328"/>
            <w:vAlign w:val="top"/>
          </w:tcPr>
          <w:p>
            <w:pPr>
              <w:spacing w:after="0" w:line="240" w:lineRule="auto"/>
            </w:pPr>
            <w:r>
              <w:rPr>
                <w:sz w:val="17"/>
              </w:rPr>
            </w:r>
            <w:r>
              <w:rPr>
                <w:b w:val="0"/>
                <w:sz w:val="17"/>
              </w:rPr>
              <w:t>Number of sourcers, junior recruiters, MIS, tools, portals, AI/tools, manager involvement.</w:t>
            </w:r>
          </w:p>
        </w:tc>
        <w:tc>
          <w:tcPr>
            <w:tcW w:type="dxa" w:w="2592"/>
            <w:vAlign w:val="top"/>
          </w:tcPr>
          <w:p>
            <w:pPr>
              <w:spacing w:after="0" w:line="240" w:lineRule="auto"/>
            </w:pPr>
            <w:r>
              <w:rPr>
                <w:sz w:val="17"/>
              </w:rPr>
            </w:r>
            <w:r>
              <w:rPr>
                <w:b w:val="0"/>
                <w:sz w:val="17"/>
              </w:rPr>
              <w:t>Used to increase target expectation if support is high.</w:t>
            </w:r>
          </w:p>
        </w:tc>
      </w:tr>
      <w:tr>
        <w:tc>
          <w:tcPr>
            <w:tcW w:type="dxa" w:w="2592"/>
            <w:vAlign w:val="top"/>
          </w:tcPr>
          <w:p>
            <w:pPr>
              <w:spacing w:after="0" w:line="240" w:lineRule="auto"/>
            </w:pPr>
            <w:r>
              <w:rPr>
                <w:sz w:val="17"/>
              </w:rPr>
            </w:r>
            <w:r>
              <w:rPr>
                <w:b w:val="0"/>
                <w:sz w:val="17"/>
              </w:rPr>
              <w:t>Client Demand</w:t>
            </w:r>
          </w:p>
        </w:tc>
        <w:tc>
          <w:tcPr>
            <w:tcW w:type="dxa" w:w="5328"/>
            <w:vAlign w:val="top"/>
          </w:tcPr>
          <w:p>
            <w:pPr>
              <w:spacing w:after="0" w:line="240" w:lineRule="auto"/>
            </w:pPr>
            <w:r>
              <w:rPr>
                <w:sz w:val="17"/>
              </w:rPr>
            </w:r>
            <w:r>
              <w:rPr>
                <w:b w:val="0"/>
                <w:sz w:val="17"/>
              </w:rPr>
              <w:t>Active roles, historical fill rate, role priority, client type, contract length.</w:t>
            </w:r>
          </w:p>
        </w:tc>
        <w:tc>
          <w:tcPr>
            <w:tcW w:type="dxa" w:w="2592"/>
            <w:vAlign w:val="top"/>
          </w:tcPr>
          <w:p>
            <w:pPr>
              <w:spacing w:after="0" w:line="240" w:lineRule="auto"/>
            </w:pPr>
            <w:r>
              <w:rPr>
                <w:sz w:val="17"/>
              </w:rPr>
            </w:r>
            <w:r>
              <w:rPr>
                <w:b w:val="0"/>
                <w:sz w:val="17"/>
              </w:rPr>
              <w:t>Prevents unfair targets when demand is low.</w:t>
            </w:r>
          </w:p>
        </w:tc>
      </w:tr>
      <w:tr>
        <w:tc>
          <w:tcPr>
            <w:tcW w:type="dxa" w:w="2592"/>
            <w:vAlign w:val="top"/>
          </w:tcPr>
          <w:p>
            <w:pPr>
              <w:spacing w:after="0" w:line="240" w:lineRule="auto"/>
            </w:pPr>
            <w:r>
              <w:rPr>
                <w:sz w:val="17"/>
              </w:rPr>
            </w:r>
            <w:r>
              <w:rPr>
                <w:b w:val="0"/>
                <w:sz w:val="17"/>
              </w:rPr>
              <w:t>Economics</w:t>
            </w:r>
          </w:p>
        </w:tc>
        <w:tc>
          <w:tcPr>
            <w:tcW w:type="dxa" w:w="5328"/>
            <w:vAlign w:val="top"/>
          </w:tcPr>
          <w:p>
            <w:pPr>
              <w:spacing w:after="0" w:line="240" w:lineRule="auto"/>
            </w:pPr>
            <w:r>
              <w:rPr>
                <w:sz w:val="17"/>
              </w:rPr>
            </w:r>
            <w:r>
              <w:rPr>
                <w:b w:val="0"/>
                <w:sz w:val="17"/>
              </w:rPr>
              <w:t>Bill rate, pay rate, MSP fee, payroll burden, split/vendor fee, tools/admin cost, overhead allocation.</w:t>
            </w:r>
          </w:p>
        </w:tc>
        <w:tc>
          <w:tcPr>
            <w:tcW w:type="dxa" w:w="2592"/>
            <w:vAlign w:val="top"/>
          </w:tcPr>
          <w:p>
            <w:pPr>
              <w:spacing w:after="0" w:line="240" w:lineRule="auto"/>
            </w:pPr>
            <w:r>
              <w:rPr>
                <w:sz w:val="17"/>
              </w:rPr>
            </w:r>
            <w:r>
              <w:rPr>
                <w:b w:val="0"/>
                <w:sz w:val="17"/>
              </w:rPr>
              <w:t>Feeds calculator and incentive eligibility.</w:t>
            </w:r>
          </w:p>
        </w:tc>
      </w:tr>
      <w:tr>
        <w:tc>
          <w:tcPr>
            <w:tcW w:type="dxa" w:w="2592"/>
            <w:vAlign w:val="top"/>
          </w:tcPr>
          <w:p>
            <w:pPr>
              <w:spacing w:after="0" w:line="240" w:lineRule="auto"/>
            </w:pPr>
            <w:r>
              <w:rPr>
                <w:sz w:val="17"/>
              </w:rPr>
            </w:r>
            <w:r>
              <w:rPr>
                <w:b w:val="0"/>
                <w:sz w:val="17"/>
              </w:rPr>
              <w:t>Performance History</w:t>
            </w:r>
          </w:p>
        </w:tc>
        <w:tc>
          <w:tcPr>
            <w:tcW w:type="dxa" w:w="5328"/>
            <w:vAlign w:val="top"/>
          </w:tcPr>
          <w:p>
            <w:pPr>
              <w:spacing w:after="0" w:line="240" w:lineRule="auto"/>
            </w:pPr>
            <w:r>
              <w:rPr>
                <w:sz w:val="17"/>
              </w:rPr>
            </w:r>
            <w:r>
              <w:rPr>
                <w:b w:val="0"/>
                <w:sz w:val="17"/>
              </w:rPr>
              <w:t>Submissions, interviews, starts, falloffs, retained starts, margins, candidate quality.</w:t>
            </w:r>
          </w:p>
        </w:tc>
        <w:tc>
          <w:tcPr>
            <w:tcW w:type="dxa" w:w="2592"/>
            <w:vAlign w:val="top"/>
          </w:tcPr>
          <w:p>
            <w:pPr>
              <w:spacing w:after="0" w:line="240" w:lineRule="auto"/>
            </w:pPr>
            <w:r>
              <w:rPr>
                <w:sz w:val="17"/>
              </w:rPr>
            </w:r>
            <w:r>
              <w:rPr>
                <w:b w:val="0"/>
                <w:sz w:val="17"/>
              </w:rPr>
              <w:t>Used to calibrate target and review trend.</w:t>
            </w:r>
          </w:p>
        </w:tc>
      </w:tr>
      <w:tr>
        <w:tc>
          <w:tcPr>
            <w:tcW w:type="dxa" w:w="2592"/>
            <w:vAlign w:val="top"/>
          </w:tcPr>
          <w:p>
            <w:pPr>
              <w:spacing w:after="0" w:line="240" w:lineRule="auto"/>
            </w:pPr>
            <w:r>
              <w:rPr>
                <w:sz w:val="17"/>
              </w:rPr>
            </w:r>
            <w:r>
              <w:rPr>
                <w:b w:val="0"/>
                <w:sz w:val="17"/>
              </w:rPr>
              <w:t>Quality / Compliance</w:t>
            </w:r>
          </w:p>
        </w:tc>
        <w:tc>
          <w:tcPr>
            <w:tcW w:type="dxa" w:w="5328"/>
            <w:vAlign w:val="top"/>
          </w:tcPr>
          <w:p>
            <w:pPr>
              <w:spacing w:after="0" w:line="240" w:lineRule="auto"/>
            </w:pPr>
            <w:r>
              <w:rPr>
                <w:sz w:val="17"/>
              </w:rPr>
            </w:r>
            <w:r>
              <w:rPr>
                <w:b w:val="0"/>
                <w:sz w:val="17"/>
              </w:rPr>
              <w:t>RTR completion, notes completeness, falloff reason, candidate ownership, confidentiality issues.</w:t>
            </w:r>
          </w:p>
        </w:tc>
        <w:tc>
          <w:tcPr>
            <w:tcW w:type="dxa" w:w="2592"/>
            <w:vAlign w:val="top"/>
          </w:tcPr>
          <w:p>
            <w:pPr>
              <w:spacing w:after="0" w:line="240" w:lineRule="auto"/>
            </w:pPr>
            <w:r>
              <w:rPr>
                <w:sz w:val="17"/>
              </w:rPr>
            </w:r>
            <w:r>
              <w:rPr>
                <w:b w:val="0"/>
                <w:sz w:val="17"/>
              </w:rPr>
              <w:t>Impacts review and incentive eligibility.</w:t>
            </w:r>
          </w:p>
        </w:tc>
      </w:tr>
    </w:tbl>
    <w:p>
      <w:pPr>
        <w:spacing w:after="80" w:line="259" w:lineRule="auto"/>
      </w:pPr>
    </w:p>
    <w:p>
      <w:pPr>
        <w:pStyle w:val="Heading1"/>
        <w:spacing w:after="80" w:line="259" w:lineRule="auto"/>
      </w:pPr>
      <w:r>
        <w:rPr>
          <w:color w:val="1F4E79"/>
        </w:rPr>
        <w:t>7. Cost and Margin Engine</w:t>
      </w:r>
    </w:p>
    <w:p>
      <w:pPr>
        <w:pStyle w:val="Heading2"/>
        <w:spacing w:after="80" w:line="259" w:lineRule="auto"/>
      </w:pPr>
      <w:r>
        <w:rPr>
          <w:color w:val="4F81BD"/>
        </w:rPr>
        <w:t>7.1 Healthcare Contract Margin Formula</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Gross Spread/hr = Bill Rate/hr - Pay Rate/hr</w:t>
            </w:r>
          </w:p>
          <w:p>
            <w:pPr>
              <w:spacing w:after="0" w:line="240" w:lineRule="auto"/>
            </w:pPr>
            <w:r>
              <w:rPr>
                <w:i/>
                <w:sz w:val="17"/>
              </w:rPr>
              <w:t>Simple spread before fees and load.</w:t>
            </w:r>
          </w:p>
        </w:tc>
      </w:tr>
    </w:tbl>
    <w:p>
      <w:pPr>
        <w:spacing w:after="80" w:line="259" w:lineRule="auto"/>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Loaded Cost/hr = Pay Rate/hr + Payroll Burden/hr + MSP Fee/hr + Split Fee/hr + Ops Allocation/hr + Tool/Admin Allocation/hr</w:t>
            </w:r>
          </w:p>
          <w:p>
            <w:pPr>
              <w:spacing w:after="0" w:line="240" w:lineRule="auto"/>
            </w:pPr>
            <w:r>
              <w:rPr>
                <w:i/>
                <w:sz w:val="17"/>
              </w:rPr>
              <w:t>Fully loaded cost per billable hour.</w:t>
            </w:r>
          </w:p>
        </w:tc>
      </w:tr>
    </w:tbl>
    <w:p>
      <w:pPr>
        <w:spacing w:after="80" w:line="259" w:lineRule="auto"/>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Contribution Margin/hr = Bill Rate/hr - Loaded Cost/hr</w:t>
            </w:r>
          </w:p>
          <w:p>
            <w:pPr>
              <w:spacing w:after="0" w:line="240" w:lineRule="auto"/>
            </w:pPr>
            <w:r>
              <w:rPr>
                <w:i/>
                <w:sz w:val="17"/>
              </w:rPr>
              <w:t>This is the hourly margin that should be used for incentive eligibility.</w:t>
            </w:r>
          </w:p>
        </w:tc>
      </w:tr>
    </w:tbl>
    <w:p>
      <w:pPr>
        <w:spacing w:after="80" w:line="259" w:lineRule="auto"/>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Monthly Contribution = Contribution Margin/hr × Expected Billable Hours/month</w:t>
            </w:r>
          </w:p>
          <w:p>
            <w:pPr>
              <w:spacing w:after="0" w:line="240" w:lineRule="auto"/>
            </w:pPr>
            <w:r>
              <w:rPr>
                <w:i/>
                <w:sz w:val="17"/>
              </w:rPr>
              <w:t>Use 160 hours/month by default for full-time hourly roles unless role-specific schedule differs.</w:t>
            </w:r>
          </w:p>
        </w:tc>
      </w:tr>
    </w:tbl>
    <w:p>
      <w:pPr>
        <w:spacing w:after="80" w:line="259" w:lineRule="auto"/>
      </w:pPr>
    </w:p>
    <w:p>
      <w:pPr>
        <w:pStyle w:val="Heading2"/>
        <w:spacing w:after="80" w:line="259" w:lineRule="auto"/>
      </w:pPr>
      <w:r>
        <w:rPr>
          <w:color w:val="4F81BD"/>
        </w:rPr>
        <w:t>7.2 IT Contract Margin Formula</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IT Contract Contribution/hr = Client Bill Rate/hr - (Candidate Pay Rate/hr + Payroll Burden/hr + Vendor/Split Fee/hr + Tools/Ops Allocation/hr)</w:t>
            </w:r>
          </w:p>
          <w:p>
            <w:pPr>
              <w:spacing w:after="0" w:line="240" w:lineRule="auto"/>
            </w:pPr>
            <w:r>
              <w:rPr>
                <w:i/>
                <w:sz w:val="17"/>
              </w:rPr>
              <w:t>For W2/C2C/1099 models, configure cost load differently.</w:t>
            </w:r>
          </w:p>
        </w:tc>
      </w:tr>
    </w:tbl>
    <w:p>
      <w:pPr>
        <w:spacing w:after="80" w:line="259" w:lineRule="auto"/>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Monthly IT Contract Contribution = Contribution/hr × Expected Billable Hours/month</w:t>
            </w:r>
          </w:p>
          <w:p>
            <w:pPr>
              <w:spacing w:after="0" w:line="240" w:lineRule="auto"/>
            </w:pPr>
            <w:r>
              <w:rPr>
                <w:i/>
                <w:sz w:val="17"/>
              </w:rPr>
              <w:t>For hourly IT contract placements.</w:t>
            </w:r>
          </w:p>
        </w:tc>
      </w:tr>
    </w:tbl>
    <w:p>
      <w:pPr>
        <w:spacing w:after="80" w:line="259" w:lineRule="auto"/>
      </w:pPr>
    </w:p>
    <w:p>
      <w:pPr>
        <w:pStyle w:val="Heading2"/>
        <w:spacing w:after="80" w:line="259" w:lineRule="auto"/>
      </w:pPr>
      <w:r>
        <w:rPr>
          <w:color w:val="4F81BD"/>
        </w:rPr>
        <w:t>7.3 IT Permanent Placement Formula</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Placement Fee = Candidate Annual Salary × Fee Percentage</w:t>
            </w:r>
          </w:p>
          <w:p>
            <w:pPr>
              <w:spacing w:after="0" w:line="240" w:lineRule="auto"/>
            </w:pPr>
            <w:r>
              <w:rPr>
                <w:i/>
                <w:sz w:val="17"/>
              </w:rPr>
              <w:t>Example: $120,000 salary × 20% fee = $24,000 placement fee.</w:t>
            </w:r>
          </w:p>
        </w:tc>
      </w:tr>
    </w:tbl>
    <w:p>
      <w:pPr>
        <w:spacing w:after="80" w:line="259" w:lineRule="auto"/>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Net Fee Contribution = Placement Fee - Split Fee - Job Board/Tool Allocation - Ops/Admin Allocation - Refund/Replacement Reserve</w:t>
            </w:r>
          </w:p>
          <w:p>
            <w:pPr>
              <w:spacing w:after="0" w:line="240" w:lineRule="auto"/>
            </w:pPr>
            <w:r>
              <w:rPr>
                <w:i/>
                <w:sz w:val="17"/>
              </w:rPr>
              <w:t>Use only the net contribution for target and incentive review.</w:t>
            </w:r>
          </w:p>
        </w:tc>
      </w:tr>
    </w:tbl>
    <w:p>
      <w:pPr>
        <w:spacing w:after="80" w:line="259" w:lineRule="auto"/>
      </w:pPr>
    </w:p>
    <w:p>
      <w:pPr>
        <w:pStyle w:val="Heading2"/>
        <w:spacing w:after="80" w:line="259" w:lineRule="auto"/>
      </w:pPr>
      <w:r>
        <w:rPr>
          <w:color w:val="4F81BD"/>
        </w:rPr>
        <w:t>7.4 Fully Loaded Contribution Threshold</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E2F0D9"/>
          </w:tcPr>
          <w:p>
            <w:pPr>
              <w:spacing w:after="0" w:line="240" w:lineRule="auto"/>
            </w:pPr>
            <w:r>
              <w:rPr>
                <w:b/>
                <w:color w:val="1F4E79"/>
                <w:sz w:val="20"/>
              </w:rPr>
              <w:t>Recommended Rule</w:t>
            </w:r>
          </w:p>
          <w:p>
            <w:pPr>
              <w:spacing w:after="0" w:line="240" w:lineRule="auto"/>
            </w:pPr>
            <w:r>
              <w:rPr>
                <w:sz w:val="18"/>
              </w:rPr>
              <w:t>A placement should count toward incentives or salary-band review only if it passes the company-approved calculator and meets the required fully loaded contribution threshold. The calculator must include MSP/client fees, payroll burden, split/vendor fees, tool/admin allocations, operating overhead, and risk reserve.</w:t>
            </w:r>
          </w:p>
        </w:tc>
      </w:tr>
    </w:tbl>
    <w:p>
      <w:pPr>
        <w:spacing w:after="80" w:line="259" w:lineRule="auto"/>
      </w:pPr>
    </w:p>
    <w:p>
      <w:pPr>
        <w:pStyle w:val="ListBullet"/>
        <w:spacing w:after="80" w:line="259" w:lineRule="auto"/>
      </w:pPr>
      <w:r>
        <w:rPr>
          <w:sz w:val="19"/>
        </w:rPr>
        <w:t>Do not rely only on gross margin %. A placement can show 20% gross margin and still fail to cover loaded costs if MSP fees, splits, payroll burden, operational cost, and admin effort are high.</w:t>
      </w:r>
    </w:p>
    <w:p>
      <w:pPr>
        <w:pStyle w:val="ListBullet"/>
        <w:spacing w:after="80" w:line="259" w:lineRule="auto"/>
      </w:pPr>
      <w:r>
        <w:rPr>
          <w:sz w:val="19"/>
        </w:rPr>
        <w:t>For incentive eligibility, use fully loaded contribution margin and a retention period. This prevents paying on starts that fail after a few days or weeks.</w:t>
      </w:r>
    </w:p>
    <w:p>
      <w:pPr>
        <w:pStyle w:val="ListBullet"/>
        <w:spacing w:after="80" w:line="259" w:lineRule="auto"/>
      </w:pPr>
      <w:r>
        <w:rPr>
          <w:sz w:val="19"/>
        </w:rPr>
        <w:t>Allow management-approved strategic exceptions, but require the exception to be documented before it counts toward incentive.</w:t>
      </w:r>
    </w:p>
    <w:p>
      <w:pPr>
        <w:pStyle w:val="Heading1"/>
        <w:spacing w:after="80" w:line="259" w:lineRule="auto"/>
      </w:pPr>
      <w:r>
        <w:rPr>
          <w:color w:val="1F4E79"/>
        </w:rPr>
        <w:t>8. Target Generation Algorithm</w:t>
      </w:r>
    </w:p>
    <w:p>
      <w:pPr>
        <w:pStyle w:val="Heading2"/>
        <w:spacing w:after="80" w:line="259" w:lineRule="auto"/>
      </w:pPr>
      <w:r>
        <w:rPr>
          <w:color w:val="4F81BD"/>
        </w:rPr>
        <w:t>8.1 Target Logic Overview</w:t>
      </w:r>
    </w:p>
    <w:p>
      <w:pPr>
        <w:spacing w:after="80" w:line="259" w:lineRule="auto"/>
        <w:ind w:left="360" w:hanging="360"/>
      </w:pPr>
      <w:r>
        <w:rPr>
          <w:sz w:val="19"/>
        </w:rPr>
        <w:t>1. Identify employee department: Healthcare, IT Contract, IT Permanent, or IT Mixed.</w:t>
      </w:r>
    </w:p>
    <w:p>
      <w:pPr>
        <w:spacing w:after="80" w:line="259" w:lineRule="auto"/>
        <w:ind w:left="360" w:hanging="360"/>
      </w:pPr>
      <w:r>
        <w:rPr>
          <w:sz w:val="19"/>
        </w:rPr>
        <w:t>2. Identify employee level and responsibility: Sourcer, Recruiter, Senior Recruiter, Lead, Assistant Manager, Manager.</w:t>
      </w:r>
    </w:p>
    <w:p>
      <w:pPr>
        <w:spacing w:after="80" w:line="259" w:lineRule="auto"/>
        <w:ind w:left="360" w:hanging="360"/>
      </w:pPr>
      <w:r>
        <w:rPr>
          <w:sz w:val="19"/>
        </w:rPr>
        <w:t>3. Calculate expected return from fixed salary using salary-to-contribution multiplier.</w:t>
      </w:r>
    </w:p>
    <w:p>
      <w:pPr>
        <w:spacing w:after="80" w:line="259" w:lineRule="auto"/>
        <w:ind w:left="360" w:hanging="360"/>
      </w:pPr>
      <w:r>
        <w:rPr>
          <w:sz w:val="19"/>
        </w:rPr>
        <w:t>4. Adjust target expectation for support resources and client demand.</w:t>
      </w:r>
    </w:p>
    <w:p>
      <w:pPr>
        <w:spacing w:after="80" w:line="259" w:lineRule="auto"/>
        <w:ind w:left="360" w:hanging="360"/>
      </w:pPr>
      <w:r>
        <w:rPr>
          <w:sz w:val="19"/>
        </w:rPr>
        <w:t>5. Generate monthly targets: qualified retained starts/closes, contribution margin, pipeline health, and quality controls.</w:t>
      </w:r>
    </w:p>
    <w:p>
      <w:pPr>
        <w:spacing w:after="80" w:line="259" w:lineRule="auto"/>
        <w:ind w:left="360" w:hanging="360"/>
      </w:pPr>
      <w:r>
        <w:rPr>
          <w:sz w:val="19"/>
        </w:rPr>
        <w:t>6. Generate 90-day targets by multiplying monthly standards and applying retained-billing/quality gates.</w:t>
      </w:r>
    </w:p>
    <w:p>
      <w:pPr>
        <w:spacing w:after="80" w:line="259" w:lineRule="auto"/>
        <w:ind w:left="360" w:hanging="360"/>
      </w:pPr>
      <w:r>
        <w:rPr>
          <w:sz w:val="19"/>
        </w:rPr>
        <w:t>7. Generate incentive eligibility only after retention period and profitability validation.</w:t>
      </w:r>
    </w:p>
    <w:p>
      <w:pPr>
        <w:spacing w:after="80" w:line="259" w:lineRule="auto"/>
        <w:ind w:left="360" w:hanging="360"/>
      </w:pPr>
      <w:r>
        <w:rPr>
          <w:sz w:val="19"/>
        </w:rPr>
        <w:t>8. Output a manager-ready target plan and review letter.</w:t>
      </w:r>
    </w:p>
    <w:p>
      <w:pPr>
        <w:pStyle w:val="Heading2"/>
        <w:spacing w:after="80" w:line="259" w:lineRule="auto"/>
      </w:pPr>
      <w:r>
        <w:rPr>
          <w:color w:val="4F81BD"/>
        </w:rPr>
        <w:t>8.2 Salary-to-Return Logic</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448"/>
            <w:shd w:fill="1F4E79"/>
            <w:vAlign w:val="center"/>
          </w:tcPr>
          <w:p>
            <w:pPr>
              <w:spacing w:after="0" w:line="240" w:lineRule="auto"/>
            </w:pPr>
            <w:r>
              <w:rPr>
                <w:sz w:val="17"/>
              </w:rPr>
            </w:r>
            <w:r>
              <w:rPr>
                <w:b/>
                <w:color w:val="FFFFFF"/>
                <w:sz w:val="17"/>
              </w:rPr>
              <w:t>Role Level</w:t>
            </w:r>
          </w:p>
        </w:tc>
        <w:tc>
          <w:tcPr>
            <w:tcW w:type="dxa" w:w="3744"/>
            <w:shd w:fill="1F4E79"/>
            <w:vAlign w:val="center"/>
          </w:tcPr>
          <w:p>
            <w:pPr>
              <w:spacing w:after="0" w:line="240" w:lineRule="auto"/>
            </w:pPr>
            <w:r>
              <w:rPr>
                <w:sz w:val="17"/>
              </w:rPr>
            </w:r>
            <w:r>
              <w:rPr>
                <w:b/>
                <w:color w:val="FFFFFF"/>
                <w:sz w:val="17"/>
              </w:rPr>
              <w:t>Suggested Monthly Contribution Benchmark</w:t>
            </w:r>
          </w:p>
        </w:tc>
        <w:tc>
          <w:tcPr>
            <w:tcW w:type="dxa" w:w="4320"/>
            <w:shd w:fill="1F4E79"/>
            <w:vAlign w:val="center"/>
          </w:tcPr>
          <w:p>
            <w:pPr>
              <w:spacing w:after="0" w:line="240" w:lineRule="auto"/>
            </w:pPr>
            <w:r>
              <w:rPr>
                <w:sz w:val="17"/>
              </w:rPr>
            </w:r>
            <w:r>
              <w:rPr>
                <w:b/>
                <w:color w:val="FFFFFF"/>
                <w:sz w:val="17"/>
              </w:rPr>
              <w:t>Use Case</w:t>
            </w:r>
          </w:p>
        </w:tc>
      </w:tr>
      <w:tr>
        <w:tc>
          <w:tcPr>
            <w:tcW w:type="dxa" w:w="2448"/>
            <w:vAlign w:val="top"/>
          </w:tcPr>
          <w:p>
            <w:pPr>
              <w:spacing w:after="0" w:line="240" w:lineRule="auto"/>
            </w:pPr>
            <w:r>
              <w:rPr>
                <w:sz w:val="17"/>
              </w:rPr>
            </w:r>
            <w:r>
              <w:rPr>
                <w:b w:val="0"/>
                <w:sz w:val="17"/>
              </w:rPr>
              <w:t>Sourcer / Fresher</w:t>
            </w:r>
          </w:p>
        </w:tc>
        <w:tc>
          <w:tcPr>
            <w:tcW w:type="dxa" w:w="3744"/>
            <w:vAlign w:val="top"/>
          </w:tcPr>
          <w:p>
            <w:pPr>
              <w:spacing w:after="0" w:line="240" w:lineRule="auto"/>
            </w:pPr>
            <w:r>
              <w:rPr>
                <w:sz w:val="17"/>
              </w:rPr>
            </w:r>
            <w:r>
              <w:rPr>
                <w:b w:val="0"/>
                <w:sz w:val="17"/>
              </w:rPr>
              <w:t>2x-4x salary influenced value or sourced retained starts</w:t>
            </w:r>
          </w:p>
        </w:tc>
        <w:tc>
          <w:tcPr>
            <w:tcW w:type="dxa" w:w="4320"/>
            <w:vAlign w:val="top"/>
          </w:tcPr>
          <w:p>
            <w:pPr>
              <w:spacing w:after="0" w:line="240" w:lineRule="auto"/>
            </w:pPr>
            <w:r>
              <w:rPr>
                <w:sz w:val="17"/>
              </w:rPr>
            </w:r>
            <w:r>
              <w:rPr>
                <w:b w:val="0"/>
                <w:sz w:val="17"/>
              </w:rPr>
              <w:t>Not fully accountable for closure; track sourced candidate conversion.</w:t>
            </w:r>
          </w:p>
        </w:tc>
      </w:tr>
      <w:tr>
        <w:tc>
          <w:tcPr>
            <w:tcW w:type="dxa" w:w="2448"/>
            <w:vAlign w:val="top"/>
          </w:tcPr>
          <w:p>
            <w:pPr>
              <w:spacing w:after="0" w:line="240" w:lineRule="auto"/>
            </w:pPr>
            <w:r>
              <w:rPr>
                <w:sz w:val="17"/>
              </w:rPr>
            </w:r>
            <w:r>
              <w:rPr>
                <w:b w:val="0"/>
                <w:sz w:val="17"/>
              </w:rPr>
              <w:t>Recruiter</w:t>
            </w:r>
          </w:p>
        </w:tc>
        <w:tc>
          <w:tcPr>
            <w:tcW w:type="dxa" w:w="3744"/>
            <w:vAlign w:val="top"/>
          </w:tcPr>
          <w:p>
            <w:pPr>
              <w:spacing w:after="0" w:line="240" w:lineRule="auto"/>
            </w:pPr>
            <w:r>
              <w:rPr>
                <w:sz w:val="17"/>
              </w:rPr>
            </w:r>
            <w:r>
              <w:rPr>
                <w:b w:val="0"/>
                <w:sz w:val="17"/>
              </w:rPr>
              <w:t>5x-8x salary in retained contribution</w:t>
            </w:r>
          </w:p>
        </w:tc>
        <w:tc>
          <w:tcPr>
            <w:tcW w:type="dxa" w:w="4320"/>
            <w:vAlign w:val="top"/>
          </w:tcPr>
          <w:p>
            <w:pPr>
              <w:spacing w:after="0" w:line="240" w:lineRule="auto"/>
            </w:pPr>
            <w:r>
              <w:rPr>
                <w:sz w:val="17"/>
              </w:rPr>
            </w:r>
            <w:r>
              <w:rPr>
                <w:b w:val="0"/>
                <w:sz w:val="17"/>
              </w:rPr>
              <w:t>Owns candidate screening, submission, and start.</w:t>
            </w:r>
          </w:p>
        </w:tc>
      </w:tr>
      <w:tr>
        <w:tc>
          <w:tcPr>
            <w:tcW w:type="dxa" w:w="2448"/>
            <w:vAlign w:val="top"/>
          </w:tcPr>
          <w:p>
            <w:pPr>
              <w:spacing w:after="0" w:line="240" w:lineRule="auto"/>
            </w:pPr>
            <w:r>
              <w:rPr>
                <w:sz w:val="17"/>
              </w:rPr>
            </w:r>
            <w:r>
              <w:rPr>
                <w:b w:val="0"/>
                <w:sz w:val="17"/>
              </w:rPr>
              <w:t>Senior Recruiter</w:t>
            </w:r>
          </w:p>
        </w:tc>
        <w:tc>
          <w:tcPr>
            <w:tcW w:type="dxa" w:w="3744"/>
            <w:vAlign w:val="top"/>
          </w:tcPr>
          <w:p>
            <w:pPr>
              <w:spacing w:after="0" w:line="240" w:lineRule="auto"/>
            </w:pPr>
            <w:r>
              <w:rPr>
                <w:sz w:val="17"/>
              </w:rPr>
            </w:r>
            <w:r>
              <w:rPr>
                <w:b w:val="0"/>
                <w:sz w:val="17"/>
              </w:rPr>
              <w:t>8x-10x salary in retained contribution</w:t>
            </w:r>
          </w:p>
        </w:tc>
        <w:tc>
          <w:tcPr>
            <w:tcW w:type="dxa" w:w="4320"/>
            <w:vAlign w:val="top"/>
          </w:tcPr>
          <w:p>
            <w:pPr>
              <w:spacing w:after="0" w:line="240" w:lineRule="auto"/>
            </w:pPr>
            <w:r>
              <w:rPr>
                <w:sz w:val="17"/>
              </w:rPr>
            </w:r>
            <w:r>
              <w:rPr>
                <w:b w:val="0"/>
                <w:sz w:val="17"/>
              </w:rPr>
              <w:t>Owns pipeline quality, conversion, retention, and candidate commitment.</w:t>
            </w:r>
          </w:p>
        </w:tc>
      </w:tr>
      <w:tr>
        <w:tc>
          <w:tcPr>
            <w:tcW w:type="dxa" w:w="2448"/>
            <w:vAlign w:val="top"/>
          </w:tcPr>
          <w:p>
            <w:pPr>
              <w:spacing w:after="0" w:line="240" w:lineRule="auto"/>
            </w:pPr>
            <w:r>
              <w:rPr>
                <w:sz w:val="17"/>
              </w:rPr>
            </w:r>
            <w:r>
              <w:rPr>
                <w:b w:val="0"/>
                <w:sz w:val="17"/>
              </w:rPr>
              <w:t>Lead / Desk Owner</w:t>
            </w:r>
          </w:p>
        </w:tc>
        <w:tc>
          <w:tcPr>
            <w:tcW w:type="dxa" w:w="3744"/>
            <w:vAlign w:val="top"/>
          </w:tcPr>
          <w:p>
            <w:pPr>
              <w:spacing w:after="0" w:line="240" w:lineRule="auto"/>
            </w:pPr>
            <w:r>
              <w:rPr>
                <w:sz w:val="17"/>
              </w:rPr>
            </w:r>
            <w:r>
              <w:rPr>
                <w:b w:val="0"/>
                <w:sz w:val="17"/>
              </w:rPr>
              <w:t>10x-12x salary plus team outcomes</w:t>
            </w:r>
          </w:p>
        </w:tc>
        <w:tc>
          <w:tcPr>
            <w:tcW w:type="dxa" w:w="4320"/>
            <w:vAlign w:val="top"/>
          </w:tcPr>
          <w:p>
            <w:pPr>
              <w:spacing w:after="0" w:line="240" w:lineRule="auto"/>
            </w:pPr>
            <w:r>
              <w:rPr>
                <w:sz w:val="17"/>
              </w:rPr>
            </w:r>
            <w:r>
              <w:rPr>
                <w:b w:val="0"/>
                <w:sz w:val="17"/>
              </w:rPr>
              <w:t>Owns sourcer direction, client priorities, and desk performance.</w:t>
            </w:r>
          </w:p>
        </w:tc>
      </w:tr>
      <w:tr>
        <w:tc>
          <w:tcPr>
            <w:tcW w:type="dxa" w:w="2448"/>
            <w:vAlign w:val="top"/>
          </w:tcPr>
          <w:p>
            <w:pPr>
              <w:spacing w:after="0" w:line="240" w:lineRule="auto"/>
            </w:pPr>
            <w:r>
              <w:rPr>
                <w:sz w:val="17"/>
              </w:rPr>
            </w:r>
            <w:r>
              <w:rPr>
                <w:b w:val="0"/>
                <w:sz w:val="17"/>
              </w:rPr>
              <w:t>Assistant Manager / Manager</w:t>
            </w:r>
          </w:p>
        </w:tc>
        <w:tc>
          <w:tcPr>
            <w:tcW w:type="dxa" w:w="3744"/>
            <w:vAlign w:val="top"/>
          </w:tcPr>
          <w:p>
            <w:pPr>
              <w:spacing w:after="0" w:line="240" w:lineRule="auto"/>
            </w:pPr>
            <w:r>
              <w:rPr>
                <w:sz w:val="17"/>
              </w:rPr>
            </w:r>
            <w:r>
              <w:rPr>
                <w:b w:val="0"/>
                <w:sz w:val="17"/>
              </w:rPr>
              <w:t>Desk-level profitability and team productivity</w:t>
            </w:r>
          </w:p>
        </w:tc>
        <w:tc>
          <w:tcPr>
            <w:tcW w:type="dxa" w:w="4320"/>
            <w:vAlign w:val="top"/>
          </w:tcPr>
          <w:p>
            <w:pPr>
              <w:spacing w:after="0" w:line="240" w:lineRule="auto"/>
            </w:pPr>
            <w:r>
              <w:rPr>
                <w:sz w:val="17"/>
              </w:rPr>
            </w:r>
            <w:r>
              <w:rPr>
                <w:b w:val="0"/>
                <w:sz w:val="17"/>
              </w:rPr>
              <w:t>Measured on team retained starts, margin, quality, and retention.</w:t>
            </w:r>
          </w:p>
        </w:tc>
      </w:tr>
    </w:tbl>
    <w:p>
      <w:pPr>
        <w:spacing w:after="80" w:line="259" w:lineRule="auto"/>
      </w:pP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FF2CC"/>
          </w:tcPr>
          <w:p>
            <w:pPr>
              <w:spacing w:after="0" w:line="240" w:lineRule="auto"/>
            </w:pPr>
            <w:r>
              <w:rPr>
                <w:b/>
                <w:color w:val="1F4E79"/>
                <w:sz w:val="20"/>
              </w:rPr>
              <w:t>Example</w:t>
            </w:r>
          </w:p>
          <w:p>
            <w:pPr>
              <w:spacing w:after="0" w:line="240" w:lineRule="auto"/>
            </w:pPr>
            <w:r>
              <w:rPr>
                <w:sz w:val="18"/>
              </w:rPr>
              <w:t>If a Senior Healthcare Recruiter expects ₹65,000/month, a defensible business benchmark can be ₹6,50,000/month in retained contribution/margin impact, subject to company calculator and active demand. At $10/hr margin and 160 hours/month, each retained placement contributes roughly ₹1.44L/month at ₹90/USD, so the target would require approximately 4-5 retained active placements at that margin.</w:t>
            </w:r>
          </w:p>
        </w:tc>
      </w:tr>
    </w:tbl>
    <w:p>
      <w:pPr>
        <w:spacing w:after="80" w:line="259" w:lineRule="auto"/>
      </w:pPr>
    </w:p>
    <w:p>
      <w:pPr>
        <w:pStyle w:val="Heading2"/>
        <w:spacing w:after="80" w:line="259" w:lineRule="auto"/>
      </w:pPr>
      <w:r>
        <w:rPr>
          <w:color w:val="4F81BD"/>
        </w:rPr>
        <w:t>8.3 Support Resource Adjustment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Support Level</w:t>
            </w:r>
          </w:p>
        </w:tc>
        <w:tc>
          <w:tcPr>
            <w:tcW w:type="dxa" w:w="4320"/>
            <w:shd w:fill="1F4E79"/>
            <w:vAlign w:val="center"/>
          </w:tcPr>
          <w:p>
            <w:pPr>
              <w:spacing w:after="0" w:line="240" w:lineRule="auto"/>
            </w:pPr>
            <w:r>
              <w:rPr>
                <w:sz w:val="17"/>
              </w:rPr>
            </w:r>
            <w:r>
              <w:rPr>
                <w:b/>
                <w:color w:val="FFFFFF"/>
                <w:sz w:val="17"/>
              </w:rPr>
              <w:t>Adjustment Guidance</w:t>
            </w:r>
          </w:p>
        </w:tc>
        <w:tc>
          <w:tcPr>
            <w:tcW w:type="dxa" w:w="3600"/>
            <w:shd w:fill="1F4E79"/>
            <w:vAlign w:val="center"/>
          </w:tcPr>
          <w:p>
            <w:pPr>
              <w:spacing w:after="0" w:line="240" w:lineRule="auto"/>
            </w:pPr>
            <w:r>
              <w:rPr>
                <w:sz w:val="17"/>
              </w:rPr>
            </w:r>
            <w:r>
              <w:rPr>
                <w:b/>
                <w:color w:val="FFFFFF"/>
                <w:sz w:val="17"/>
              </w:rPr>
              <w:t>Example</w:t>
            </w:r>
          </w:p>
        </w:tc>
      </w:tr>
      <w:tr>
        <w:tc>
          <w:tcPr>
            <w:tcW w:type="dxa" w:w="2592"/>
            <w:vAlign w:val="top"/>
          </w:tcPr>
          <w:p>
            <w:pPr>
              <w:spacing w:after="0" w:line="240" w:lineRule="auto"/>
            </w:pPr>
            <w:r>
              <w:rPr>
                <w:sz w:val="17"/>
              </w:rPr>
            </w:r>
            <w:r>
              <w:rPr>
                <w:b w:val="0"/>
                <w:sz w:val="17"/>
              </w:rPr>
              <w:t>No sourcer support</w:t>
            </w:r>
          </w:p>
        </w:tc>
        <w:tc>
          <w:tcPr>
            <w:tcW w:type="dxa" w:w="4320"/>
            <w:vAlign w:val="top"/>
          </w:tcPr>
          <w:p>
            <w:pPr>
              <w:spacing w:after="0" w:line="240" w:lineRule="auto"/>
            </w:pPr>
            <w:r>
              <w:rPr>
                <w:sz w:val="17"/>
              </w:rPr>
            </w:r>
            <w:r>
              <w:rPr>
                <w:b w:val="0"/>
                <w:sz w:val="17"/>
              </w:rPr>
              <w:t>Base target</w:t>
            </w:r>
          </w:p>
        </w:tc>
        <w:tc>
          <w:tcPr>
            <w:tcW w:type="dxa" w:w="3600"/>
            <w:vAlign w:val="top"/>
          </w:tcPr>
          <w:p>
            <w:pPr>
              <w:spacing w:after="0" w:line="240" w:lineRule="auto"/>
            </w:pPr>
            <w:r>
              <w:rPr>
                <w:sz w:val="17"/>
              </w:rPr>
            </w:r>
            <w:r>
              <w:rPr>
                <w:b w:val="0"/>
                <w:sz w:val="17"/>
              </w:rPr>
              <w:t>Recruiter sources, screens, submits, and follows up.</w:t>
            </w:r>
          </w:p>
        </w:tc>
      </w:tr>
      <w:tr>
        <w:tc>
          <w:tcPr>
            <w:tcW w:type="dxa" w:w="2592"/>
            <w:vAlign w:val="top"/>
          </w:tcPr>
          <w:p>
            <w:pPr>
              <w:spacing w:after="0" w:line="240" w:lineRule="auto"/>
            </w:pPr>
            <w:r>
              <w:rPr>
                <w:sz w:val="17"/>
              </w:rPr>
            </w:r>
            <w:r>
              <w:rPr>
                <w:b w:val="0"/>
                <w:sz w:val="17"/>
              </w:rPr>
              <w:t>1 sourcer/JR support</w:t>
            </w:r>
          </w:p>
        </w:tc>
        <w:tc>
          <w:tcPr>
            <w:tcW w:type="dxa" w:w="4320"/>
            <w:vAlign w:val="top"/>
          </w:tcPr>
          <w:p>
            <w:pPr>
              <w:spacing w:after="0" w:line="240" w:lineRule="auto"/>
            </w:pPr>
            <w:r>
              <w:rPr>
                <w:sz w:val="17"/>
              </w:rPr>
            </w:r>
            <w:r>
              <w:rPr>
                <w:b w:val="0"/>
                <w:sz w:val="17"/>
              </w:rPr>
              <w:t>+10%-20% target expectation</w:t>
            </w:r>
          </w:p>
        </w:tc>
        <w:tc>
          <w:tcPr>
            <w:tcW w:type="dxa" w:w="3600"/>
            <w:vAlign w:val="top"/>
          </w:tcPr>
          <w:p>
            <w:pPr>
              <w:spacing w:after="0" w:line="240" w:lineRule="auto"/>
            </w:pPr>
            <w:r>
              <w:rPr>
                <w:sz w:val="17"/>
              </w:rPr>
            </w:r>
            <w:r>
              <w:rPr>
                <w:b w:val="0"/>
                <w:sz w:val="17"/>
              </w:rPr>
              <w:t>More candidate flow should create more qualified starts.</w:t>
            </w:r>
          </w:p>
        </w:tc>
      </w:tr>
      <w:tr>
        <w:tc>
          <w:tcPr>
            <w:tcW w:type="dxa" w:w="2592"/>
            <w:vAlign w:val="top"/>
          </w:tcPr>
          <w:p>
            <w:pPr>
              <w:spacing w:after="0" w:line="240" w:lineRule="auto"/>
            </w:pPr>
            <w:r>
              <w:rPr>
                <w:sz w:val="17"/>
              </w:rPr>
            </w:r>
            <w:r>
              <w:rPr>
                <w:b w:val="0"/>
                <w:sz w:val="17"/>
              </w:rPr>
              <w:t>2 sourcers/JR support</w:t>
            </w:r>
          </w:p>
        </w:tc>
        <w:tc>
          <w:tcPr>
            <w:tcW w:type="dxa" w:w="4320"/>
            <w:vAlign w:val="top"/>
          </w:tcPr>
          <w:p>
            <w:pPr>
              <w:spacing w:after="0" w:line="240" w:lineRule="auto"/>
            </w:pPr>
            <w:r>
              <w:rPr>
                <w:sz w:val="17"/>
              </w:rPr>
            </w:r>
            <w:r>
              <w:rPr>
                <w:b w:val="0"/>
                <w:sz w:val="17"/>
              </w:rPr>
              <w:t>+20%-35% target expectation</w:t>
            </w:r>
          </w:p>
        </w:tc>
        <w:tc>
          <w:tcPr>
            <w:tcW w:type="dxa" w:w="3600"/>
            <w:vAlign w:val="top"/>
          </w:tcPr>
          <w:p>
            <w:pPr>
              <w:spacing w:after="0" w:line="240" w:lineRule="auto"/>
            </w:pPr>
            <w:r>
              <w:rPr>
                <w:sz w:val="17"/>
              </w:rPr>
            </w:r>
            <w:r>
              <w:rPr>
                <w:b w:val="0"/>
                <w:sz w:val="17"/>
              </w:rPr>
              <w:t>Recruiter expected to convert and manage pipeline more aggressively.</w:t>
            </w:r>
          </w:p>
        </w:tc>
      </w:tr>
      <w:tr>
        <w:tc>
          <w:tcPr>
            <w:tcW w:type="dxa" w:w="2592"/>
            <w:vAlign w:val="top"/>
          </w:tcPr>
          <w:p>
            <w:pPr>
              <w:spacing w:after="0" w:line="240" w:lineRule="auto"/>
            </w:pPr>
            <w:r>
              <w:rPr>
                <w:sz w:val="17"/>
              </w:rPr>
            </w:r>
            <w:r>
              <w:rPr>
                <w:b w:val="0"/>
                <w:sz w:val="17"/>
              </w:rPr>
              <w:t>MIS/ops support available</w:t>
            </w:r>
          </w:p>
        </w:tc>
        <w:tc>
          <w:tcPr>
            <w:tcW w:type="dxa" w:w="4320"/>
            <w:vAlign w:val="top"/>
          </w:tcPr>
          <w:p>
            <w:pPr>
              <w:spacing w:after="0" w:line="240" w:lineRule="auto"/>
            </w:pPr>
            <w:r>
              <w:rPr>
                <w:sz w:val="17"/>
              </w:rPr>
            </w:r>
            <w:r>
              <w:rPr>
                <w:b w:val="0"/>
                <w:sz w:val="17"/>
              </w:rPr>
              <w:t>+5%-10% target expectation or higher reporting standard</w:t>
            </w:r>
          </w:p>
        </w:tc>
        <w:tc>
          <w:tcPr>
            <w:tcW w:type="dxa" w:w="3600"/>
            <w:vAlign w:val="top"/>
          </w:tcPr>
          <w:p>
            <w:pPr>
              <w:spacing w:after="0" w:line="240" w:lineRule="auto"/>
            </w:pPr>
            <w:r>
              <w:rPr>
                <w:sz w:val="17"/>
              </w:rPr>
            </w:r>
            <w:r>
              <w:rPr>
                <w:b w:val="0"/>
                <w:sz w:val="17"/>
              </w:rPr>
              <w:t>Recruiter has less admin load, more time for conversion.</w:t>
            </w:r>
          </w:p>
        </w:tc>
      </w:tr>
      <w:tr>
        <w:tc>
          <w:tcPr>
            <w:tcW w:type="dxa" w:w="2592"/>
            <w:vAlign w:val="top"/>
          </w:tcPr>
          <w:p>
            <w:pPr>
              <w:spacing w:after="0" w:line="240" w:lineRule="auto"/>
            </w:pPr>
            <w:r>
              <w:rPr>
                <w:sz w:val="17"/>
              </w:rPr>
            </w:r>
            <w:r>
              <w:rPr>
                <w:b w:val="0"/>
                <w:sz w:val="17"/>
              </w:rPr>
              <w:t>High tool/portal spend</w:t>
            </w:r>
          </w:p>
        </w:tc>
        <w:tc>
          <w:tcPr>
            <w:tcW w:type="dxa" w:w="4320"/>
            <w:vAlign w:val="top"/>
          </w:tcPr>
          <w:p>
            <w:pPr>
              <w:spacing w:after="0" w:line="240" w:lineRule="auto"/>
            </w:pPr>
            <w:r>
              <w:rPr>
                <w:sz w:val="17"/>
              </w:rPr>
            </w:r>
            <w:r>
              <w:rPr>
                <w:b w:val="0"/>
                <w:sz w:val="17"/>
              </w:rPr>
              <w:t>+10%-20% target expectation</w:t>
            </w:r>
          </w:p>
        </w:tc>
        <w:tc>
          <w:tcPr>
            <w:tcW w:type="dxa" w:w="3600"/>
            <w:vAlign w:val="top"/>
          </w:tcPr>
          <w:p>
            <w:pPr>
              <w:spacing w:after="0" w:line="240" w:lineRule="auto"/>
            </w:pPr>
            <w:r>
              <w:rPr>
                <w:sz w:val="17"/>
              </w:rPr>
            </w:r>
            <w:r>
              <w:rPr>
                <w:b w:val="0"/>
                <w:sz w:val="17"/>
              </w:rPr>
              <w:t>Company investment in sourcing should produce business output.</w:t>
            </w:r>
          </w:p>
        </w:tc>
      </w:tr>
    </w:tbl>
    <w:p>
      <w:pPr>
        <w:spacing w:after="80" w:line="259" w:lineRule="auto"/>
      </w:pPr>
    </w:p>
    <w:p>
      <w:pPr>
        <w:pStyle w:val="Heading1"/>
        <w:spacing w:after="80" w:line="259" w:lineRule="auto"/>
      </w:pPr>
      <w:r>
        <w:rPr>
          <w:color w:val="1F4E79"/>
        </w:rPr>
        <w:t>9. Healthcare Target Rules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64"/>
        <w:gridCol w:w="2664"/>
        <w:gridCol w:w="2664"/>
        <w:gridCol w:w="2664"/>
      </w:tblGrid>
      <w:tr>
        <w:trPr>
          <w:tblHeader w:val="true"/>
        </w:trPr>
        <w:tc>
          <w:tcPr>
            <w:tcW w:type="dxa" w:w="2448"/>
            <w:shd w:fill="1F4E79"/>
            <w:vAlign w:val="center"/>
          </w:tcPr>
          <w:p>
            <w:pPr>
              <w:spacing w:after="0" w:line="240" w:lineRule="auto"/>
            </w:pPr>
            <w:r>
              <w:rPr>
                <w:sz w:val="17"/>
              </w:rPr>
            </w:r>
            <w:r>
              <w:rPr>
                <w:b/>
                <w:color w:val="FFFFFF"/>
                <w:sz w:val="17"/>
              </w:rPr>
              <w:t>Healthcare Role Level</w:t>
            </w:r>
          </w:p>
        </w:tc>
        <w:tc>
          <w:tcPr>
            <w:tcW w:type="dxa" w:w="3024"/>
            <w:shd w:fill="1F4E79"/>
            <w:vAlign w:val="center"/>
          </w:tcPr>
          <w:p>
            <w:pPr>
              <w:spacing w:after="0" w:line="240" w:lineRule="auto"/>
            </w:pPr>
            <w:r>
              <w:rPr>
                <w:sz w:val="17"/>
              </w:rPr>
            </w:r>
            <w:r>
              <w:rPr>
                <w:b/>
                <w:color w:val="FFFFFF"/>
                <w:sz w:val="17"/>
              </w:rPr>
              <w:t>Monthly Target</w:t>
            </w:r>
          </w:p>
        </w:tc>
        <w:tc>
          <w:tcPr>
            <w:tcW w:type="dxa" w:w="2880"/>
            <w:shd w:fill="1F4E79"/>
            <w:vAlign w:val="center"/>
          </w:tcPr>
          <w:p>
            <w:pPr>
              <w:spacing w:after="0" w:line="240" w:lineRule="auto"/>
            </w:pPr>
            <w:r>
              <w:rPr>
                <w:sz w:val="17"/>
              </w:rPr>
            </w:r>
            <w:r>
              <w:rPr>
                <w:b/>
                <w:color w:val="FFFFFF"/>
                <w:sz w:val="17"/>
              </w:rPr>
              <w:t>90-Day Target</w:t>
            </w:r>
          </w:p>
        </w:tc>
        <w:tc>
          <w:tcPr>
            <w:tcW w:type="dxa" w:w="2736"/>
            <w:shd w:fill="1F4E79"/>
            <w:vAlign w:val="center"/>
          </w:tcPr>
          <w:p>
            <w:pPr>
              <w:spacing w:after="0" w:line="240" w:lineRule="auto"/>
            </w:pPr>
            <w:r>
              <w:rPr>
                <w:sz w:val="17"/>
              </w:rPr>
            </w:r>
            <w:r>
              <w:rPr>
                <w:b/>
                <w:color w:val="FFFFFF"/>
                <w:sz w:val="17"/>
              </w:rPr>
              <w:t>Quality Gate</w:t>
            </w:r>
          </w:p>
        </w:tc>
      </w:tr>
      <w:tr>
        <w:tc>
          <w:tcPr>
            <w:tcW w:type="dxa" w:w="2448"/>
            <w:vAlign w:val="top"/>
          </w:tcPr>
          <w:p>
            <w:pPr>
              <w:spacing w:after="0" w:line="240" w:lineRule="auto"/>
            </w:pPr>
            <w:r>
              <w:rPr>
                <w:sz w:val="17"/>
              </w:rPr>
            </w:r>
            <w:r>
              <w:rPr>
                <w:b w:val="0"/>
                <w:sz w:val="17"/>
              </w:rPr>
              <w:t>Sourcer / Junior</w:t>
            </w:r>
          </w:p>
        </w:tc>
        <w:tc>
          <w:tcPr>
            <w:tcW w:type="dxa" w:w="3024"/>
            <w:vAlign w:val="top"/>
          </w:tcPr>
          <w:p>
            <w:pPr>
              <w:spacing w:after="0" w:line="240" w:lineRule="auto"/>
            </w:pPr>
            <w:r>
              <w:rPr>
                <w:sz w:val="17"/>
              </w:rPr>
            </w:r>
            <w:r>
              <w:rPr>
                <w:b w:val="0"/>
                <w:sz w:val="17"/>
              </w:rPr>
              <w:t>Source qualified candidates; target 2-4 sourced candidates that reach submission stage.</w:t>
            </w:r>
          </w:p>
        </w:tc>
        <w:tc>
          <w:tcPr>
            <w:tcW w:type="dxa" w:w="2880"/>
            <w:vAlign w:val="top"/>
          </w:tcPr>
          <w:p>
            <w:pPr>
              <w:spacing w:after="0" w:line="240" w:lineRule="auto"/>
            </w:pPr>
            <w:r>
              <w:rPr>
                <w:sz w:val="17"/>
              </w:rPr>
            </w:r>
            <w:r>
              <w:rPr>
                <w:b w:val="0"/>
                <w:sz w:val="17"/>
              </w:rPr>
              <w:t>6-12 sourced candidates reaching submission or retained pipeline.</w:t>
            </w:r>
          </w:p>
        </w:tc>
        <w:tc>
          <w:tcPr>
            <w:tcW w:type="dxa" w:w="2736"/>
            <w:vAlign w:val="top"/>
          </w:tcPr>
          <w:p>
            <w:pPr>
              <w:spacing w:after="0" w:line="240" w:lineRule="auto"/>
            </w:pPr>
            <w:r>
              <w:rPr>
                <w:sz w:val="17"/>
              </w:rPr>
            </w:r>
            <w:r>
              <w:rPr>
                <w:b w:val="0"/>
                <w:sz w:val="17"/>
              </w:rPr>
              <w:t>Candidate must be documented and assigned in tracker.</w:t>
            </w:r>
          </w:p>
        </w:tc>
      </w:tr>
      <w:tr>
        <w:tc>
          <w:tcPr>
            <w:tcW w:type="dxa" w:w="2448"/>
            <w:vAlign w:val="top"/>
          </w:tcPr>
          <w:p>
            <w:pPr>
              <w:spacing w:after="0" w:line="240" w:lineRule="auto"/>
            </w:pPr>
            <w:r>
              <w:rPr>
                <w:sz w:val="17"/>
              </w:rPr>
            </w:r>
            <w:r>
              <w:rPr>
                <w:b w:val="0"/>
                <w:sz w:val="17"/>
              </w:rPr>
              <w:t>Recruiter</w:t>
            </w:r>
          </w:p>
        </w:tc>
        <w:tc>
          <w:tcPr>
            <w:tcW w:type="dxa" w:w="3024"/>
            <w:vAlign w:val="top"/>
          </w:tcPr>
          <w:p>
            <w:pPr>
              <w:spacing w:after="0" w:line="240" w:lineRule="auto"/>
            </w:pPr>
            <w:r>
              <w:rPr>
                <w:sz w:val="17"/>
              </w:rPr>
            </w:r>
            <w:r>
              <w:rPr>
                <w:b w:val="0"/>
                <w:sz w:val="17"/>
              </w:rPr>
              <w:t>2 qualified retained starts/month where demand is active.</w:t>
            </w:r>
          </w:p>
        </w:tc>
        <w:tc>
          <w:tcPr>
            <w:tcW w:type="dxa" w:w="2880"/>
            <w:vAlign w:val="top"/>
          </w:tcPr>
          <w:p>
            <w:pPr>
              <w:spacing w:after="0" w:line="240" w:lineRule="auto"/>
            </w:pPr>
            <w:r>
              <w:rPr>
                <w:sz w:val="17"/>
              </w:rPr>
            </w:r>
            <w:r>
              <w:rPr>
                <w:b w:val="0"/>
                <w:sz w:val="17"/>
              </w:rPr>
              <w:t>6 qualified retained starts.</w:t>
            </w:r>
          </w:p>
        </w:tc>
        <w:tc>
          <w:tcPr>
            <w:tcW w:type="dxa" w:w="2736"/>
            <w:vAlign w:val="top"/>
          </w:tcPr>
          <w:p>
            <w:pPr>
              <w:spacing w:after="0" w:line="240" w:lineRule="auto"/>
            </w:pPr>
            <w:r>
              <w:rPr>
                <w:sz w:val="17"/>
              </w:rPr>
            </w:r>
            <w:r>
              <w:rPr>
                <w:b w:val="0"/>
                <w:sz w:val="17"/>
              </w:rPr>
              <w:t>No avoidable falloff, clean RTR, margin threshold pass.</w:t>
            </w:r>
          </w:p>
        </w:tc>
      </w:tr>
      <w:tr>
        <w:tc>
          <w:tcPr>
            <w:tcW w:type="dxa" w:w="2448"/>
            <w:vAlign w:val="top"/>
          </w:tcPr>
          <w:p>
            <w:pPr>
              <w:spacing w:after="0" w:line="240" w:lineRule="auto"/>
            </w:pPr>
            <w:r>
              <w:rPr>
                <w:sz w:val="17"/>
              </w:rPr>
            </w:r>
            <w:r>
              <w:rPr>
                <w:b w:val="0"/>
                <w:sz w:val="17"/>
              </w:rPr>
              <w:t>Senior Recruiter</w:t>
            </w:r>
          </w:p>
        </w:tc>
        <w:tc>
          <w:tcPr>
            <w:tcW w:type="dxa" w:w="3024"/>
            <w:vAlign w:val="top"/>
          </w:tcPr>
          <w:p>
            <w:pPr>
              <w:spacing w:after="0" w:line="240" w:lineRule="auto"/>
            </w:pPr>
            <w:r>
              <w:rPr>
                <w:sz w:val="17"/>
              </w:rPr>
            </w:r>
            <w:r>
              <w:rPr>
                <w:b w:val="0"/>
                <w:sz w:val="17"/>
              </w:rPr>
              <w:t>3 qualified retained starts/month where demand is active.</w:t>
            </w:r>
          </w:p>
        </w:tc>
        <w:tc>
          <w:tcPr>
            <w:tcW w:type="dxa" w:w="2880"/>
            <w:vAlign w:val="top"/>
          </w:tcPr>
          <w:p>
            <w:pPr>
              <w:spacing w:after="0" w:line="240" w:lineRule="auto"/>
            </w:pPr>
            <w:r>
              <w:rPr>
                <w:sz w:val="17"/>
              </w:rPr>
            </w:r>
            <w:r>
              <w:rPr>
                <w:b w:val="0"/>
                <w:sz w:val="17"/>
              </w:rPr>
              <w:t>9 qualified retained starts.</w:t>
            </w:r>
          </w:p>
        </w:tc>
        <w:tc>
          <w:tcPr>
            <w:tcW w:type="dxa" w:w="2736"/>
            <w:vAlign w:val="top"/>
          </w:tcPr>
          <w:p>
            <w:pPr>
              <w:spacing w:after="0" w:line="240" w:lineRule="auto"/>
            </w:pPr>
            <w:r>
              <w:rPr>
                <w:sz w:val="17"/>
              </w:rPr>
            </w:r>
            <w:r>
              <w:rPr>
                <w:b w:val="0"/>
                <w:sz w:val="17"/>
              </w:rPr>
              <w:t>Retention, profitability, sourcer coordination, and ownership required.</w:t>
            </w:r>
          </w:p>
        </w:tc>
      </w:tr>
      <w:tr>
        <w:tc>
          <w:tcPr>
            <w:tcW w:type="dxa" w:w="2448"/>
            <w:vAlign w:val="top"/>
          </w:tcPr>
          <w:p>
            <w:pPr>
              <w:spacing w:after="0" w:line="240" w:lineRule="auto"/>
            </w:pPr>
            <w:r>
              <w:rPr>
                <w:sz w:val="17"/>
              </w:rPr>
            </w:r>
            <w:r>
              <w:rPr>
                <w:b w:val="0"/>
                <w:sz w:val="17"/>
              </w:rPr>
              <w:t>Lead / Desk Owner</w:t>
            </w:r>
          </w:p>
        </w:tc>
        <w:tc>
          <w:tcPr>
            <w:tcW w:type="dxa" w:w="3024"/>
            <w:vAlign w:val="top"/>
          </w:tcPr>
          <w:p>
            <w:pPr>
              <w:spacing w:after="0" w:line="240" w:lineRule="auto"/>
            </w:pPr>
            <w:r>
              <w:rPr>
                <w:sz w:val="17"/>
              </w:rPr>
            </w:r>
            <w:r>
              <w:rPr>
                <w:b w:val="0"/>
                <w:sz w:val="17"/>
              </w:rPr>
              <w:t>3-4 qualified retained starts/month or team target ownership.</w:t>
            </w:r>
          </w:p>
        </w:tc>
        <w:tc>
          <w:tcPr>
            <w:tcW w:type="dxa" w:w="2880"/>
            <w:vAlign w:val="top"/>
          </w:tcPr>
          <w:p>
            <w:pPr>
              <w:spacing w:after="0" w:line="240" w:lineRule="auto"/>
            </w:pPr>
            <w:r>
              <w:rPr>
                <w:sz w:val="17"/>
              </w:rPr>
            </w:r>
            <w:r>
              <w:rPr>
                <w:b w:val="0"/>
                <w:sz w:val="17"/>
              </w:rPr>
              <w:t>9-12 retained starts plus team quality control.</w:t>
            </w:r>
          </w:p>
        </w:tc>
        <w:tc>
          <w:tcPr>
            <w:tcW w:type="dxa" w:w="2736"/>
            <w:vAlign w:val="top"/>
          </w:tcPr>
          <w:p>
            <w:pPr>
              <w:spacing w:after="0" w:line="240" w:lineRule="auto"/>
            </w:pPr>
            <w:r>
              <w:rPr>
                <w:sz w:val="17"/>
              </w:rPr>
            </w:r>
            <w:r>
              <w:rPr>
                <w:b w:val="0"/>
                <w:sz w:val="17"/>
              </w:rPr>
              <w:t>Owns priority roles, sourcers, reporting, quality, and falloff prevention.</w:t>
            </w:r>
          </w:p>
        </w:tc>
      </w:tr>
      <w:tr>
        <w:tc>
          <w:tcPr>
            <w:tcW w:type="dxa" w:w="2448"/>
            <w:vAlign w:val="top"/>
          </w:tcPr>
          <w:p>
            <w:pPr>
              <w:spacing w:after="0" w:line="240" w:lineRule="auto"/>
            </w:pPr>
            <w:r>
              <w:rPr>
                <w:sz w:val="17"/>
              </w:rPr>
            </w:r>
            <w:r>
              <w:rPr>
                <w:b w:val="0"/>
                <w:sz w:val="17"/>
              </w:rPr>
              <w:t>Assistant Manager / Manager</w:t>
            </w:r>
          </w:p>
        </w:tc>
        <w:tc>
          <w:tcPr>
            <w:tcW w:type="dxa" w:w="3024"/>
            <w:vAlign w:val="top"/>
          </w:tcPr>
          <w:p>
            <w:pPr>
              <w:spacing w:after="0" w:line="240" w:lineRule="auto"/>
            </w:pPr>
            <w:r>
              <w:rPr>
                <w:sz w:val="17"/>
              </w:rPr>
            </w:r>
            <w:r>
              <w:rPr>
                <w:b w:val="0"/>
                <w:sz w:val="17"/>
              </w:rPr>
              <w:t>Team-level retained starts and desk margin target.</w:t>
            </w:r>
          </w:p>
        </w:tc>
        <w:tc>
          <w:tcPr>
            <w:tcW w:type="dxa" w:w="2880"/>
            <w:vAlign w:val="top"/>
          </w:tcPr>
          <w:p>
            <w:pPr>
              <w:spacing w:after="0" w:line="240" w:lineRule="auto"/>
            </w:pPr>
            <w:r>
              <w:rPr>
                <w:sz w:val="17"/>
              </w:rPr>
            </w:r>
            <w:r>
              <w:rPr>
                <w:b w:val="0"/>
                <w:sz w:val="17"/>
              </w:rPr>
              <w:t>Desk profitability target and team productivity.</w:t>
            </w:r>
          </w:p>
        </w:tc>
        <w:tc>
          <w:tcPr>
            <w:tcW w:type="dxa" w:w="2736"/>
            <w:vAlign w:val="top"/>
          </w:tcPr>
          <w:p>
            <w:pPr>
              <w:spacing w:after="0" w:line="240" w:lineRule="auto"/>
            </w:pPr>
            <w:r>
              <w:rPr>
                <w:sz w:val="17"/>
              </w:rPr>
            </w:r>
            <w:r>
              <w:rPr>
                <w:b w:val="0"/>
                <w:sz w:val="17"/>
              </w:rPr>
              <w:t>Measured on team output, client success, retention, and margin.</w:t>
            </w:r>
          </w:p>
        </w:tc>
      </w:tr>
    </w:tbl>
    <w:p>
      <w:pPr>
        <w:spacing w:after="80" w:line="259" w:lineRule="auto"/>
      </w:pPr>
    </w:p>
    <w:p>
      <w:pPr>
        <w:pStyle w:val="Heading1"/>
        <w:spacing w:after="80" w:line="259" w:lineRule="auto"/>
      </w:pPr>
      <w:r>
        <w:rPr>
          <w:color w:val="1F4E79"/>
        </w:rPr>
        <w:t>10. IT Talent Acquisition Target Rules</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EAF3F8"/>
          </w:tcPr>
          <w:p>
            <w:pPr>
              <w:spacing w:after="0" w:line="240" w:lineRule="auto"/>
            </w:pPr>
            <w:r>
              <w:rPr>
                <w:b/>
                <w:color w:val="1F4E79"/>
                <w:sz w:val="20"/>
              </w:rPr>
              <w:t>IT Model Differences</w:t>
            </w:r>
          </w:p>
          <w:p>
            <w:pPr>
              <w:spacing w:after="0" w:line="240" w:lineRule="auto"/>
            </w:pPr>
            <w:r>
              <w:rPr>
                <w:sz w:val="18"/>
              </w:rPr>
              <w:t>IT Talent Acquisition can be contract staffing, permanent placement, or mixed. The tool should ask the manager to choose the IT business model before generating targets.</w:t>
            </w:r>
          </w:p>
        </w:tc>
      </w:tr>
    </w:tbl>
    <w:p>
      <w:pPr>
        <w:spacing w:after="80" w:line="259" w:lineRule="auto"/>
      </w:pP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IT Business Model</w:t>
            </w:r>
          </w:p>
        </w:tc>
        <w:tc>
          <w:tcPr>
            <w:tcW w:type="dxa" w:w="3456"/>
            <w:shd w:fill="1F4E79"/>
            <w:vAlign w:val="center"/>
          </w:tcPr>
          <w:p>
            <w:pPr>
              <w:spacing w:after="0" w:line="240" w:lineRule="auto"/>
            </w:pPr>
            <w:r>
              <w:rPr>
                <w:sz w:val="17"/>
              </w:rPr>
            </w:r>
            <w:r>
              <w:rPr>
                <w:b/>
                <w:color w:val="FFFFFF"/>
                <w:sz w:val="17"/>
              </w:rPr>
              <w:t>Primary Business Metric</w:t>
            </w:r>
          </w:p>
        </w:tc>
        <w:tc>
          <w:tcPr>
            <w:tcW w:type="dxa" w:w="4464"/>
            <w:shd w:fill="1F4E79"/>
            <w:vAlign w:val="center"/>
          </w:tcPr>
          <w:p>
            <w:pPr>
              <w:spacing w:after="0" w:line="240" w:lineRule="auto"/>
            </w:pPr>
            <w:r>
              <w:rPr>
                <w:sz w:val="17"/>
              </w:rPr>
            </w:r>
            <w:r>
              <w:rPr>
                <w:b/>
                <w:color w:val="FFFFFF"/>
                <w:sz w:val="17"/>
              </w:rPr>
              <w:t>Recommended Target Logic</w:t>
            </w:r>
          </w:p>
        </w:tc>
      </w:tr>
      <w:tr>
        <w:tc>
          <w:tcPr>
            <w:tcW w:type="dxa" w:w="2592"/>
            <w:vAlign w:val="top"/>
          </w:tcPr>
          <w:p>
            <w:pPr>
              <w:spacing w:after="0" w:line="240" w:lineRule="auto"/>
            </w:pPr>
            <w:r>
              <w:rPr>
                <w:sz w:val="17"/>
              </w:rPr>
            </w:r>
            <w:r>
              <w:rPr>
                <w:b w:val="0"/>
                <w:sz w:val="17"/>
              </w:rPr>
              <w:t>IT Contract Staffing</w:t>
            </w:r>
          </w:p>
        </w:tc>
        <w:tc>
          <w:tcPr>
            <w:tcW w:type="dxa" w:w="3456"/>
            <w:vAlign w:val="top"/>
          </w:tcPr>
          <w:p>
            <w:pPr>
              <w:spacing w:after="0" w:line="240" w:lineRule="auto"/>
            </w:pPr>
            <w:r>
              <w:rPr>
                <w:sz w:val="17"/>
              </w:rPr>
            </w:r>
            <w:r>
              <w:rPr>
                <w:b w:val="0"/>
                <w:sz w:val="17"/>
              </w:rPr>
              <w:t>Retained contract starts and contribution margin/hr.</w:t>
            </w:r>
          </w:p>
        </w:tc>
        <w:tc>
          <w:tcPr>
            <w:tcW w:type="dxa" w:w="4464"/>
            <w:vAlign w:val="top"/>
          </w:tcPr>
          <w:p>
            <w:pPr>
              <w:spacing w:after="0" w:line="240" w:lineRule="auto"/>
            </w:pPr>
            <w:r>
              <w:rPr>
                <w:sz w:val="17"/>
              </w:rPr>
            </w:r>
            <w:r>
              <w:rPr>
                <w:b w:val="0"/>
                <w:sz w:val="17"/>
              </w:rPr>
              <w:t>Similar to Healthcare, but factor technical screening, interview rounds, and longer sales cycles.</w:t>
            </w:r>
          </w:p>
        </w:tc>
      </w:tr>
      <w:tr>
        <w:tc>
          <w:tcPr>
            <w:tcW w:type="dxa" w:w="2592"/>
            <w:vAlign w:val="top"/>
          </w:tcPr>
          <w:p>
            <w:pPr>
              <w:spacing w:after="0" w:line="240" w:lineRule="auto"/>
            </w:pPr>
            <w:r>
              <w:rPr>
                <w:sz w:val="17"/>
              </w:rPr>
            </w:r>
            <w:r>
              <w:rPr>
                <w:b w:val="0"/>
                <w:sz w:val="17"/>
              </w:rPr>
              <w:t>IT Permanent Placement</w:t>
            </w:r>
          </w:p>
        </w:tc>
        <w:tc>
          <w:tcPr>
            <w:tcW w:type="dxa" w:w="3456"/>
            <w:vAlign w:val="top"/>
          </w:tcPr>
          <w:p>
            <w:pPr>
              <w:spacing w:after="0" w:line="240" w:lineRule="auto"/>
            </w:pPr>
            <w:r>
              <w:rPr>
                <w:sz w:val="17"/>
              </w:rPr>
            </w:r>
            <w:r>
              <w:rPr>
                <w:b w:val="0"/>
                <w:sz w:val="17"/>
              </w:rPr>
              <w:t>Placement fees generated and joined candidates.</w:t>
            </w:r>
          </w:p>
        </w:tc>
        <w:tc>
          <w:tcPr>
            <w:tcW w:type="dxa" w:w="4464"/>
            <w:vAlign w:val="top"/>
          </w:tcPr>
          <w:p>
            <w:pPr>
              <w:spacing w:after="0" w:line="240" w:lineRule="auto"/>
            </w:pPr>
            <w:r>
              <w:rPr>
                <w:sz w:val="17"/>
              </w:rPr>
            </w:r>
            <w:r>
              <w:rPr>
                <w:b w:val="0"/>
                <w:sz w:val="17"/>
              </w:rPr>
              <w:t>Target based on fee value, offer acceptance, joining, replacement period, and net fee contribution.</w:t>
            </w:r>
          </w:p>
        </w:tc>
      </w:tr>
      <w:tr>
        <w:tc>
          <w:tcPr>
            <w:tcW w:type="dxa" w:w="2592"/>
            <w:vAlign w:val="top"/>
          </w:tcPr>
          <w:p>
            <w:pPr>
              <w:spacing w:after="0" w:line="240" w:lineRule="auto"/>
            </w:pPr>
            <w:r>
              <w:rPr>
                <w:sz w:val="17"/>
              </w:rPr>
            </w:r>
            <w:r>
              <w:rPr>
                <w:b w:val="0"/>
                <w:sz w:val="17"/>
              </w:rPr>
              <w:t>IT Mixed Desk</w:t>
            </w:r>
          </w:p>
        </w:tc>
        <w:tc>
          <w:tcPr>
            <w:tcW w:type="dxa" w:w="3456"/>
            <w:vAlign w:val="top"/>
          </w:tcPr>
          <w:p>
            <w:pPr>
              <w:spacing w:after="0" w:line="240" w:lineRule="auto"/>
            </w:pPr>
            <w:r>
              <w:rPr>
                <w:sz w:val="17"/>
              </w:rPr>
            </w:r>
            <w:r>
              <w:rPr>
                <w:b w:val="0"/>
                <w:sz w:val="17"/>
              </w:rPr>
              <w:t>Weighted mix of contract margin and placement fees.</w:t>
            </w:r>
          </w:p>
        </w:tc>
        <w:tc>
          <w:tcPr>
            <w:tcW w:type="dxa" w:w="4464"/>
            <w:vAlign w:val="top"/>
          </w:tcPr>
          <w:p>
            <w:pPr>
              <w:spacing w:after="0" w:line="240" w:lineRule="auto"/>
            </w:pPr>
            <w:r>
              <w:rPr>
                <w:sz w:val="17"/>
              </w:rPr>
            </w:r>
            <w:r>
              <w:rPr>
                <w:b w:val="0"/>
                <w:sz w:val="17"/>
              </w:rPr>
              <w:t>Tool should calculate weighted target by role mix selected by manager.</w:t>
            </w:r>
          </w:p>
        </w:tc>
      </w:tr>
      <w:tr>
        <w:tc>
          <w:tcPr>
            <w:tcW w:type="dxa" w:w="2592"/>
            <w:vAlign w:val="top"/>
          </w:tcPr>
          <w:p>
            <w:pPr>
              <w:spacing w:after="0" w:line="240" w:lineRule="auto"/>
            </w:pPr>
            <w:r>
              <w:rPr>
                <w:sz w:val="17"/>
              </w:rPr>
            </w:r>
            <w:r>
              <w:rPr>
                <w:b w:val="0"/>
                <w:sz w:val="17"/>
              </w:rPr>
              <w:t>IT Bench / Internal Deployment</w:t>
            </w:r>
          </w:p>
        </w:tc>
        <w:tc>
          <w:tcPr>
            <w:tcW w:type="dxa" w:w="3456"/>
            <w:vAlign w:val="top"/>
          </w:tcPr>
          <w:p>
            <w:pPr>
              <w:spacing w:after="0" w:line="240" w:lineRule="auto"/>
            </w:pPr>
            <w:r>
              <w:rPr>
                <w:sz w:val="17"/>
              </w:rPr>
            </w:r>
            <w:r>
              <w:rPr>
                <w:b w:val="0"/>
                <w:sz w:val="17"/>
              </w:rPr>
              <w:t>Deployment conversion and billing start.</w:t>
            </w:r>
          </w:p>
        </w:tc>
        <w:tc>
          <w:tcPr>
            <w:tcW w:type="dxa" w:w="4464"/>
            <w:vAlign w:val="top"/>
          </w:tcPr>
          <w:p>
            <w:pPr>
              <w:spacing w:after="0" w:line="240" w:lineRule="auto"/>
            </w:pPr>
            <w:r>
              <w:rPr>
                <w:sz w:val="17"/>
              </w:rPr>
            </w:r>
            <w:r>
              <w:rPr>
                <w:b w:val="0"/>
                <w:sz w:val="17"/>
              </w:rPr>
              <w:t>Target based on redeployment speed, margin, and billing continuity.</w:t>
            </w:r>
          </w:p>
        </w:tc>
      </w:tr>
    </w:tbl>
    <w:p>
      <w:pPr>
        <w:spacing w:after="80" w:line="259" w:lineRule="auto"/>
      </w:pP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64"/>
        <w:gridCol w:w="2664"/>
        <w:gridCol w:w="2664"/>
        <w:gridCol w:w="2664"/>
      </w:tblGrid>
      <w:tr>
        <w:trPr>
          <w:tblHeader w:val="true"/>
        </w:trPr>
        <w:tc>
          <w:tcPr>
            <w:tcW w:type="dxa" w:w="2304"/>
            <w:shd w:fill="1F4E79"/>
            <w:vAlign w:val="center"/>
          </w:tcPr>
          <w:p>
            <w:pPr>
              <w:spacing w:after="0" w:line="240" w:lineRule="auto"/>
            </w:pPr>
            <w:r>
              <w:rPr>
                <w:sz w:val="17"/>
              </w:rPr>
            </w:r>
            <w:r>
              <w:rPr>
                <w:b/>
                <w:color w:val="FFFFFF"/>
                <w:sz w:val="17"/>
              </w:rPr>
              <w:t>IT Role Level</w:t>
            </w:r>
          </w:p>
        </w:tc>
        <w:tc>
          <w:tcPr>
            <w:tcW w:type="dxa" w:w="2880"/>
            <w:shd w:fill="1F4E79"/>
            <w:vAlign w:val="center"/>
          </w:tcPr>
          <w:p>
            <w:pPr>
              <w:spacing w:after="0" w:line="240" w:lineRule="auto"/>
            </w:pPr>
            <w:r>
              <w:rPr>
                <w:sz w:val="17"/>
              </w:rPr>
            </w:r>
            <w:r>
              <w:rPr>
                <w:b/>
                <w:color w:val="FFFFFF"/>
                <w:sz w:val="17"/>
              </w:rPr>
              <w:t>Contract Staffing Monthly Target</w:t>
            </w:r>
          </w:p>
        </w:tc>
        <w:tc>
          <w:tcPr>
            <w:tcW w:type="dxa" w:w="3024"/>
            <w:shd w:fill="1F4E79"/>
            <w:vAlign w:val="center"/>
          </w:tcPr>
          <w:p>
            <w:pPr>
              <w:spacing w:after="0" w:line="240" w:lineRule="auto"/>
            </w:pPr>
            <w:r>
              <w:rPr>
                <w:sz w:val="17"/>
              </w:rPr>
            </w:r>
            <w:r>
              <w:rPr>
                <w:b/>
                <w:color w:val="FFFFFF"/>
                <w:sz w:val="17"/>
              </w:rPr>
              <w:t>Permanent Placement Monthly Target</w:t>
            </w:r>
          </w:p>
        </w:tc>
        <w:tc>
          <w:tcPr>
            <w:tcW w:type="dxa" w:w="2304"/>
            <w:shd w:fill="1F4E79"/>
            <w:vAlign w:val="center"/>
          </w:tcPr>
          <w:p>
            <w:pPr>
              <w:spacing w:after="0" w:line="240" w:lineRule="auto"/>
            </w:pPr>
            <w:r>
              <w:rPr>
                <w:sz w:val="17"/>
              </w:rPr>
            </w:r>
            <w:r>
              <w:rPr>
                <w:b/>
                <w:color w:val="FFFFFF"/>
                <w:sz w:val="17"/>
              </w:rPr>
              <w:t>Quality Gate</w:t>
            </w:r>
          </w:p>
        </w:tc>
      </w:tr>
      <w:tr>
        <w:tc>
          <w:tcPr>
            <w:tcW w:type="dxa" w:w="2304"/>
            <w:vAlign w:val="top"/>
          </w:tcPr>
          <w:p>
            <w:pPr>
              <w:spacing w:after="0" w:line="240" w:lineRule="auto"/>
            </w:pPr>
            <w:r>
              <w:rPr>
                <w:sz w:val="17"/>
              </w:rPr>
            </w:r>
            <w:r>
              <w:rPr>
                <w:b w:val="0"/>
                <w:sz w:val="17"/>
              </w:rPr>
              <w:t>Sourcer / Junior</w:t>
            </w:r>
          </w:p>
        </w:tc>
        <w:tc>
          <w:tcPr>
            <w:tcW w:type="dxa" w:w="2880"/>
            <w:vAlign w:val="top"/>
          </w:tcPr>
          <w:p>
            <w:pPr>
              <w:spacing w:after="0" w:line="240" w:lineRule="auto"/>
            </w:pPr>
            <w:r>
              <w:rPr>
                <w:sz w:val="17"/>
              </w:rPr>
            </w:r>
            <w:r>
              <w:rPr>
                <w:b w:val="0"/>
                <w:sz w:val="17"/>
              </w:rPr>
              <w:t>Qualified technical candidates added to pipeline and screened by recruiter.</w:t>
            </w:r>
          </w:p>
        </w:tc>
        <w:tc>
          <w:tcPr>
            <w:tcW w:type="dxa" w:w="3024"/>
            <w:vAlign w:val="top"/>
          </w:tcPr>
          <w:p>
            <w:pPr>
              <w:spacing w:after="0" w:line="240" w:lineRule="auto"/>
            </w:pPr>
            <w:r>
              <w:rPr>
                <w:sz w:val="17"/>
              </w:rPr>
            </w:r>
            <w:r>
              <w:rPr>
                <w:b w:val="0"/>
                <w:sz w:val="17"/>
              </w:rPr>
              <w:t>Qualified candidates matched to active roles.</w:t>
            </w:r>
          </w:p>
        </w:tc>
        <w:tc>
          <w:tcPr>
            <w:tcW w:type="dxa" w:w="2304"/>
            <w:vAlign w:val="top"/>
          </w:tcPr>
          <w:p>
            <w:pPr>
              <w:spacing w:after="0" w:line="240" w:lineRule="auto"/>
            </w:pPr>
            <w:r>
              <w:rPr>
                <w:sz w:val="17"/>
              </w:rPr>
            </w:r>
            <w:r>
              <w:rPr>
                <w:b w:val="0"/>
                <w:sz w:val="17"/>
              </w:rPr>
              <w:t>Candidate ownership and skill notes documented.</w:t>
            </w:r>
          </w:p>
        </w:tc>
      </w:tr>
      <w:tr>
        <w:tc>
          <w:tcPr>
            <w:tcW w:type="dxa" w:w="2304"/>
            <w:vAlign w:val="top"/>
          </w:tcPr>
          <w:p>
            <w:pPr>
              <w:spacing w:after="0" w:line="240" w:lineRule="auto"/>
            </w:pPr>
            <w:r>
              <w:rPr>
                <w:sz w:val="17"/>
              </w:rPr>
            </w:r>
            <w:r>
              <w:rPr>
                <w:b w:val="0"/>
                <w:sz w:val="17"/>
              </w:rPr>
              <w:t>Recruiter</w:t>
            </w:r>
          </w:p>
        </w:tc>
        <w:tc>
          <w:tcPr>
            <w:tcW w:type="dxa" w:w="2880"/>
            <w:vAlign w:val="top"/>
          </w:tcPr>
          <w:p>
            <w:pPr>
              <w:spacing w:after="0" w:line="240" w:lineRule="auto"/>
            </w:pPr>
            <w:r>
              <w:rPr>
                <w:sz w:val="17"/>
              </w:rPr>
            </w:r>
            <w:r>
              <w:rPr>
                <w:b w:val="0"/>
                <w:sz w:val="17"/>
              </w:rPr>
              <w:t>1-2 retained contract starts/month depending on complexity.</w:t>
            </w:r>
          </w:p>
        </w:tc>
        <w:tc>
          <w:tcPr>
            <w:tcW w:type="dxa" w:w="3024"/>
            <w:vAlign w:val="top"/>
          </w:tcPr>
          <w:p>
            <w:pPr>
              <w:spacing w:after="0" w:line="240" w:lineRule="auto"/>
            </w:pPr>
            <w:r>
              <w:rPr>
                <w:sz w:val="17"/>
              </w:rPr>
            </w:r>
            <w:r>
              <w:rPr>
                <w:b w:val="0"/>
                <w:sz w:val="17"/>
              </w:rPr>
              <w:t>1 joined placement/month or equivalent fee target.</w:t>
            </w:r>
          </w:p>
        </w:tc>
        <w:tc>
          <w:tcPr>
            <w:tcW w:type="dxa" w:w="2304"/>
            <w:vAlign w:val="top"/>
          </w:tcPr>
          <w:p>
            <w:pPr>
              <w:spacing w:after="0" w:line="240" w:lineRule="auto"/>
            </w:pPr>
            <w:r>
              <w:rPr>
                <w:sz w:val="17"/>
              </w:rPr>
            </w:r>
            <w:r>
              <w:rPr>
                <w:b w:val="0"/>
                <w:sz w:val="17"/>
              </w:rPr>
              <w:t>Screening quality and offer acceptance.</w:t>
            </w:r>
          </w:p>
        </w:tc>
      </w:tr>
      <w:tr>
        <w:tc>
          <w:tcPr>
            <w:tcW w:type="dxa" w:w="2304"/>
            <w:vAlign w:val="top"/>
          </w:tcPr>
          <w:p>
            <w:pPr>
              <w:spacing w:after="0" w:line="240" w:lineRule="auto"/>
            </w:pPr>
            <w:r>
              <w:rPr>
                <w:sz w:val="17"/>
              </w:rPr>
            </w:r>
            <w:r>
              <w:rPr>
                <w:b w:val="0"/>
                <w:sz w:val="17"/>
              </w:rPr>
              <w:t>Senior Recruiter</w:t>
            </w:r>
          </w:p>
        </w:tc>
        <w:tc>
          <w:tcPr>
            <w:tcW w:type="dxa" w:w="2880"/>
            <w:vAlign w:val="top"/>
          </w:tcPr>
          <w:p>
            <w:pPr>
              <w:spacing w:after="0" w:line="240" w:lineRule="auto"/>
            </w:pPr>
            <w:r>
              <w:rPr>
                <w:sz w:val="17"/>
              </w:rPr>
            </w:r>
            <w:r>
              <w:rPr>
                <w:b w:val="0"/>
                <w:sz w:val="17"/>
              </w:rPr>
              <w:t>2-3 retained contract starts/month or target contribution value.</w:t>
            </w:r>
          </w:p>
        </w:tc>
        <w:tc>
          <w:tcPr>
            <w:tcW w:type="dxa" w:w="3024"/>
            <w:vAlign w:val="top"/>
          </w:tcPr>
          <w:p>
            <w:pPr>
              <w:spacing w:after="0" w:line="240" w:lineRule="auto"/>
            </w:pPr>
            <w:r>
              <w:rPr>
                <w:sz w:val="17"/>
              </w:rPr>
            </w:r>
            <w:r>
              <w:rPr>
                <w:b w:val="0"/>
                <w:sz w:val="17"/>
              </w:rPr>
              <w:t>1-2 joined placements/month depending on fee size.</w:t>
            </w:r>
          </w:p>
        </w:tc>
        <w:tc>
          <w:tcPr>
            <w:tcW w:type="dxa" w:w="2304"/>
            <w:vAlign w:val="top"/>
          </w:tcPr>
          <w:p>
            <w:pPr>
              <w:spacing w:after="0" w:line="240" w:lineRule="auto"/>
            </w:pPr>
            <w:r>
              <w:rPr>
                <w:sz w:val="17"/>
              </w:rPr>
            </w:r>
            <w:r>
              <w:rPr>
                <w:b w:val="0"/>
                <w:sz w:val="17"/>
              </w:rPr>
              <w:t>Technical match, retention, client feedback.</w:t>
            </w:r>
          </w:p>
        </w:tc>
      </w:tr>
      <w:tr>
        <w:tc>
          <w:tcPr>
            <w:tcW w:type="dxa" w:w="2304"/>
            <w:vAlign w:val="top"/>
          </w:tcPr>
          <w:p>
            <w:pPr>
              <w:spacing w:after="0" w:line="240" w:lineRule="auto"/>
            </w:pPr>
            <w:r>
              <w:rPr>
                <w:sz w:val="17"/>
              </w:rPr>
            </w:r>
            <w:r>
              <w:rPr>
                <w:b w:val="0"/>
                <w:sz w:val="17"/>
              </w:rPr>
              <w:t>Lead</w:t>
            </w:r>
          </w:p>
        </w:tc>
        <w:tc>
          <w:tcPr>
            <w:tcW w:type="dxa" w:w="2880"/>
            <w:vAlign w:val="top"/>
          </w:tcPr>
          <w:p>
            <w:pPr>
              <w:spacing w:after="0" w:line="240" w:lineRule="auto"/>
            </w:pPr>
            <w:r>
              <w:rPr>
                <w:sz w:val="17"/>
              </w:rPr>
            </w:r>
            <w:r>
              <w:rPr>
                <w:b w:val="0"/>
                <w:sz w:val="17"/>
              </w:rPr>
              <w:t>3+ retained starts/month or team target ownership.</w:t>
            </w:r>
          </w:p>
        </w:tc>
        <w:tc>
          <w:tcPr>
            <w:tcW w:type="dxa" w:w="3024"/>
            <w:vAlign w:val="top"/>
          </w:tcPr>
          <w:p>
            <w:pPr>
              <w:spacing w:after="0" w:line="240" w:lineRule="auto"/>
            </w:pPr>
            <w:r>
              <w:rPr>
                <w:sz w:val="17"/>
              </w:rPr>
            </w:r>
            <w:r>
              <w:rPr>
                <w:b w:val="0"/>
                <w:sz w:val="17"/>
              </w:rPr>
              <w:t>2+ joined placements/month or fee target ownership.</w:t>
            </w:r>
          </w:p>
        </w:tc>
        <w:tc>
          <w:tcPr>
            <w:tcW w:type="dxa" w:w="2304"/>
            <w:vAlign w:val="top"/>
          </w:tcPr>
          <w:p>
            <w:pPr>
              <w:spacing w:after="0" w:line="240" w:lineRule="auto"/>
            </w:pPr>
            <w:r>
              <w:rPr>
                <w:sz w:val="17"/>
              </w:rPr>
            </w:r>
            <w:r>
              <w:rPr>
                <w:b w:val="0"/>
                <w:sz w:val="17"/>
              </w:rPr>
              <w:t>Team quality and client delivery.</w:t>
            </w:r>
          </w:p>
        </w:tc>
      </w:tr>
      <w:tr>
        <w:tc>
          <w:tcPr>
            <w:tcW w:type="dxa" w:w="2304"/>
            <w:vAlign w:val="top"/>
          </w:tcPr>
          <w:p>
            <w:pPr>
              <w:spacing w:after="0" w:line="240" w:lineRule="auto"/>
            </w:pPr>
            <w:r>
              <w:rPr>
                <w:sz w:val="17"/>
              </w:rPr>
            </w:r>
            <w:r>
              <w:rPr>
                <w:b w:val="0"/>
                <w:sz w:val="17"/>
              </w:rPr>
              <w:t>Manager</w:t>
            </w:r>
          </w:p>
        </w:tc>
        <w:tc>
          <w:tcPr>
            <w:tcW w:type="dxa" w:w="2880"/>
            <w:vAlign w:val="top"/>
          </w:tcPr>
          <w:p>
            <w:pPr>
              <w:spacing w:after="0" w:line="240" w:lineRule="auto"/>
            </w:pPr>
            <w:r>
              <w:rPr>
                <w:sz w:val="17"/>
              </w:rPr>
            </w:r>
            <w:r>
              <w:rPr>
                <w:b w:val="0"/>
                <w:sz w:val="17"/>
              </w:rPr>
              <w:t>Team contribution, fee generation, and fill ratios.</w:t>
            </w:r>
          </w:p>
        </w:tc>
        <w:tc>
          <w:tcPr>
            <w:tcW w:type="dxa" w:w="3024"/>
            <w:vAlign w:val="top"/>
          </w:tcPr>
          <w:p>
            <w:pPr>
              <w:spacing w:after="0" w:line="240" w:lineRule="auto"/>
            </w:pPr>
            <w:r>
              <w:rPr>
                <w:sz w:val="17"/>
              </w:rPr>
            </w:r>
            <w:r>
              <w:rPr>
                <w:b w:val="0"/>
                <w:sz w:val="17"/>
              </w:rPr>
              <w:t>Team-level fees and replacement control.</w:t>
            </w:r>
          </w:p>
        </w:tc>
        <w:tc>
          <w:tcPr>
            <w:tcW w:type="dxa" w:w="2304"/>
            <w:vAlign w:val="top"/>
          </w:tcPr>
          <w:p>
            <w:pPr>
              <w:spacing w:after="0" w:line="240" w:lineRule="auto"/>
            </w:pPr>
            <w:r>
              <w:rPr>
                <w:sz w:val="17"/>
              </w:rPr>
            </w:r>
            <w:r>
              <w:rPr>
                <w:b w:val="0"/>
                <w:sz w:val="17"/>
              </w:rPr>
              <w:t>Desk profitability and team output.</w:t>
            </w:r>
          </w:p>
        </w:tc>
      </w:tr>
    </w:tbl>
    <w:p>
      <w:pPr>
        <w:spacing w:after="80" w:line="259" w:lineRule="auto"/>
      </w:pPr>
    </w:p>
    <w:p>
      <w:pPr>
        <w:pStyle w:val="Heading1"/>
        <w:spacing w:after="80" w:line="259" w:lineRule="auto"/>
      </w:pPr>
      <w:r>
        <w:rPr>
          <w:color w:val="1F4E79"/>
        </w:rPr>
        <w:t>11. Incentive Engine - Phase 1 Recommendation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304"/>
            <w:shd w:fill="1F4E79"/>
            <w:vAlign w:val="center"/>
          </w:tcPr>
          <w:p>
            <w:pPr>
              <w:spacing w:after="0" w:line="240" w:lineRule="auto"/>
            </w:pPr>
            <w:r>
              <w:rPr>
                <w:sz w:val="17"/>
              </w:rPr>
            </w:r>
            <w:r>
              <w:rPr>
                <w:b/>
                <w:color w:val="FFFFFF"/>
                <w:sz w:val="17"/>
              </w:rPr>
              <w:t>Component</w:t>
            </w:r>
          </w:p>
        </w:tc>
        <w:tc>
          <w:tcPr>
            <w:tcW w:type="dxa" w:w="4032"/>
            <w:shd w:fill="1F4E79"/>
            <w:vAlign w:val="center"/>
          </w:tcPr>
          <w:p>
            <w:pPr>
              <w:spacing w:after="0" w:line="240" w:lineRule="auto"/>
            </w:pPr>
            <w:r>
              <w:rPr>
                <w:sz w:val="17"/>
              </w:rPr>
            </w:r>
            <w:r>
              <w:rPr>
                <w:b/>
                <w:color w:val="FFFFFF"/>
                <w:sz w:val="17"/>
              </w:rPr>
              <w:t>Healthcare Phase 1 Rule</w:t>
            </w:r>
          </w:p>
        </w:tc>
        <w:tc>
          <w:tcPr>
            <w:tcW w:type="dxa" w:w="4032"/>
            <w:shd w:fill="1F4E79"/>
            <w:vAlign w:val="center"/>
          </w:tcPr>
          <w:p>
            <w:pPr>
              <w:spacing w:after="0" w:line="240" w:lineRule="auto"/>
            </w:pPr>
            <w:r>
              <w:rPr>
                <w:sz w:val="17"/>
              </w:rPr>
            </w:r>
            <w:r>
              <w:rPr>
                <w:b/>
                <w:color w:val="FFFFFF"/>
                <w:sz w:val="17"/>
              </w:rPr>
              <w:t>IT Phase 1 Rule</w:t>
            </w:r>
          </w:p>
        </w:tc>
      </w:tr>
      <w:tr>
        <w:tc>
          <w:tcPr>
            <w:tcW w:type="dxa" w:w="2304"/>
            <w:vAlign w:val="top"/>
          </w:tcPr>
          <w:p>
            <w:pPr>
              <w:spacing w:after="0" w:line="240" w:lineRule="auto"/>
            </w:pPr>
            <w:r>
              <w:rPr>
                <w:sz w:val="17"/>
              </w:rPr>
            </w:r>
            <w:r>
              <w:rPr>
                <w:b w:val="0"/>
                <w:sz w:val="17"/>
              </w:rPr>
              <w:t>Recruiter incentive</w:t>
            </w:r>
          </w:p>
        </w:tc>
        <w:tc>
          <w:tcPr>
            <w:tcW w:type="dxa" w:w="4032"/>
            <w:vAlign w:val="top"/>
          </w:tcPr>
          <w:p>
            <w:pPr>
              <w:spacing w:after="0" w:line="240" w:lineRule="auto"/>
            </w:pPr>
            <w:r>
              <w:rPr>
                <w:sz w:val="17"/>
              </w:rPr>
            </w:r>
            <w:r>
              <w:rPr>
                <w:b w:val="0"/>
                <w:sz w:val="17"/>
              </w:rPr>
              <w:t>Flat incentive for 3 qualified retained starts in a calendar month.</w:t>
            </w:r>
          </w:p>
        </w:tc>
        <w:tc>
          <w:tcPr>
            <w:tcW w:type="dxa" w:w="4032"/>
            <w:vAlign w:val="top"/>
          </w:tcPr>
          <w:p>
            <w:pPr>
              <w:spacing w:after="0" w:line="240" w:lineRule="auto"/>
            </w:pPr>
            <w:r>
              <w:rPr>
                <w:sz w:val="17"/>
              </w:rPr>
            </w:r>
            <w:r>
              <w:rPr>
                <w:b w:val="0"/>
                <w:sz w:val="17"/>
              </w:rPr>
              <w:t>Flat or % incentive for retained contract starts or joined permanent placements.</w:t>
            </w:r>
          </w:p>
        </w:tc>
      </w:tr>
      <w:tr>
        <w:tc>
          <w:tcPr>
            <w:tcW w:type="dxa" w:w="2304"/>
            <w:vAlign w:val="top"/>
          </w:tcPr>
          <w:p>
            <w:pPr>
              <w:spacing w:after="0" w:line="240" w:lineRule="auto"/>
            </w:pPr>
            <w:r>
              <w:rPr>
                <w:sz w:val="17"/>
              </w:rPr>
            </w:r>
            <w:r>
              <w:rPr>
                <w:b w:val="0"/>
                <w:sz w:val="17"/>
              </w:rPr>
              <w:t>Payout timing</w:t>
            </w:r>
          </w:p>
        </w:tc>
        <w:tc>
          <w:tcPr>
            <w:tcW w:type="dxa" w:w="4032"/>
            <w:vAlign w:val="top"/>
          </w:tcPr>
          <w:p>
            <w:pPr>
              <w:spacing w:after="0" w:line="240" w:lineRule="auto"/>
            </w:pPr>
            <w:r>
              <w:rPr>
                <w:sz w:val="17"/>
              </w:rPr>
            </w:r>
            <w:r>
              <w:rPr>
                <w:b w:val="0"/>
                <w:sz w:val="17"/>
              </w:rPr>
              <w:t>After candidates complete 90 days successful billing/work, or per approved retention rule.</w:t>
            </w:r>
          </w:p>
        </w:tc>
        <w:tc>
          <w:tcPr>
            <w:tcW w:type="dxa" w:w="4032"/>
            <w:vAlign w:val="top"/>
          </w:tcPr>
          <w:p>
            <w:pPr>
              <w:spacing w:after="0" w:line="240" w:lineRule="auto"/>
            </w:pPr>
            <w:r>
              <w:rPr>
                <w:sz w:val="17"/>
              </w:rPr>
            </w:r>
            <w:r>
              <w:rPr>
                <w:b w:val="0"/>
                <w:sz w:val="17"/>
              </w:rPr>
              <w:t>After 60-90 days billing for contract, or after replacement period/fee collectability for permanent.</w:t>
            </w:r>
          </w:p>
        </w:tc>
      </w:tr>
      <w:tr>
        <w:tc>
          <w:tcPr>
            <w:tcW w:type="dxa" w:w="2304"/>
            <w:vAlign w:val="top"/>
          </w:tcPr>
          <w:p>
            <w:pPr>
              <w:spacing w:after="0" w:line="240" w:lineRule="auto"/>
            </w:pPr>
            <w:r>
              <w:rPr>
                <w:sz w:val="17"/>
              </w:rPr>
            </w:r>
            <w:r>
              <w:rPr>
                <w:b w:val="0"/>
                <w:sz w:val="17"/>
              </w:rPr>
              <w:t>Profitability gate</w:t>
            </w:r>
          </w:p>
        </w:tc>
        <w:tc>
          <w:tcPr>
            <w:tcW w:type="dxa" w:w="4032"/>
            <w:vAlign w:val="top"/>
          </w:tcPr>
          <w:p>
            <w:pPr>
              <w:spacing w:after="0" w:line="240" w:lineRule="auto"/>
            </w:pPr>
            <w:r>
              <w:rPr>
                <w:sz w:val="17"/>
              </w:rPr>
            </w:r>
            <w:r>
              <w:rPr>
                <w:b w:val="0"/>
                <w:sz w:val="17"/>
              </w:rPr>
              <w:t>Must pass fully loaded calculator threshold.</w:t>
            </w:r>
          </w:p>
        </w:tc>
        <w:tc>
          <w:tcPr>
            <w:tcW w:type="dxa" w:w="4032"/>
            <w:vAlign w:val="top"/>
          </w:tcPr>
          <w:p>
            <w:pPr>
              <w:spacing w:after="0" w:line="240" w:lineRule="auto"/>
            </w:pPr>
            <w:r>
              <w:rPr>
                <w:sz w:val="17"/>
              </w:rPr>
            </w:r>
            <w:r>
              <w:rPr>
                <w:b w:val="0"/>
                <w:sz w:val="17"/>
              </w:rPr>
              <w:t>Must pass contract margin or net fee contribution threshold.</w:t>
            </w:r>
          </w:p>
        </w:tc>
      </w:tr>
      <w:tr>
        <w:tc>
          <w:tcPr>
            <w:tcW w:type="dxa" w:w="2304"/>
            <w:vAlign w:val="top"/>
          </w:tcPr>
          <w:p>
            <w:pPr>
              <w:spacing w:after="0" w:line="240" w:lineRule="auto"/>
            </w:pPr>
            <w:r>
              <w:rPr>
                <w:sz w:val="17"/>
              </w:rPr>
            </w:r>
            <w:r>
              <w:rPr>
                <w:b w:val="0"/>
                <w:sz w:val="17"/>
              </w:rPr>
              <w:t>Sourcer bonus</w:t>
            </w:r>
          </w:p>
        </w:tc>
        <w:tc>
          <w:tcPr>
            <w:tcW w:type="dxa" w:w="4032"/>
            <w:vAlign w:val="top"/>
          </w:tcPr>
          <w:p>
            <w:pPr>
              <w:spacing w:after="0" w:line="240" w:lineRule="auto"/>
            </w:pPr>
            <w:r>
              <w:rPr>
                <w:sz w:val="17"/>
              </w:rPr>
            </w:r>
            <w:r>
              <w:rPr>
                <w:b w:val="0"/>
                <w:sz w:val="17"/>
              </w:rPr>
              <w:t>₹500 per sourced qualified retained start, paid after retention period.</w:t>
            </w:r>
          </w:p>
        </w:tc>
        <w:tc>
          <w:tcPr>
            <w:tcW w:type="dxa" w:w="4032"/>
            <w:vAlign w:val="top"/>
          </w:tcPr>
          <w:p>
            <w:pPr>
              <w:spacing w:after="0" w:line="240" w:lineRule="auto"/>
            </w:pPr>
            <w:r>
              <w:rPr>
                <w:sz w:val="17"/>
              </w:rPr>
            </w:r>
            <w:r>
              <w:rPr>
                <w:b w:val="0"/>
                <w:sz w:val="17"/>
              </w:rPr>
              <w:t>₹500-₹1,000 per sourced joined/retained candidate depending on role complexity.</w:t>
            </w:r>
          </w:p>
        </w:tc>
      </w:tr>
      <w:tr>
        <w:tc>
          <w:tcPr>
            <w:tcW w:type="dxa" w:w="2304"/>
            <w:vAlign w:val="top"/>
          </w:tcPr>
          <w:p>
            <w:pPr>
              <w:spacing w:after="0" w:line="240" w:lineRule="auto"/>
            </w:pPr>
            <w:r>
              <w:rPr>
                <w:sz w:val="17"/>
              </w:rPr>
            </w:r>
            <w:r>
              <w:rPr>
                <w:b w:val="0"/>
                <w:sz w:val="17"/>
              </w:rPr>
              <w:t>Documentation gate</w:t>
            </w:r>
          </w:p>
        </w:tc>
        <w:tc>
          <w:tcPr>
            <w:tcW w:type="dxa" w:w="4032"/>
            <w:vAlign w:val="top"/>
          </w:tcPr>
          <w:p>
            <w:pPr>
              <w:spacing w:after="0" w:line="240" w:lineRule="auto"/>
            </w:pPr>
            <w:r>
              <w:rPr>
                <w:sz w:val="17"/>
              </w:rPr>
            </w:r>
            <w:r>
              <w:rPr>
                <w:b w:val="0"/>
                <w:sz w:val="17"/>
              </w:rPr>
              <w:t>RTR, source, owner, submission, status, and notes must be complete.</w:t>
            </w:r>
          </w:p>
        </w:tc>
        <w:tc>
          <w:tcPr>
            <w:tcW w:type="dxa" w:w="4032"/>
            <w:vAlign w:val="top"/>
          </w:tcPr>
          <w:p>
            <w:pPr>
              <w:spacing w:after="0" w:line="240" w:lineRule="auto"/>
            </w:pPr>
            <w:r>
              <w:rPr>
                <w:sz w:val="17"/>
              </w:rPr>
            </w:r>
            <w:r>
              <w:rPr>
                <w:b w:val="0"/>
                <w:sz w:val="17"/>
              </w:rPr>
              <w:t>Skill match, source, submission, interview status, offer/acceptance notes complete.</w:t>
            </w:r>
          </w:p>
        </w:tc>
      </w:tr>
      <w:tr>
        <w:tc>
          <w:tcPr>
            <w:tcW w:type="dxa" w:w="2304"/>
            <w:vAlign w:val="top"/>
          </w:tcPr>
          <w:p>
            <w:pPr>
              <w:spacing w:after="0" w:line="240" w:lineRule="auto"/>
            </w:pPr>
            <w:r>
              <w:rPr>
                <w:sz w:val="17"/>
              </w:rPr>
            </w:r>
            <w:r>
              <w:rPr>
                <w:b w:val="0"/>
                <w:sz w:val="17"/>
              </w:rPr>
              <w:t>Exclusions</w:t>
            </w:r>
          </w:p>
        </w:tc>
        <w:tc>
          <w:tcPr>
            <w:tcW w:type="dxa" w:w="4032"/>
            <w:vAlign w:val="top"/>
          </w:tcPr>
          <w:p>
            <w:pPr>
              <w:spacing w:after="0" w:line="240" w:lineRule="auto"/>
            </w:pPr>
            <w:r>
              <w:rPr>
                <w:sz w:val="17"/>
              </w:rPr>
            </w:r>
            <w:r>
              <w:rPr>
                <w:b w:val="0"/>
                <w:sz w:val="17"/>
              </w:rPr>
              <w:t>No-show, early falloff, experience mismatch, incomplete docs, avoidable screening gap.</w:t>
            </w:r>
          </w:p>
        </w:tc>
        <w:tc>
          <w:tcPr>
            <w:tcW w:type="dxa" w:w="4032"/>
            <w:vAlign w:val="top"/>
          </w:tcPr>
          <w:p>
            <w:pPr>
              <w:spacing w:after="0" w:line="240" w:lineRule="auto"/>
            </w:pPr>
            <w:r>
              <w:rPr>
                <w:sz w:val="17"/>
              </w:rPr>
            </w:r>
            <w:r>
              <w:rPr>
                <w:b w:val="0"/>
                <w:sz w:val="17"/>
              </w:rPr>
              <w:t>No-show, offer drop, failed background if avoidable, early falloff, replacement/refund issue.</w:t>
            </w:r>
          </w:p>
        </w:tc>
      </w:tr>
    </w:tbl>
    <w:p>
      <w:pPr>
        <w:spacing w:after="80" w:line="259" w:lineRule="auto"/>
      </w:pPr>
    </w:p>
    <w:p>
      <w:pPr>
        <w:pStyle w:val="Heading1"/>
        <w:spacing w:after="80" w:line="259" w:lineRule="auto"/>
      </w:pPr>
      <w:r>
        <w:rPr>
          <w:color w:val="1F4E79"/>
        </w:rPr>
        <w:t>12. Sourcer / Junior Recruiter Incentive Architecture</w:t>
      </w:r>
    </w:p>
    <w:p>
      <w:pPr>
        <w:pStyle w:val="ListBullet"/>
        <w:spacing w:after="80" w:line="259" w:lineRule="auto"/>
      </w:pPr>
      <w:r>
        <w:rPr>
          <w:sz w:val="19"/>
        </w:rPr>
        <w:t>Sourcers should be included so they are motivated to provide qualified candidates, but they should not receive the same incentive as the recruiter who owns closure, client/MSP coordination, follow-up, and retention.</w:t>
      </w:r>
    </w:p>
    <w:p>
      <w:pPr>
        <w:pStyle w:val="ListBullet"/>
        <w:spacing w:after="80" w:line="259" w:lineRule="auto"/>
      </w:pPr>
      <w:r>
        <w:rPr>
          <w:sz w:val="19"/>
        </w:rPr>
        <w:t>Recommended Phase 1 model: recruiter gets the main incentive when target is met; sourcer gets a smaller sourcing bonus per sourced candidate that becomes a qualified retained start.</w:t>
      </w:r>
    </w:p>
    <w:p>
      <w:pPr>
        <w:pStyle w:val="ListBullet"/>
        <w:spacing w:after="80" w:line="259" w:lineRule="auto"/>
      </w:pPr>
      <w:r>
        <w:rPr>
          <w:sz w:val="19"/>
        </w:rPr>
        <w:t>This avoids reducing recruiter incentive while still encouraging freshers to focus on quality instead of volume.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448"/>
            <w:shd w:fill="1F4E79"/>
            <w:vAlign w:val="center"/>
          </w:tcPr>
          <w:p>
            <w:pPr>
              <w:spacing w:after="0" w:line="240" w:lineRule="auto"/>
            </w:pPr>
            <w:r>
              <w:rPr>
                <w:sz w:val="17"/>
              </w:rPr>
            </w:r>
            <w:r>
              <w:rPr>
                <w:b/>
                <w:color w:val="FFFFFF"/>
                <w:sz w:val="17"/>
              </w:rPr>
              <w:t>Role</w:t>
            </w:r>
          </w:p>
        </w:tc>
        <w:tc>
          <w:tcPr>
            <w:tcW w:type="dxa" w:w="3744"/>
            <w:shd w:fill="1F4E79"/>
            <w:vAlign w:val="center"/>
          </w:tcPr>
          <w:p>
            <w:pPr>
              <w:spacing w:after="0" w:line="240" w:lineRule="auto"/>
            </w:pPr>
            <w:r>
              <w:rPr>
                <w:sz w:val="17"/>
              </w:rPr>
            </w:r>
            <w:r>
              <w:rPr>
                <w:b/>
                <w:color w:val="FFFFFF"/>
                <w:sz w:val="17"/>
              </w:rPr>
              <w:t>Suggested Phase 1 Incentive</w:t>
            </w:r>
          </w:p>
        </w:tc>
        <w:tc>
          <w:tcPr>
            <w:tcW w:type="dxa" w:w="4320"/>
            <w:shd w:fill="1F4E79"/>
            <w:vAlign w:val="center"/>
          </w:tcPr>
          <w:p>
            <w:pPr>
              <w:spacing w:after="0" w:line="240" w:lineRule="auto"/>
            </w:pPr>
            <w:r>
              <w:rPr>
                <w:sz w:val="17"/>
              </w:rPr>
            </w:r>
            <w:r>
              <w:rPr>
                <w:b/>
                <w:color w:val="FFFFFF"/>
                <w:sz w:val="17"/>
              </w:rPr>
              <w:t>Eligibility</w:t>
            </w:r>
          </w:p>
        </w:tc>
      </w:tr>
      <w:tr>
        <w:tc>
          <w:tcPr>
            <w:tcW w:type="dxa" w:w="2448"/>
            <w:vAlign w:val="top"/>
          </w:tcPr>
          <w:p>
            <w:pPr>
              <w:spacing w:after="0" w:line="240" w:lineRule="auto"/>
            </w:pPr>
            <w:r>
              <w:rPr>
                <w:sz w:val="17"/>
              </w:rPr>
            </w:r>
            <w:r>
              <w:rPr>
                <w:b w:val="0"/>
                <w:sz w:val="17"/>
              </w:rPr>
              <w:t>Healthcare Recruiter</w:t>
            </w:r>
          </w:p>
        </w:tc>
        <w:tc>
          <w:tcPr>
            <w:tcW w:type="dxa" w:w="3744"/>
            <w:vAlign w:val="top"/>
          </w:tcPr>
          <w:p>
            <w:pPr>
              <w:spacing w:after="0" w:line="240" w:lineRule="auto"/>
            </w:pPr>
            <w:r>
              <w:rPr>
                <w:sz w:val="17"/>
              </w:rPr>
            </w:r>
            <w:r>
              <w:rPr>
                <w:b w:val="0"/>
                <w:sz w:val="17"/>
              </w:rPr>
              <w:t>₹5,000 for 3 qualified retained starts/month.</w:t>
            </w:r>
          </w:p>
        </w:tc>
        <w:tc>
          <w:tcPr>
            <w:tcW w:type="dxa" w:w="4320"/>
            <w:vAlign w:val="top"/>
          </w:tcPr>
          <w:p>
            <w:pPr>
              <w:spacing w:after="0" w:line="240" w:lineRule="auto"/>
            </w:pPr>
            <w:r>
              <w:rPr>
                <w:sz w:val="17"/>
              </w:rPr>
            </w:r>
            <w:r>
              <w:rPr>
                <w:b w:val="0"/>
                <w:sz w:val="17"/>
              </w:rPr>
              <w:t>Paid after retention period and profitability validation.</w:t>
            </w:r>
          </w:p>
        </w:tc>
      </w:tr>
      <w:tr>
        <w:tc>
          <w:tcPr>
            <w:tcW w:type="dxa" w:w="2448"/>
            <w:vAlign w:val="top"/>
          </w:tcPr>
          <w:p>
            <w:pPr>
              <w:spacing w:after="0" w:line="240" w:lineRule="auto"/>
            </w:pPr>
            <w:r>
              <w:rPr>
                <w:sz w:val="17"/>
              </w:rPr>
            </w:r>
            <w:r>
              <w:rPr>
                <w:b w:val="0"/>
                <w:sz w:val="17"/>
              </w:rPr>
              <w:t>Healthcare Sourcer/JR</w:t>
            </w:r>
          </w:p>
        </w:tc>
        <w:tc>
          <w:tcPr>
            <w:tcW w:type="dxa" w:w="3744"/>
            <w:vAlign w:val="top"/>
          </w:tcPr>
          <w:p>
            <w:pPr>
              <w:spacing w:after="0" w:line="240" w:lineRule="auto"/>
            </w:pPr>
            <w:r>
              <w:rPr>
                <w:sz w:val="17"/>
              </w:rPr>
            </w:r>
            <w:r>
              <w:rPr>
                <w:b w:val="0"/>
                <w:sz w:val="17"/>
              </w:rPr>
              <w:t>₹500 per sourced qualified retained start.</w:t>
            </w:r>
          </w:p>
        </w:tc>
        <w:tc>
          <w:tcPr>
            <w:tcW w:type="dxa" w:w="4320"/>
            <w:vAlign w:val="top"/>
          </w:tcPr>
          <w:p>
            <w:pPr>
              <w:spacing w:after="0" w:line="240" w:lineRule="auto"/>
            </w:pPr>
            <w:r>
              <w:rPr>
                <w:sz w:val="17"/>
              </w:rPr>
            </w:r>
            <w:r>
              <w:rPr>
                <w:b w:val="0"/>
                <w:sz w:val="17"/>
              </w:rPr>
              <w:t>Candidate must be documented as sourced by sourcer and complete retention period.</w:t>
            </w:r>
          </w:p>
        </w:tc>
      </w:tr>
      <w:tr>
        <w:tc>
          <w:tcPr>
            <w:tcW w:type="dxa" w:w="2448"/>
            <w:vAlign w:val="top"/>
          </w:tcPr>
          <w:p>
            <w:pPr>
              <w:spacing w:after="0" w:line="240" w:lineRule="auto"/>
            </w:pPr>
            <w:r>
              <w:rPr>
                <w:sz w:val="17"/>
              </w:rPr>
            </w:r>
            <w:r>
              <w:rPr>
                <w:b w:val="0"/>
                <w:sz w:val="17"/>
              </w:rPr>
              <w:t>IT Recruiter</w:t>
            </w:r>
          </w:p>
        </w:tc>
        <w:tc>
          <w:tcPr>
            <w:tcW w:type="dxa" w:w="3744"/>
            <w:vAlign w:val="top"/>
          </w:tcPr>
          <w:p>
            <w:pPr>
              <w:spacing w:after="0" w:line="240" w:lineRule="auto"/>
            </w:pPr>
            <w:r>
              <w:rPr>
                <w:sz w:val="17"/>
              </w:rPr>
            </w:r>
            <w:r>
              <w:rPr>
                <w:b w:val="0"/>
                <w:sz w:val="17"/>
              </w:rPr>
              <w:t>Flat or % incentive based on contract starts or permanent joins.</w:t>
            </w:r>
          </w:p>
        </w:tc>
        <w:tc>
          <w:tcPr>
            <w:tcW w:type="dxa" w:w="4320"/>
            <w:vAlign w:val="top"/>
          </w:tcPr>
          <w:p>
            <w:pPr>
              <w:spacing w:after="0" w:line="240" w:lineRule="auto"/>
            </w:pPr>
            <w:r>
              <w:rPr>
                <w:sz w:val="17"/>
              </w:rPr>
            </w:r>
            <w:r>
              <w:rPr>
                <w:b w:val="0"/>
                <w:sz w:val="17"/>
              </w:rPr>
              <w:t>Depends on IT model and profitability rule.</w:t>
            </w:r>
          </w:p>
        </w:tc>
      </w:tr>
      <w:tr>
        <w:tc>
          <w:tcPr>
            <w:tcW w:type="dxa" w:w="2448"/>
            <w:vAlign w:val="top"/>
          </w:tcPr>
          <w:p>
            <w:pPr>
              <w:spacing w:after="0" w:line="240" w:lineRule="auto"/>
            </w:pPr>
            <w:r>
              <w:rPr>
                <w:sz w:val="17"/>
              </w:rPr>
            </w:r>
            <w:r>
              <w:rPr>
                <w:b w:val="0"/>
                <w:sz w:val="17"/>
              </w:rPr>
              <w:t>IT Sourcer/JR</w:t>
            </w:r>
          </w:p>
        </w:tc>
        <w:tc>
          <w:tcPr>
            <w:tcW w:type="dxa" w:w="3744"/>
            <w:vAlign w:val="top"/>
          </w:tcPr>
          <w:p>
            <w:pPr>
              <w:spacing w:after="0" w:line="240" w:lineRule="auto"/>
            </w:pPr>
            <w:r>
              <w:rPr>
                <w:sz w:val="17"/>
              </w:rPr>
            </w:r>
            <w:r>
              <w:rPr>
                <w:b w:val="0"/>
                <w:sz w:val="17"/>
              </w:rPr>
              <w:t>₹500-₹1,000 per sourced retained/joined candidate.</w:t>
            </w:r>
          </w:p>
        </w:tc>
        <w:tc>
          <w:tcPr>
            <w:tcW w:type="dxa" w:w="4320"/>
            <w:vAlign w:val="top"/>
          </w:tcPr>
          <w:p>
            <w:pPr>
              <w:spacing w:after="0" w:line="240" w:lineRule="auto"/>
            </w:pPr>
            <w:r>
              <w:rPr>
                <w:sz w:val="17"/>
              </w:rPr>
            </w:r>
            <w:r>
              <w:rPr>
                <w:b w:val="0"/>
                <w:sz w:val="17"/>
              </w:rPr>
              <w:t>Higher amount for hard-to-fill technical niche roles if approved.</w:t>
            </w:r>
          </w:p>
        </w:tc>
      </w:tr>
    </w:tbl>
    <w:p>
      <w:pPr>
        <w:spacing w:after="80" w:line="259" w:lineRule="auto"/>
      </w:pPr>
    </w:p>
    <w:p>
      <w:pPr>
        <w:pStyle w:val="Heading1"/>
        <w:spacing w:after="80" w:line="259" w:lineRule="auto"/>
      </w:pPr>
      <w:r>
        <w:rPr>
          <w:color w:val="1F4E79"/>
        </w:rPr>
        <w:t>13. Manager Workflow</w:t>
      </w:r>
    </w:p>
    <w:p>
      <w:pPr>
        <w:spacing w:after="80" w:line="259" w:lineRule="auto"/>
        <w:ind w:left="360" w:hanging="360"/>
      </w:pPr>
      <w:r>
        <w:rPr>
          <w:sz w:val="19"/>
        </w:rPr>
        <w:t>1. Open employee profile and select department: Healthcare or IT.</w:t>
      </w:r>
    </w:p>
    <w:p>
      <w:pPr>
        <w:spacing w:after="80" w:line="259" w:lineRule="auto"/>
        <w:ind w:left="360" w:hanging="360"/>
      </w:pPr>
      <w:r>
        <w:rPr>
          <w:sz w:val="19"/>
        </w:rPr>
        <w:t>2. Select role level and responsibility level.</w:t>
      </w:r>
    </w:p>
    <w:p>
      <w:pPr>
        <w:spacing w:after="80" w:line="259" w:lineRule="auto"/>
        <w:ind w:left="360" w:hanging="360"/>
      </w:pPr>
      <w:r>
        <w:rPr>
          <w:sz w:val="19"/>
        </w:rPr>
        <w:t>3. Enter current salary and expected salary band if evaluating salary growth.</w:t>
      </w:r>
    </w:p>
    <w:p>
      <w:pPr>
        <w:spacing w:after="80" w:line="259" w:lineRule="auto"/>
        <w:ind w:left="360" w:hanging="360"/>
      </w:pPr>
      <w:r>
        <w:rPr>
          <w:sz w:val="19"/>
        </w:rPr>
        <w:t>4. Enter support resources: sourcers, juniors, MIS, tools, portals, and manager support.</w:t>
      </w:r>
    </w:p>
    <w:p>
      <w:pPr>
        <w:spacing w:after="80" w:line="259" w:lineRule="auto"/>
        <w:ind w:left="360" w:hanging="360"/>
      </w:pPr>
      <w:r>
        <w:rPr>
          <w:sz w:val="19"/>
        </w:rPr>
        <w:t>5. Enter client demand and role flow: active jobs, expected monthly openings, average fill difficulty.</w:t>
      </w:r>
    </w:p>
    <w:p>
      <w:pPr>
        <w:spacing w:after="80" w:line="259" w:lineRule="auto"/>
        <w:ind w:left="360" w:hanging="360"/>
      </w:pPr>
      <w:r>
        <w:rPr>
          <w:sz w:val="19"/>
        </w:rPr>
        <w:t>6. Enter or import placement economics into the calculator.</w:t>
      </w:r>
    </w:p>
    <w:p>
      <w:pPr>
        <w:spacing w:after="80" w:line="259" w:lineRule="auto"/>
        <w:ind w:left="360" w:hanging="360"/>
      </w:pPr>
      <w:r>
        <w:rPr>
          <w:sz w:val="19"/>
        </w:rPr>
        <w:t>7. Tool generates monthly and 90-day targets with quality and margin gates.</w:t>
      </w:r>
    </w:p>
    <w:p>
      <w:pPr>
        <w:spacing w:after="80" w:line="259" w:lineRule="auto"/>
        <w:ind w:left="360" w:hanging="360"/>
      </w:pPr>
      <w:r>
        <w:rPr>
          <w:sz w:val="19"/>
        </w:rPr>
        <w:t>8. Manager can adjust targets only with reason and approval log.</w:t>
      </w:r>
    </w:p>
    <w:p>
      <w:pPr>
        <w:spacing w:after="80" w:line="259" w:lineRule="auto"/>
        <w:ind w:left="360" w:hanging="360"/>
      </w:pPr>
      <w:r>
        <w:rPr>
          <w:sz w:val="19"/>
        </w:rPr>
        <w:t>9. Tool generates review plan, employee-facing letter, and manager dashboard.</w:t>
      </w:r>
    </w:p>
    <w:p>
      <w:pPr>
        <w:spacing w:after="80" w:line="259" w:lineRule="auto"/>
        <w:ind w:left="360" w:hanging="360"/>
      </w:pPr>
      <w:r>
        <w:rPr>
          <w:sz w:val="19"/>
        </w:rPr>
        <w:t>10. Weekly data updates feed progress and incentive eligibility.</w:t>
      </w:r>
    </w:p>
    <w:p>
      <w:pPr>
        <w:pStyle w:val="Heading1"/>
        <w:spacing w:after="80" w:line="259" w:lineRule="auto"/>
      </w:pPr>
      <w:r>
        <w:rPr>
          <w:color w:val="1F4E79"/>
        </w:rPr>
        <w:t>14. Output Documents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880"/>
            <w:shd w:fill="1F4E79"/>
            <w:vAlign w:val="center"/>
          </w:tcPr>
          <w:p>
            <w:pPr>
              <w:spacing w:after="0" w:line="240" w:lineRule="auto"/>
            </w:pPr>
            <w:r>
              <w:rPr>
                <w:sz w:val="17"/>
              </w:rPr>
            </w:r>
            <w:r>
              <w:rPr>
                <w:b/>
                <w:color w:val="FFFFFF"/>
                <w:sz w:val="17"/>
              </w:rPr>
              <w:t>Output</w:t>
            </w:r>
          </w:p>
        </w:tc>
        <w:tc>
          <w:tcPr>
            <w:tcW w:type="dxa" w:w="2880"/>
            <w:shd w:fill="1F4E79"/>
            <w:vAlign w:val="center"/>
          </w:tcPr>
          <w:p>
            <w:pPr>
              <w:spacing w:after="0" w:line="240" w:lineRule="auto"/>
            </w:pPr>
            <w:r>
              <w:rPr>
                <w:sz w:val="17"/>
              </w:rPr>
            </w:r>
            <w:r>
              <w:rPr>
                <w:b/>
                <w:color w:val="FFFFFF"/>
                <w:sz w:val="17"/>
              </w:rPr>
              <w:t>Audience</w:t>
            </w:r>
          </w:p>
        </w:tc>
        <w:tc>
          <w:tcPr>
            <w:tcW w:type="dxa" w:w="4608"/>
            <w:shd w:fill="1F4E79"/>
            <w:vAlign w:val="center"/>
          </w:tcPr>
          <w:p>
            <w:pPr>
              <w:spacing w:after="0" w:line="240" w:lineRule="auto"/>
            </w:pPr>
            <w:r>
              <w:rPr>
                <w:sz w:val="17"/>
              </w:rPr>
            </w:r>
            <w:r>
              <w:rPr>
                <w:b/>
                <w:color w:val="FFFFFF"/>
                <w:sz w:val="17"/>
              </w:rPr>
              <w:t>Purpose</w:t>
            </w:r>
          </w:p>
        </w:tc>
      </w:tr>
      <w:tr>
        <w:tc>
          <w:tcPr>
            <w:tcW w:type="dxa" w:w="2880"/>
            <w:vAlign w:val="top"/>
          </w:tcPr>
          <w:p>
            <w:pPr>
              <w:spacing w:after="0" w:line="240" w:lineRule="auto"/>
            </w:pPr>
            <w:r>
              <w:rPr>
                <w:sz w:val="17"/>
              </w:rPr>
            </w:r>
            <w:r>
              <w:rPr>
                <w:b w:val="0"/>
                <w:sz w:val="17"/>
              </w:rPr>
              <w:t>Employee Target Plan</w:t>
            </w:r>
          </w:p>
        </w:tc>
        <w:tc>
          <w:tcPr>
            <w:tcW w:type="dxa" w:w="2880"/>
            <w:vAlign w:val="top"/>
          </w:tcPr>
          <w:p>
            <w:pPr>
              <w:spacing w:after="0" w:line="240" w:lineRule="auto"/>
            </w:pPr>
            <w:r>
              <w:rPr>
                <w:sz w:val="17"/>
              </w:rPr>
            </w:r>
            <w:r>
              <w:rPr>
                <w:b w:val="0"/>
                <w:sz w:val="17"/>
              </w:rPr>
              <w:t>Employee + Manager</w:t>
            </w:r>
          </w:p>
        </w:tc>
        <w:tc>
          <w:tcPr>
            <w:tcW w:type="dxa" w:w="4608"/>
            <w:vAlign w:val="top"/>
          </w:tcPr>
          <w:p>
            <w:pPr>
              <w:spacing w:after="0" w:line="240" w:lineRule="auto"/>
            </w:pPr>
            <w:r>
              <w:rPr>
                <w:sz w:val="17"/>
              </w:rPr>
            </w:r>
            <w:r>
              <w:rPr>
                <w:b w:val="0"/>
                <w:sz w:val="17"/>
              </w:rPr>
              <w:t>Clarifies targets, quality expectations, review period, and payout conditions.</w:t>
            </w:r>
          </w:p>
        </w:tc>
      </w:tr>
      <w:tr>
        <w:tc>
          <w:tcPr>
            <w:tcW w:type="dxa" w:w="2880"/>
            <w:vAlign w:val="top"/>
          </w:tcPr>
          <w:p>
            <w:pPr>
              <w:spacing w:after="0" w:line="240" w:lineRule="auto"/>
            </w:pPr>
            <w:r>
              <w:rPr>
                <w:sz w:val="17"/>
              </w:rPr>
            </w:r>
            <w:r>
              <w:rPr>
                <w:b w:val="0"/>
                <w:sz w:val="17"/>
              </w:rPr>
              <w:t>Manager Decision Sheet</w:t>
            </w:r>
          </w:p>
        </w:tc>
        <w:tc>
          <w:tcPr>
            <w:tcW w:type="dxa" w:w="2880"/>
            <w:vAlign w:val="top"/>
          </w:tcPr>
          <w:p>
            <w:pPr>
              <w:spacing w:after="0" w:line="240" w:lineRule="auto"/>
            </w:pPr>
            <w:r>
              <w:rPr>
                <w:sz w:val="17"/>
              </w:rPr>
            </w:r>
            <w:r>
              <w:rPr>
                <w:b w:val="0"/>
                <w:sz w:val="17"/>
              </w:rPr>
              <w:t>Manager + CEO/Ops/Finance</w:t>
            </w:r>
          </w:p>
        </w:tc>
        <w:tc>
          <w:tcPr>
            <w:tcW w:type="dxa" w:w="4608"/>
            <w:vAlign w:val="top"/>
          </w:tcPr>
          <w:p>
            <w:pPr>
              <w:spacing w:after="0" w:line="240" w:lineRule="auto"/>
            </w:pPr>
            <w:r>
              <w:rPr>
                <w:sz w:val="17"/>
              </w:rPr>
            </w:r>
            <w:r>
              <w:rPr>
                <w:b w:val="0"/>
                <w:sz w:val="17"/>
              </w:rPr>
              <w:t>Shows calculation assumptions and why target was assigned.</w:t>
            </w:r>
          </w:p>
        </w:tc>
      </w:tr>
      <w:tr>
        <w:tc>
          <w:tcPr>
            <w:tcW w:type="dxa" w:w="2880"/>
            <w:vAlign w:val="top"/>
          </w:tcPr>
          <w:p>
            <w:pPr>
              <w:spacing w:after="0" w:line="240" w:lineRule="auto"/>
            </w:pPr>
            <w:r>
              <w:rPr>
                <w:sz w:val="17"/>
              </w:rPr>
            </w:r>
            <w:r>
              <w:rPr>
                <w:b w:val="0"/>
                <w:sz w:val="17"/>
              </w:rPr>
              <w:t>Compensation Addendum</w:t>
            </w:r>
          </w:p>
        </w:tc>
        <w:tc>
          <w:tcPr>
            <w:tcW w:type="dxa" w:w="2880"/>
            <w:vAlign w:val="top"/>
          </w:tcPr>
          <w:p>
            <w:pPr>
              <w:spacing w:after="0" w:line="240" w:lineRule="auto"/>
            </w:pPr>
            <w:r>
              <w:rPr>
                <w:sz w:val="17"/>
              </w:rPr>
            </w:r>
            <w:r>
              <w:rPr>
                <w:b w:val="0"/>
                <w:sz w:val="17"/>
              </w:rPr>
              <w:t>Employee + HR</w:t>
            </w:r>
          </w:p>
        </w:tc>
        <w:tc>
          <w:tcPr>
            <w:tcW w:type="dxa" w:w="4608"/>
            <w:vAlign w:val="top"/>
          </w:tcPr>
          <w:p>
            <w:pPr>
              <w:spacing w:after="0" w:line="240" w:lineRule="auto"/>
            </w:pPr>
            <w:r>
              <w:rPr>
                <w:sz w:val="17"/>
              </w:rPr>
            </w:r>
            <w:r>
              <w:rPr>
                <w:b w:val="0"/>
                <w:sz w:val="17"/>
              </w:rPr>
              <w:t>Documents salary and review terms.</w:t>
            </w:r>
          </w:p>
        </w:tc>
      </w:tr>
      <w:tr>
        <w:tc>
          <w:tcPr>
            <w:tcW w:type="dxa" w:w="2880"/>
            <w:vAlign w:val="top"/>
          </w:tcPr>
          <w:p>
            <w:pPr>
              <w:spacing w:after="0" w:line="240" w:lineRule="auto"/>
            </w:pPr>
            <w:r>
              <w:rPr>
                <w:sz w:val="17"/>
              </w:rPr>
            </w:r>
            <w:r>
              <w:rPr>
                <w:b w:val="0"/>
                <w:sz w:val="17"/>
              </w:rPr>
              <w:t>Weekly Scorecard</w:t>
            </w:r>
          </w:p>
        </w:tc>
        <w:tc>
          <w:tcPr>
            <w:tcW w:type="dxa" w:w="2880"/>
            <w:vAlign w:val="top"/>
          </w:tcPr>
          <w:p>
            <w:pPr>
              <w:spacing w:after="0" w:line="240" w:lineRule="auto"/>
            </w:pPr>
            <w:r>
              <w:rPr>
                <w:sz w:val="17"/>
              </w:rPr>
            </w:r>
            <w:r>
              <w:rPr>
                <w:b w:val="0"/>
                <w:sz w:val="17"/>
              </w:rPr>
              <w:t>Employee + Manager</w:t>
            </w:r>
          </w:p>
        </w:tc>
        <w:tc>
          <w:tcPr>
            <w:tcW w:type="dxa" w:w="4608"/>
            <w:vAlign w:val="top"/>
          </w:tcPr>
          <w:p>
            <w:pPr>
              <w:spacing w:after="0" w:line="240" w:lineRule="auto"/>
            </w:pPr>
            <w:r>
              <w:rPr>
                <w:sz w:val="17"/>
              </w:rPr>
            </w:r>
            <w:r>
              <w:rPr>
                <w:b w:val="0"/>
                <w:sz w:val="17"/>
              </w:rPr>
              <w:t>Tracks progress without relying on memory.</w:t>
            </w:r>
          </w:p>
        </w:tc>
      </w:tr>
      <w:tr>
        <w:tc>
          <w:tcPr>
            <w:tcW w:type="dxa" w:w="2880"/>
            <w:vAlign w:val="top"/>
          </w:tcPr>
          <w:p>
            <w:pPr>
              <w:spacing w:after="0" w:line="240" w:lineRule="auto"/>
            </w:pPr>
            <w:r>
              <w:rPr>
                <w:sz w:val="17"/>
              </w:rPr>
            </w:r>
            <w:r>
              <w:rPr>
                <w:b w:val="0"/>
                <w:sz w:val="17"/>
              </w:rPr>
              <w:t>Incentive Eligibility Report</w:t>
            </w:r>
          </w:p>
        </w:tc>
        <w:tc>
          <w:tcPr>
            <w:tcW w:type="dxa" w:w="2880"/>
            <w:vAlign w:val="top"/>
          </w:tcPr>
          <w:p>
            <w:pPr>
              <w:spacing w:after="0" w:line="240" w:lineRule="auto"/>
            </w:pPr>
            <w:r>
              <w:rPr>
                <w:sz w:val="17"/>
              </w:rPr>
            </w:r>
            <w:r>
              <w:rPr>
                <w:b w:val="0"/>
                <w:sz w:val="17"/>
              </w:rPr>
              <w:t>Finance + HR/Ops</w:t>
            </w:r>
          </w:p>
        </w:tc>
        <w:tc>
          <w:tcPr>
            <w:tcW w:type="dxa" w:w="4608"/>
            <w:vAlign w:val="top"/>
          </w:tcPr>
          <w:p>
            <w:pPr>
              <w:spacing w:after="0" w:line="240" w:lineRule="auto"/>
            </w:pPr>
            <w:r>
              <w:rPr>
                <w:sz w:val="17"/>
              </w:rPr>
            </w:r>
            <w:r>
              <w:rPr>
                <w:b w:val="0"/>
                <w:sz w:val="17"/>
              </w:rPr>
              <w:t>Lists candidates, retention date, margin pass/fail, and payout eligibility.</w:t>
            </w:r>
          </w:p>
        </w:tc>
      </w:tr>
      <w:tr>
        <w:tc>
          <w:tcPr>
            <w:tcW w:type="dxa" w:w="2880"/>
            <w:vAlign w:val="top"/>
          </w:tcPr>
          <w:p>
            <w:pPr>
              <w:spacing w:after="0" w:line="240" w:lineRule="auto"/>
            </w:pPr>
            <w:r>
              <w:rPr>
                <w:sz w:val="17"/>
              </w:rPr>
            </w:r>
            <w:r>
              <w:rPr>
                <w:b w:val="0"/>
                <w:sz w:val="17"/>
              </w:rPr>
              <w:t>Exception Approval Log</w:t>
            </w:r>
          </w:p>
        </w:tc>
        <w:tc>
          <w:tcPr>
            <w:tcW w:type="dxa" w:w="2880"/>
            <w:vAlign w:val="top"/>
          </w:tcPr>
          <w:p>
            <w:pPr>
              <w:spacing w:after="0" w:line="240" w:lineRule="auto"/>
            </w:pPr>
            <w:r>
              <w:rPr>
                <w:sz w:val="17"/>
              </w:rPr>
            </w:r>
            <w:r>
              <w:rPr>
                <w:b w:val="0"/>
                <w:sz w:val="17"/>
              </w:rPr>
              <w:t>CEO/Ops/Finance</w:t>
            </w:r>
          </w:p>
        </w:tc>
        <w:tc>
          <w:tcPr>
            <w:tcW w:type="dxa" w:w="4608"/>
            <w:vAlign w:val="top"/>
          </w:tcPr>
          <w:p>
            <w:pPr>
              <w:spacing w:after="0" w:line="240" w:lineRule="auto"/>
            </w:pPr>
            <w:r>
              <w:rPr>
                <w:sz w:val="17"/>
              </w:rPr>
            </w:r>
            <w:r>
              <w:rPr>
                <w:b w:val="0"/>
                <w:sz w:val="17"/>
              </w:rPr>
              <w:t>Records strategic exceptions or target overrides.</w:t>
            </w:r>
          </w:p>
        </w:tc>
      </w:tr>
    </w:tbl>
    <w:p>
      <w:pPr>
        <w:spacing w:after="80" w:line="259" w:lineRule="auto"/>
      </w:pPr>
    </w:p>
    <w:p>
      <w:pPr>
        <w:pStyle w:val="Heading1"/>
        <w:spacing w:after="80" w:line="259" w:lineRule="auto"/>
      </w:pPr>
      <w:r>
        <w:rPr>
          <w:color w:val="1F4E79"/>
        </w:rPr>
        <w:t>15. Scorecard Design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160"/>
            <w:shd w:fill="1F4E79"/>
            <w:vAlign w:val="center"/>
          </w:tcPr>
          <w:p>
            <w:pPr>
              <w:spacing w:after="0" w:line="240" w:lineRule="auto"/>
            </w:pPr>
            <w:r>
              <w:rPr>
                <w:sz w:val="17"/>
              </w:rPr>
            </w:r>
            <w:r>
              <w:rPr>
                <w:b/>
                <w:color w:val="FFFFFF"/>
                <w:sz w:val="17"/>
              </w:rPr>
              <w:t>Metric</w:t>
            </w:r>
          </w:p>
        </w:tc>
        <w:tc>
          <w:tcPr>
            <w:tcW w:type="dxa" w:w="4176"/>
            <w:shd w:fill="1F4E79"/>
            <w:vAlign w:val="center"/>
          </w:tcPr>
          <w:p>
            <w:pPr>
              <w:spacing w:after="0" w:line="240" w:lineRule="auto"/>
            </w:pPr>
            <w:r>
              <w:rPr>
                <w:sz w:val="17"/>
              </w:rPr>
            </w:r>
            <w:r>
              <w:rPr>
                <w:b/>
                <w:color w:val="FFFFFF"/>
                <w:sz w:val="17"/>
              </w:rPr>
              <w:t>Healthcare</w:t>
            </w:r>
          </w:p>
        </w:tc>
        <w:tc>
          <w:tcPr>
            <w:tcW w:type="dxa" w:w="4176"/>
            <w:shd w:fill="1F4E79"/>
            <w:vAlign w:val="center"/>
          </w:tcPr>
          <w:p>
            <w:pPr>
              <w:spacing w:after="0" w:line="240" w:lineRule="auto"/>
            </w:pPr>
            <w:r>
              <w:rPr>
                <w:sz w:val="17"/>
              </w:rPr>
            </w:r>
            <w:r>
              <w:rPr>
                <w:b/>
                <w:color w:val="FFFFFF"/>
                <w:sz w:val="17"/>
              </w:rPr>
              <w:t>IT</w:t>
            </w:r>
          </w:p>
        </w:tc>
      </w:tr>
      <w:tr>
        <w:tc>
          <w:tcPr>
            <w:tcW w:type="dxa" w:w="2160"/>
            <w:vAlign w:val="top"/>
          </w:tcPr>
          <w:p>
            <w:pPr>
              <w:spacing w:after="0" w:line="240" w:lineRule="auto"/>
            </w:pPr>
            <w:r>
              <w:rPr>
                <w:sz w:val="17"/>
              </w:rPr>
            </w:r>
            <w:r>
              <w:rPr>
                <w:b w:val="0"/>
                <w:sz w:val="17"/>
              </w:rPr>
              <w:t>Primary outcome</w:t>
            </w:r>
          </w:p>
        </w:tc>
        <w:tc>
          <w:tcPr>
            <w:tcW w:type="dxa" w:w="4176"/>
            <w:vAlign w:val="top"/>
          </w:tcPr>
          <w:p>
            <w:pPr>
              <w:spacing w:after="0" w:line="240" w:lineRule="auto"/>
            </w:pPr>
            <w:r>
              <w:rPr>
                <w:sz w:val="17"/>
              </w:rPr>
            </w:r>
            <w:r>
              <w:rPr>
                <w:b w:val="0"/>
                <w:sz w:val="17"/>
              </w:rPr>
              <w:t>Qualified retained starts.</w:t>
            </w:r>
          </w:p>
        </w:tc>
        <w:tc>
          <w:tcPr>
            <w:tcW w:type="dxa" w:w="4176"/>
            <w:vAlign w:val="top"/>
          </w:tcPr>
          <w:p>
            <w:pPr>
              <w:spacing w:after="0" w:line="240" w:lineRule="auto"/>
            </w:pPr>
            <w:r>
              <w:rPr>
                <w:sz w:val="17"/>
              </w:rPr>
            </w:r>
            <w:r>
              <w:rPr>
                <w:b w:val="0"/>
                <w:sz w:val="17"/>
              </w:rPr>
              <w:t>Contract retained starts or permanent joined placements.</w:t>
            </w:r>
          </w:p>
        </w:tc>
      </w:tr>
      <w:tr>
        <w:tc>
          <w:tcPr>
            <w:tcW w:type="dxa" w:w="2160"/>
            <w:vAlign w:val="top"/>
          </w:tcPr>
          <w:p>
            <w:pPr>
              <w:spacing w:after="0" w:line="240" w:lineRule="auto"/>
            </w:pPr>
            <w:r>
              <w:rPr>
                <w:sz w:val="17"/>
              </w:rPr>
            </w:r>
            <w:r>
              <w:rPr>
                <w:b w:val="0"/>
                <w:sz w:val="17"/>
              </w:rPr>
              <w:t>Quality outcome</w:t>
            </w:r>
          </w:p>
        </w:tc>
        <w:tc>
          <w:tcPr>
            <w:tcW w:type="dxa" w:w="4176"/>
            <w:vAlign w:val="top"/>
          </w:tcPr>
          <w:p>
            <w:pPr>
              <w:spacing w:after="0" w:line="240" w:lineRule="auto"/>
            </w:pPr>
            <w:r>
              <w:rPr>
                <w:sz w:val="17"/>
              </w:rPr>
            </w:r>
            <w:r>
              <w:rPr>
                <w:b w:val="0"/>
                <w:sz w:val="17"/>
              </w:rPr>
              <w:t>Candidate remains active/billing; no avoidable falloff.</w:t>
            </w:r>
          </w:p>
        </w:tc>
        <w:tc>
          <w:tcPr>
            <w:tcW w:type="dxa" w:w="4176"/>
            <w:vAlign w:val="top"/>
          </w:tcPr>
          <w:p>
            <w:pPr>
              <w:spacing w:after="0" w:line="240" w:lineRule="auto"/>
            </w:pPr>
            <w:r>
              <w:rPr>
                <w:sz w:val="17"/>
              </w:rPr>
            </w:r>
            <w:r>
              <w:rPr>
                <w:b w:val="0"/>
                <w:sz w:val="17"/>
              </w:rPr>
              <w:t>Candidate passes client process and stays beyond retention/replacement period.</w:t>
            </w:r>
          </w:p>
        </w:tc>
      </w:tr>
      <w:tr>
        <w:tc>
          <w:tcPr>
            <w:tcW w:type="dxa" w:w="2160"/>
            <w:vAlign w:val="top"/>
          </w:tcPr>
          <w:p>
            <w:pPr>
              <w:spacing w:after="0" w:line="240" w:lineRule="auto"/>
            </w:pPr>
            <w:r>
              <w:rPr>
                <w:sz w:val="17"/>
              </w:rPr>
            </w:r>
            <w:r>
              <w:rPr>
                <w:b w:val="0"/>
                <w:sz w:val="17"/>
              </w:rPr>
              <w:t>Profitability</w:t>
            </w:r>
          </w:p>
        </w:tc>
        <w:tc>
          <w:tcPr>
            <w:tcW w:type="dxa" w:w="4176"/>
            <w:vAlign w:val="top"/>
          </w:tcPr>
          <w:p>
            <w:pPr>
              <w:spacing w:after="0" w:line="240" w:lineRule="auto"/>
            </w:pPr>
            <w:r>
              <w:rPr>
                <w:sz w:val="17"/>
              </w:rPr>
            </w:r>
            <w:r>
              <w:rPr>
                <w:b w:val="0"/>
                <w:sz w:val="17"/>
              </w:rPr>
              <w:t>Fully loaded contribution threshold.</w:t>
            </w:r>
          </w:p>
        </w:tc>
        <w:tc>
          <w:tcPr>
            <w:tcW w:type="dxa" w:w="4176"/>
            <w:vAlign w:val="top"/>
          </w:tcPr>
          <w:p>
            <w:pPr>
              <w:spacing w:after="0" w:line="240" w:lineRule="auto"/>
            </w:pPr>
            <w:r>
              <w:rPr>
                <w:sz w:val="17"/>
              </w:rPr>
            </w:r>
            <w:r>
              <w:rPr>
                <w:b w:val="0"/>
                <w:sz w:val="17"/>
              </w:rPr>
              <w:t>Contract margin or net placement fee contribution.</w:t>
            </w:r>
          </w:p>
        </w:tc>
      </w:tr>
      <w:tr>
        <w:tc>
          <w:tcPr>
            <w:tcW w:type="dxa" w:w="2160"/>
            <w:vAlign w:val="top"/>
          </w:tcPr>
          <w:p>
            <w:pPr>
              <w:spacing w:after="0" w:line="240" w:lineRule="auto"/>
            </w:pPr>
            <w:r>
              <w:rPr>
                <w:sz w:val="17"/>
              </w:rPr>
            </w:r>
            <w:r>
              <w:rPr>
                <w:b w:val="0"/>
                <w:sz w:val="17"/>
              </w:rPr>
              <w:t>Activity support</w:t>
            </w:r>
          </w:p>
        </w:tc>
        <w:tc>
          <w:tcPr>
            <w:tcW w:type="dxa" w:w="4176"/>
            <w:vAlign w:val="top"/>
          </w:tcPr>
          <w:p>
            <w:pPr>
              <w:spacing w:after="0" w:line="240" w:lineRule="auto"/>
            </w:pPr>
            <w:r>
              <w:rPr>
                <w:sz w:val="17"/>
              </w:rPr>
            </w:r>
            <w:r>
              <w:rPr>
                <w:b w:val="0"/>
                <w:sz w:val="17"/>
              </w:rPr>
              <w:t>Quality submissions, interviews/client movement.</w:t>
            </w:r>
          </w:p>
        </w:tc>
        <w:tc>
          <w:tcPr>
            <w:tcW w:type="dxa" w:w="4176"/>
            <w:vAlign w:val="top"/>
          </w:tcPr>
          <w:p>
            <w:pPr>
              <w:spacing w:after="0" w:line="240" w:lineRule="auto"/>
            </w:pPr>
            <w:r>
              <w:rPr>
                <w:sz w:val="17"/>
              </w:rPr>
            </w:r>
            <w:r>
              <w:rPr>
                <w:b w:val="0"/>
                <w:sz w:val="17"/>
              </w:rPr>
              <w:t>Quality submissions, interviews, offers, starts/joins.</w:t>
            </w:r>
          </w:p>
        </w:tc>
      </w:tr>
      <w:tr>
        <w:tc>
          <w:tcPr>
            <w:tcW w:type="dxa" w:w="2160"/>
            <w:vAlign w:val="top"/>
          </w:tcPr>
          <w:p>
            <w:pPr>
              <w:spacing w:after="0" w:line="240" w:lineRule="auto"/>
            </w:pPr>
            <w:r>
              <w:rPr>
                <w:sz w:val="17"/>
              </w:rPr>
            </w:r>
            <w:r>
              <w:rPr>
                <w:b w:val="0"/>
                <w:sz w:val="17"/>
              </w:rPr>
              <w:t>Documentation</w:t>
            </w:r>
          </w:p>
        </w:tc>
        <w:tc>
          <w:tcPr>
            <w:tcW w:type="dxa" w:w="4176"/>
            <w:vAlign w:val="top"/>
          </w:tcPr>
          <w:p>
            <w:pPr>
              <w:spacing w:after="0" w:line="240" w:lineRule="auto"/>
            </w:pPr>
            <w:r>
              <w:rPr>
                <w:sz w:val="17"/>
              </w:rPr>
            </w:r>
            <w:r>
              <w:rPr>
                <w:b w:val="0"/>
                <w:sz w:val="17"/>
              </w:rPr>
              <w:t>RTR, submission, notes, owner, follow-up.</w:t>
            </w:r>
          </w:p>
        </w:tc>
        <w:tc>
          <w:tcPr>
            <w:tcW w:type="dxa" w:w="4176"/>
            <w:vAlign w:val="top"/>
          </w:tcPr>
          <w:p>
            <w:pPr>
              <w:spacing w:after="0" w:line="240" w:lineRule="auto"/>
            </w:pPr>
            <w:r>
              <w:rPr>
                <w:sz w:val="17"/>
              </w:rPr>
            </w:r>
            <w:r>
              <w:rPr>
                <w:b w:val="0"/>
                <w:sz w:val="17"/>
              </w:rPr>
              <w:t>Skill notes, source, submission, interview/offer status.</w:t>
            </w:r>
          </w:p>
        </w:tc>
      </w:tr>
      <w:tr>
        <w:tc>
          <w:tcPr>
            <w:tcW w:type="dxa" w:w="2160"/>
            <w:vAlign w:val="top"/>
          </w:tcPr>
          <w:p>
            <w:pPr>
              <w:spacing w:after="0" w:line="240" w:lineRule="auto"/>
            </w:pPr>
            <w:r>
              <w:rPr>
                <w:sz w:val="17"/>
              </w:rPr>
            </w:r>
            <w:r>
              <w:rPr>
                <w:b w:val="0"/>
                <w:sz w:val="17"/>
              </w:rPr>
              <w:t>Ownership</w:t>
            </w:r>
          </w:p>
        </w:tc>
        <w:tc>
          <w:tcPr>
            <w:tcW w:type="dxa" w:w="4176"/>
            <w:vAlign w:val="top"/>
          </w:tcPr>
          <w:p>
            <w:pPr>
              <w:spacing w:after="0" w:line="240" w:lineRule="auto"/>
            </w:pPr>
            <w:r>
              <w:rPr>
                <w:sz w:val="17"/>
              </w:rPr>
            </w:r>
            <w:r>
              <w:rPr>
                <w:b w:val="0"/>
                <w:sz w:val="17"/>
              </w:rPr>
              <w:t>Sourcer direction, client priorities, candidate follow-up.</w:t>
            </w:r>
          </w:p>
        </w:tc>
        <w:tc>
          <w:tcPr>
            <w:tcW w:type="dxa" w:w="4176"/>
            <w:vAlign w:val="top"/>
          </w:tcPr>
          <w:p>
            <w:pPr>
              <w:spacing w:after="0" w:line="240" w:lineRule="auto"/>
            </w:pPr>
            <w:r>
              <w:rPr>
                <w:sz w:val="17"/>
              </w:rPr>
            </w:r>
            <w:r>
              <w:rPr>
                <w:b w:val="0"/>
                <w:sz w:val="17"/>
              </w:rPr>
              <w:t>Technical fit, interview coordination, offer close, client communication.</w:t>
            </w:r>
          </w:p>
        </w:tc>
      </w:tr>
      <w:tr>
        <w:tc>
          <w:tcPr>
            <w:tcW w:type="dxa" w:w="2160"/>
            <w:vAlign w:val="top"/>
          </w:tcPr>
          <w:p>
            <w:pPr>
              <w:spacing w:after="0" w:line="240" w:lineRule="auto"/>
            </w:pPr>
            <w:r>
              <w:rPr>
                <w:sz w:val="17"/>
              </w:rPr>
            </w:r>
            <w:r>
              <w:rPr>
                <w:b w:val="0"/>
                <w:sz w:val="17"/>
              </w:rPr>
              <w:t>Trust/conduct</w:t>
            </w:r>
          </w:p>
        </w:tc>
        <w:tc>
          <w:tcPr>
            <w:tcW w:type="dxa" w:w="4176"/>
            <w:vAlign w:val="top"/>
          </w:tcPr>
          <w:p>
            <w:pPr>
              <w:spacing w:after="0" w:line="240" w:lineRule="auto"/>
            </w:pPr>
            <w:r>
              <w:rPr>
                <w:sz w:val="17"/>
              </w:rPr>
            </w:r>
            <w:r>
              <w:rPr>
                <w:b w:val="0"/>
                <w:sz w:val="17"/>
              </w:rPr>
              <w:t>Confidentiality, margin data protection, no external sharing.</w:t>
            </w:r>
          </w:p>
        </w:tc>
        <w:tc>
          <w:tcPr>
            <w:tcW w:type="dxa" w:w="4176"/>
            <w:vAlign w:val="top"/>
          </w:tcPr>
          <w:p>
            <w:pPr>
              <w:spacing w:after="0" w:line="240" w:lineRule="auto"/>
            </w:pPr>
            <w:r>
              <w:rPr>
                <w:sz w:val="17"/>
              </w:rPr>
            </w:r>
            <w:r>
              <w:rPr>
                <w:b w:val="0"/>
                <w:sz w:val="17"/>
              </w:rPr>
              <w:t>Same confidentiality and data protection expectations.</w:t>
            </w:r>
          </w:p>
        </w:tc>
      </w:tr>
    </w:tbl>
    <w:p>
      <w:pPr>
        <w:spacing w:after="80" w:line="259" w:lineRule="auto"/>
      </w:pPr>
    </w:p>
    <w:p>
      <w:pPr>
        <w:pStyle w:val="Heading1"/>
        <w:spacing w:after="80" w:line="259" w:lineRule="auto"/>
      </w:pPr>
      <w:r>
        <w:rPr>
          <w:color w:val="1F4E79"/>
        </w:rPr>
        <w:t>16. Data Schema - Recommended Tables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Table</w:t>
            </w:r>
          </w:p>
        </w:tc>
        <w:tc>
          <w:tcPr>
            <w:tcW w:type="dxa" w:w="4608"/>
            <w:shd w:fill="1F4E79"/>
            <w:vAlign w:val="center"/>
          </w:tcPr>
          <w:p>
            <w:pPr>
              <w:spacing w:after="0" w:line="240" w:lineRule="auto"/>
            </w:pPr>
            <w:r>
              <w:rPr>
                <w:sz w:val="17"/>
              </w:rPr>
            </w:r>
            <w:r>
              <w:rPr>
                <w:b/>
                <w:color w:val="FFFFFF"/>
                <w:sz w:val="17"/>
              </w:rPr>
              <w:t>Key Fields</w:t>
            </w:r>
          </w:p>
        </w:tc>
        <w:tc>
          <w:tcPr>
            <w:tcW w:type="dxa" w:w="3312"/>
            <w:shd w:fill="1F4E79"/>
            <w:vAlign w:val="center"/>
          </w:tcPr>
          <w:p>
            <w:pPr>
              <w:spacing w:after="0" w:line="240" w:lineRule="auto"/>
            </w:pPr>
            <w:r>
              <w:rPr>
                <w:sz w:val="17"/>
              </w:rPr>
            </w:r>
            <w:r>
              <w:rPr>
                <w:b/>
                <w:color w:val="FFFFFF"/>
                <w:sz w:val="17"/>
              </w:rPr>
              <w:t>Purpose</w:t>
            </w:r>
          </w:p>
        </w:tc>
      </w:tr>
      <w:tr>
        <w:tc>
          <w:tcPr>
            <w:tcW w:type="dxa" w:w="2592"/>
            <w:vAlign w:val="top"/>
          </w:tcPr>
          <w:p>
            <w:pPr>
              <w:spacing w:after="0" w:line="240" w:lineRule="auto"/>
            </w:pPr>
            <w:r>
              <w:rPr>
                <w:sz w:val="17"/>
              </w:rPr>
            </w:r>
            <w:r>
              <w:rPr>
                <w:b w:val="0"/>
                <w:sz w:val="17"/>
              </w:rPr>
              <w:t>employees</w:t>
            </w:r>
          </w:p>
        </w:tc>
        <w:tc>
          <w:tcPr>
            <w:tcW w:type="dxa" w:w="4608"/>
            <w:vAlign w:val="top"/>
          </w:tcPr>
          <w:p>
            <w:pPr>
              <w:spacing w:after="0" w:line="240" w:lineRule="auto"/>
            </w:pPr>
            <w:r>
              <w:rPr>
                <w:sz w:val="17"/>
              </w:rPr>
            </w:r>
            <w:r>
              <w:rPr>
                <w:b w:val="0"/>
                <w:sz w:val="17"/>
              </w:rPr>
              <w:t>employee_id, name, role_level, department, salary, manager_id, status</w:t>
            </w:r>
          </w:p>
        </w:tc>
        <w:tc>
          <w:tcPr>
            <w:tcW w:type="dxa" w:w="3312"/>
            <w:vAlign w:val="top"/>
          </w:tcPr>
          <w:p>
            <w:pPr>
              <w:spacing w:after="0" w:line="240" w:lineRule="auto"/>
            </w:pPr>
            <w:r>
              <w:rPr>
                <w:sz w:val="17"/>
              </w:rPr>
            </w:r>
            <w:r>
              <w:rPr>
                <w:b w:val="0"/>
                <w:sz w:val="17"/>
              </w:rPr>
              <w:t>Profile and target generation.</w:t>
            </w:r>
          </w:p>
        </w:tc>
      </w:tr>
      <w:tr>
        <w:tc>
          <w:tcPr>
            <w:tcW w:type="dxa" w:w="2592"/>
            <w:vAlign w:val="top"/>
          </w:tcPr>
          <w:p>
            <w:pPr>
              <w:spacing w:after="0" w:line="240" w:lineRule="auto"/>
            </w:pPr>
            <w:r>
              <w:rPr>
                <w:sz w:val="17"/>
              </w:rPr>
            </w:r>
            <w:r>
              <w:rPr>
                <w:b w:val="0"/>
                <w:sz w:val="17"/>
              </w:rPr>
              <w:t>role_levels</w:t>
            </w:r>
          </w:p>
        </w:tc>
        <w:tc>
          <w:tcPr>
            <w:tcW w:type="dxa" w:w="4608"/>
            <w:vAlign w:val="top"/>
          </w:tcPr>
          <w:p>
            <w:pPr>
              <w:spacing w:after="0" w:line="240" w:lineRule="auto"/>
            </w:pPr>
            <w:r>
              <w:rPr>
                <w:sz w:val="17"/>
              </w:rPr>
            </w:r>
            <w:r>
              <w:rPr>
                <w:b w:val="0"/>
                <w:sz w:val="17"/>
              </w:rPr>
              <w:t>role_level, dept, base_target, salary_multiplier, support_adjustment</w:t>
            </w:r>
          </w:p>
        </w:tc>
        <w:tc>
          <w:tcPr>
            <w:tcW w:type="dxa" w:w="3312"/>
            <w:vAlign w:val="top"/>
          </w:tcPr>
          <w:p>
            <w:pPr>
              <w:spacing w:after="0" w:line="240" w:lineRule="auto"/>
            </w:pPr>
            <w:r>
              <w:rPr>
                <w:sz w:val="17"/>
              </w:rPr>
            </w:r>
            <w:r>
              <w:rPr>
                <w:b w:val="0"/>
                <w:sz w:val="17"/>
              </w:rPr>
              <w:t>Role-based rules.</w:t>
            </w:r>
          </w:p>
        </w:tc>
      </w:tr>
      <w:tr>
        <w:tc>
          <w:tcPr>
            <w:tcW w:type="dxa" w:w="2592"/>
            <w:vAlign w:val="top"/>
          </w:tcPr>
          <w:p>
            <w:pPr>
              <w:spacing w:after="0" w:line="240" w:lineRule="auto"/>
            </w:pPr>
            <w:r>
              <w:rPr>
                <w:sz w:val="17"/>
              </w:rPr>
            </w:r>
            <w:r>
              <w:rPr>
                <w:b w:val="0"/>
                <w:sz w:val="17"/>
              </w:rPr>
              <w:t>placements</w:t>
            </w:r>
          </w:p>
        </w:tc>
        <w:tc>
          <w:tcPr>
            <w:tcW w:type="dxa" w:w="4608"/>
            <w:vAlign w:val="top"/>
          </w:tcPr>
          <w:p>
            <w:pPr>
              <w:spacing w:after="0" w:line="240" w:lineRule="auto"/>
            </w:pPr>
            <w:r>
              <w:rPr>
                <w:sz w:val="17"/>
              </w:rPr>
            </w:r>
            <w:r>
              <w:rPr>
                <w:b w:val="0"/>
                <w:sz w:val="17"/>
              </w:rPr>
              <w:t>placement_id, employee_id, candidate_id, client_id, bill_rate, pay_rate, start_date, status</w:t>
            </w:r>
          </w:p>
        </w:tc>
        <w:tc>
          <w:tcPr>
            <w:tcW w:type="dxa" w:w="3312"/>
            <w:vAlign w:val="top"/>
          </w:tcPr>
          <w:p>
            <w:pPr>
              <w:spacing w:after="0" w:line="240" w:lineRule="auto"/>
            </w:pPr>
            <w:r>
              <w:rPr>
                <w:sz w:val="17"/>
              </w:rPr>
            </w:r>
            <w:r>
              <w:rPr>
                <w:b w:val="0"/>
                <w:sz w:val="17"/>
              </w:rPr>
              <w:t>Placement records.</w:t>
            </w:r>
          </w:p>
        </w:tc>
      </w:tr>
      <w:tr>
        <w:tc>
          <w:tcPr>
            <w:tcW w:type="dxa" w:w="2592"/>
            <w:vAlign w:val="top"/>
          </w:tcPr>
          <w:p>
            <w:pPr>
              <w:spacing w:after="0" w:line="240" w:lineRule="auto"/>
            </w:pPr>
            <w:r>
              <w:rPr>
                <w:sz w:val="17"/>
              </w:rPr>
            </w:r>
            <w:r>
              <w:rPr>
                <w:b w:val="0"/>
                <w:sz w:val="17"/>
              </w:rPr>
              <w:t>placement_economics</w:t>
            </w:r>
          </w:p>
        </w:tc>
        <w:tc>
          <w:tcPr>
            <w:tcW w:type="dxa" w:w="4608"/>
            <w:vAlign w:val="top"/>
          </w:tcPr>
          <w:p>
            <w:pPr>
              <w:spacing w:after="0" w:line="240" w:lineRule="auto"/>
            </w:pPr>
            <w:r>
              <w:rPr>
                <w:sz w:val="17"/>
              </w:rPr>
            </w:r>
            <w:r>
              <w:rPr>
                <w:b w:val="0"/>
                <w:sz w:val="17"/>
              </w:rPr>
              <w:t>placement_id, payroll_burden, MSP_fee, split_fee, ops_cost, tool_cost, contribution_margin</w:t>
            </w:r>
          </w:p>
        </w:tc>
        <w:tc>
          <w:tcPr>
            <w:tcW w:type="dxa" w:w="3312"/>
            <w:vAlign w:val="top"/>
          </w:tcPr>
          <w:p>
            <w:pPr>
              <w:spacing w:after="0" w:line="240" w:lineRule="auto"/>
            </w:pPr>
            <w:r>
              <w:rPr>
                <w:sz w:val="17"/>
              </w:rPr>
            </w:r>
            <w:r>
              <w:rPr>
                <w:b w:val="0"/>
                <w:sz w:val="17"/>
              </w:rPr>
              <w:t>Calculator output.</w:t>
            </w:r>
          </w:p>
        </w:tc>
      </w:tr>
      <w:tr>
        <w:tc>
          <w:tcPr>
            <w:tcW w:type="dxa" w:w="2592"/>
            <w:vAlign w:val="top"/>
          </w:tcPr>
          <w:p>
            <w:pPr>
              <w:spacing w:after="0" w:line="240" w:lineRule="auto"/>
            </w:pPr>
            <w:r>
              <w:rPr>
                <w:sz w:val="17"/>
              </w:rPr>
            </w:r>
            <w:r>
              <w:rPr>
                <w:b w:val="0"/>
                <w:sz w:val="17"/>
              </w:rPr>
              <w:t>candidate_tracker</w:t>
            </w:r>
          </w:p>
        </w:tc>
        <w:tc>
          <w:tcPr>
            <w:tcW w:type="dxa" w:w="4608"/>
            <w:vAlign w:val="top"/>
          </w:tcPr>
          <w:p>
            <w:pPr>
              <w:spacing w:after="0" w:line="240" w:lineRule="auto"/>
            </w:pPr>
            <w:r>
              <w:rPr>
                <w:sz w:val="17"/>
              </w:rPr>
            </w:r>
            <w:r>
              <w:rPr>
                <w:b w:val="0"/>
                <w:sz w:val="17"/>
              </w:rPr>
              <w:t>candidate_id, source_owner, recruiter_owner, RTR_status, submission_status, follow_up_date</w:t>
            </w:r>
          </w:p>
        </w:tc>
        <w:tc>
          <w:tcPr>
            <w:tcW w:type="dxa" w:w="3312"/>
            <w:vAlign w:val="top"/>
          </w:tcPr>
          <w:p>
            <w:pPr>
              <w:spacing w:after="0" w:line="240" w:lineRule="auto"/>
            </w:pPr>
            <w:r>
              <w:rPr>
                <w:sz w:val="17"/>
              </w:rPr>
            </w:r>
            <w:r>
              <w:rPr>
                <w:b w:val="0"/>
                <w:sz w:val="17"/>
              </w:rPr>
              <w:t>Ownership and documentation.</w:t>
            </w:r>
          </w:p>
        </w:tc>
      </w:tr>
      <w:tr>
        <w:tc>
          <w:tcPr>
            <w:tcW w:type="dxa" w:w="2592"/>
            <w:vAlign w:val="top"/>
          </w:tcPr>
          <w:p>
            <w:pPr>
              <w:spacing w:after="0" w:line="240" w:lineRule="auto"/>
            </w:pPr>
            <w:r>
              <w:rPr>
                <w:sz w:val="17"/>
              </w:rPr>
            </w:r>
            <w:r>
              <w:rPr>
                <w:b w:val="0"/>
                <w:sz w:val="17"/>
              </w:rPr>
              <w:t>targets</w:t>
            </w:r>
          </w:p>
        </w:tc>
        <w:tc>
          <w:tcPr>
            <w:tcW w:type="dxa" w:w="4608"/>
            <w:vAlign w:val="top"/>
          </w:tcPr>
          <w:p>
            <w:pPr>
              <w:spacing w:after="0" w:line="240" w:lineRule="auto"/>
            </w:pPr>
            <w:r>
              <w:rPr>
                <w:sz w:val="17"/>
              </w:rPr>
            </w:r>
            <w:r>
              <w:rPr>
                <w:b w:val="0"/>
                <w:sz w:val="17"/>
              </w:rPr>
              <w:t>employee_id, period_start, period_end, target_starts, target_margin, target_quality</w:t>
            </w:r>
          </w:p>
        </w:tc>
        <w:tc>
          <w:tcPr>
            <w:tcW w:type="dxa" w:w="3312"/>
            <w:vAlign w:val="top"/>
          </w:tcPr>
          <w:p>
            <w:pPr>
              <w:spacing w:after="0" w:line="240" w:lineRule="auto"/>
            </w:pPr>
            <w:r>
              <w:rPr>
                <w:sz w:val="17"/>
              </w:rPr>
            </w:r>
            <w:r>
              <w:rPr>
                <w:b w:val="0"/>
                <w:sz w:val="17"/>
              </w:rPr>
              <w:t>Generated targets.</w:t>
            </w:r>
          </w:p>
        </w:tc>
      </w:tr>
      <w:tr>
        <w:tc>
          <w:tcPr>
            <w:tcW w:type="dxa" w:w="2592"/>
            <w:vAlign w:val="top"/>
          </w:tcPr>
          <w:p>
            <w:pPr>
              <w:spacing w:after="0" w:line="240" w:lineRule="auto"/>
            </w:pPr>
            <w:r>
              <w:rPr>
                <w:sz w:val="17"/>
              </w:rPr>
            </w:r>
            <w:r>
              <w:rPr>
                <w:b w:val="0"/>
                <w:sz w:val="17"/>
              </w:rPr>
              <w:t>scorecards</w:t>
            </w:r>
          </w:p>
        </w:tc>
        <w:tc>
          <w:tcPr>
            <w:tcW w:type="dxa" w:w="4608"/>
            <w:vAlign w:val="top"/>
          </w:tcPr>
          <w:p>
            <w:pPr>
              <w:spacing w:after="0" w:line="240" w:lineRule="auto"/>
            </w:pPr>
            <w:r>
              <w:rPr>
                <w:sz w:val="17"/>
              </w:rPr>
            </w:r>
            <w:r>
              <w:rPr>
                <w:b w:val="0"/>
                <w:sz w:val="17"/>
              </w:rPr>
              <w:t>employee_id, week, submissions, interviews, starts, retained_starts, falloffs, margin</w:t>
            </w:r>
          </w:p>
        </w:tc>
        <w:tc>
          <w:tcPr>
            <w:tcW w:type="dxa" w:w="3312"/>
            <w:vAlign w:val="top"/>
          </w:tcPr>
          <w:p>
            <w:pPr>
              <w:spacing w:after="0" w:line="240" w:lineRule="auto"/>
            </w:pPr>
            <w:r>
              <w:rPr>
                <w:sz w:val="17"/>
              </w:rPr>
            </w:r>
            <w:r>
              <w:rPr>
                <w:b w:val="0"/>
                <w:sz w:val="17"/>
              </w:rPr>
              <w:t>Performance tracking.</w:t>
            </w:r>
          </w:p>
        </w:tc>
      </w:tr>
      <w:tr>
        <w:tc>
          <w:tcPr>
            <w:tcW w:type="dxa" w:w="2592"/>
            <w:vAlign w:val="top"/>
          </w:tcPr>
          <w:p>
            <w:pPr>
              <w:spacing w:after="0" w:line="240" w:lineRule="auto"/>
            </w:pPr>
            <w:r>
              <w:rPr>
                <w:sz w:val="17"/>
              </w:rPr>
            </w:r>
            <w:r>
              <w:rPr>
                <w:b w:val="0"/>
                <w:sz w:val="17"/>
              </w:rPr>
              <w:t>incentives</w:t>
            </w:r>
          </w:p>
        </w:tc>
        <w:tc>
          <w:tcPr>
            <w:tcW w:type="dxa" w:w="4608"/>
            <w:vAlign w:val="top"/>
          </w:tcPr>
          <w:p>
            <w:pPr>
              <w:spacing w:after="0" w:line="240" w:lineRule="auto"/>
            </w:pPr>
            <w:r>
              <w:rPr>
                <w:sz w:val="17"/>
              </w:rPr>
            </w:r>
            <w:r>
              <w:rPr>
                <w:b w:val="0"/>
                <w:sz w:val="17"/>
              </w:rPr>
              <w:t>employee_id, placement_ids, eligibility_status, payout_amount, payout_date</w:t>
            </w:r>
          </w:p>
        </w:tc>
        <w:tc>
          <w:tcPr>
            <w:tcW w:type="dxa" w:w="3312"/>
            <w:vAlign w:val="top"/>
          </w:tcPr>
          <w:p>
            <w:pPr>
              <w:spacing w:after="0" w:line="240" w:lineRule="auto"/>
            </w:pPr>
            <w:r>
              <w:rPr>
                <w:sz w:val="17"/>
              </w:rPr>
            </w:r>
            <w:r>
              <w:rPr>
                <w:b w:val="0"/>
                <w:sz w:val="17"/>
              </w:rPr>
              <w:t>Payout governance.</w:t>
            </w:r>
          </w:p>
        </w:tc>
      </w:tr>
      <w:tr>
        <w:tc>
          <w:tcPr>
            <w:tcW w:type="dxa" w:w="2592"/>
            <w:vAlign w:val="top"/>
          </w:tcPr>
          <w:p>
            <w:pPr>
              <w:spacing w:after="0" w:line="240" w:lineRule="auto"/>
            </w:pPr>
            <w:r>
              <w:rPr>
                <w:sz w:val="17"/>
              </w:rPr>
            </w:r>
            <w:r>
              <w:rPr>
                <w:b w:val="0"/>
                <w:sz w:val="17"/>
              </w:rPr>
              <w:t>exceptions</w:t>
            </w:r>
          </w:p>
        </w:tc>
        <w:tc>
          <w:tcPr>
            <w:tcW w:type="dxa" w:w="4608"/>
            <w:vAlign w:val="top"/>
          </w:tcPr>
          <w:p>
            <w:pPr>
              <w:spacing w:after="0" w:line="240" w:lineRule="auto"/>
            </w:pPr>
            <w:r>
              <w:rPr>
                <w:sz w:val="17"/>
              </w:rPr>
            </w:r>
            <w:r>
              <w:rPr>
                <w:b w:val="0"/>
                <w:sz w:val="17"/>
              </w:rPr>
              <w:t>exception_id, placement_id, reason, approved_by, approved_date</w:t>
            </w:r>
          </w:p>
        </w:tc>
        <w:tc>
          <w:tcPr>
            <w:tcW w:type="dxa" w:w="3312"/>
            <w:vAlign w:val="top"/>
          </w:tcPr>
          <w:p>
            <w:pPr>
              <w:spacing w:after="0" w:line="240" w:lineRule="auto"/>
            </w:pPr>
            <w:r>
              <w:rPr>
                <w:sz w:val="17"/>
              </w:rPr>
            </w:r>
            <w:r>
              <w:rPr>
                <w:b w:val="0"/>
                <w:sz w:val="17"/>
              </w:rPr>
              <w:t>Strategic exceptions and overrides.</w:t>
            </w:r>
          </w:p>
        </w:tc>
      </w:tr>
      <w:tr>
        <w:tc>
          <w:tcPr>
            <w:tcW w:type="dxa" w:w="2592"/>
            <w:vAlign w:val="top"/>
          </w:tcPr>
          <w:p>
            <w:pPr>
              <w:spacing w:after="0" w:line="240" w:lineRule="auto"/>
            </w:pPr>
            <w:r>
              <w:rPr>
                <w:sz w:val="17"/>
              </w:rPr>
            </w:r>
            <w:r>
              <w:rPr>
                <w:b w:val="0"/>
                <w:sz w:val="17"/>
              </w:rPr>
              <w:t>audit_log</w:t>
            </w:r>
          </w:p>
        </w:tc>
        <w:tc>
          <w:tcPr>
            <w:tcW w:type="dxa" w:w="4608"/>
            <w:vAlign w:val="top"/>
          </w:tcPr>
          <w:p>
            <w:pPr>
              <w:spacing w:after="0" w:line="240" w:lineRule="auto"/>
            </w:pPr>
            <w:r>
              <w:rPr>
                <w:sz w:val="17"/>
              </w:rPr>
            </w:r>
            <w:r>
              <w:rPr>
                <w:b w:val="0"/>
                <w:sz w:val="17"/>
              </w:rPr>
              <w:t>user_id, action, changed_field, old_value, new_value, timestamp</w:t>
            </w:r>
          </w:p>
        </w:tc>
        <w:tc>
          <w:tcPr>
            <w:tcW w:type="dxa" w:w="3312"/>
            <w:vAlign w:val="top"/>
          </w:tcPr>
          <w:p>
            <w:pPr>
              <w:spacing w:after="0" w:line="240" w:lineRule="auto"/>
            </w:pPr>
            <w:r>
              <w:rPr>
                <w:sz w:val="17"/>
              </w:rPr>
            </w:r>
            <w:r>
              <w:rPr>
                <w:b w:val="0"/>
                <w:sz w:val="17"/>
              </w:rPr>
              <w:t>Governance and dispute prevention.</w:t>
            </w:r>
          </w:p>
        </w:tc>
      </w:tr>
    </w:tbl>
    <w:p>
      <w:pPr>
        <w:spacing w:after="80" w:line="259" w:lineRule="auto"/>
      </w:pPr>
    </w:p>
    <w:p>
      <w:pPr>
        <w:pStyle w:val="Heading1"/>
        <w:spacing w:after="80" w:line="259" w:lineRule="auto"/>
      </w:pPr>
      <w:r>
        <w:rPr>
          <w:color w:val="1F4E79"/>
        </w:rPr>
        <w:t>17. Algorithm Pseudocode</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function generateTargets(employee, department, economics, support, demand):</w:t>
              <w:br/>
              <w:t xml:space="preserve">    levelRules = getRoleLevelRules(employee.role_level, department)</w:t>
              <w:br/>
              <w:t xml:space="preserve">    salaryTarget = employee.monthly_salary * levelRules.salary_multiplier</w:t>
              <w:br/>
              <w:t xml:space="preserve">    demandFactor = calculateDemandFactor(demand.active_roles, demand.priority, demand.fill_difficulty)</w:t>
              <w:br/>
              <w:t xml:space="preserve">    supportFactor = calculateSupportFactor(support.sourcers, support.tools, support.MIS)</w:t>
              <w:br/>
              <w:t xml:space="preserve">    contributionTarget = salaryTarget * demandFactor * supportFactor</w:t>
              <w:br/>
              <w:br/>
              <w:t xml:space="preserve">    if department == "Healthcare":</w:t>
              <w:br/>
              <w:t xml:space="preserve">        startTarget = calculateHealthcareStarts(levelRules, contributionTarget, economics.avg_margin_per_start)</w:t>
              <w:br/>
              <w:t xml:space="preserve">    elif department == "IT Contract":</w:t>
              <w:br/>
              <w:t xml:space="preserve">        startTarget = calculateITContractStarts(levelRules, contributionTarget, economics.avg_contract_margin)</w:t>
              <w:br/>
              <w:t xml:space="preserve">    elif department == "IT Permanent":</w:t>
              <w:br/>
              <w:t xml:space="preserve">        startTarget = calculateITPermanentJoins(levelRules, contributionTarget, economics.avg_net_fee)</w:t>
              <w:br/>
              <w:br/>
              <w:t xml:space="preserve">    return TargetPlan(startTarget, contributionTarget, qualityGates, reportingRequirements)</w:t>
            </w:r>
          </w:p>
          <w:p>
            <w:pPr>
              <w:spacing w:after="0" w:line="240" w:lineRule="auto"/>
            </w:pPr>
            <w:r>
              <w:rPr>
                <w:i/>
                <w:sz w:val="17"/>
              </w:rPr>
              <w:t>Pseudo-logic for the target generation engine.</w:t>
            </w:r>
          </w:p>
        </w:tc>
      </w:tr>
    </w:tbl>
    <w:p>
      <w:pPr>
        <w:spacing w:after="80" w:line="259" w:lineRule="auto"/>
      </w:pP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6F8FA"/>
          </w:tcPr>
          <w:p>
            <w:pPr>
              <w:spacing w:after="0" w:line="240" w:lineRule="auto"/>
            </w:pPr>
            <w:r>
              <w:rPr>
                <w:rFonts w:ascii="Courier New" w:hAnsi="Courier New"/>
                <w:sz w:val="17"/>
              </w:rPr>
              <w:t>function isIncentiveEligible(placement):</w:t>
              <w:br/>
              <w:t xml:space="preserve">    if placement.status != "retained_billing": return False</w:t>
              <w:br/>
              <w:t xml:space="preserve">    if placement.documentation_complete == False: return False</w:t>
              <w:br/>
              <w:t xml:space="preserve">    if placement.falloff_reason in avoidable_reasons: return False</w:t>
              <w:br/>
              <w:t xml:space="preserve">    if placement.contribution_margin &lt; required_threshold: return False</w:t>
              <w:br/>
              <w:t xml:space="preserve">    return True</w:t>
            </w:r>
          </w:p>
          <w:p>
            <w:pPr>
              <w:spacing w:after="0" w:line="240" w:lineRule="auto"/>
            </w:pPr>
            <w:r>
              <w:rPr>
                <w:i/>
                <w:sz w:val="17"/>
              </w:rPr>
              <w:t>Pseudo-logic for incentive eligibility.</w:t>
            </w:r>
          </w:p>
        </w:tc>
      </w:tr>
    </w:tbl>
    <w:p>
      <w:pPr>
        <w:spacing w:after="80" w:line="259" w:lineRule="auto"/>
      </w:pPr>
    </w:p>
    <w:p>
      <w:pPr>
        <w:pStyle w:val="Heading1"/>
        <w:spacing w:after="80" w:line="259" w:lineRule="auto"/>
      </w:pPr>
      <w:r>
        <w:rPr>
          <w:color w:val="1F4E79"/>
        </w:rPr>
        <w:t>18. Configuration Settings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664"/>
        <w:gridCol w:w="2664"/>
        <w:gridCol w:w="2664"/>
        <w:gridCol w:w="2664"/>
      </w:tblGrid>
      <w:tr>
        <w:trPr>
          <w:tblHeader w:val="true"/>
        </w:trPr>
        <w:tc>
          <w:tcPr>
            <w:tcW w:type="dxa" w:w="2880"/>
            <w:shd w:fill="1F4E79"/>
            <w:vAlign w:val="center"/>
          </w:tcPr>
          <w:p>
            <w:pPr>
              <w:spacing w:after="0" w:line="240" w:lineRule="auto"/>
            </w:pPr>
            <w:r>
              <w:rPr>
                <w:sz w:val="17"/>
              </w:rPr>
            </w:r>
            <w:r>
              <w:rPr>
                <w:b/>
                <w:color w:val="FFFFFF"/>
                <w:sz w:val="17"/>
              </w:rPr>
              <w:t>Setting</w:t>
            </w:r>
          </w:p>
        </w:tc>
        <w:tc>
          <w:tcPr>
            <w:tcW w:type="dxa" w:w="2448"/>
            <w:shd w:fill="1F4E79"/>
            <w:vAlign w:val="center"/>
          </w:tcPr>
          <w:p>
            <w:pPr>
              <w:spacing w:after="0" w:line="240" w:lineRule="auto"/>
            </w:pPr>
            <w:r>
              <w:rPr>
                <w:sz w:val="17"/>
              </w:rPr>
            </w:r>
            <w:r>
              <w:rPr>
                <w:b/>
                <w:color w:val="FFFFFF"/>
                <w:sz w:val="17"/>
              </w:rPr>
              <w:t>Default</w:t>
            </w:r>
          </w:p>
        </w:tc>
        <w:tc>
          <w:tcPr>
            <w:tcW w:type="dxa" w:w="2016"/>
            <w:shd w:fill="1F4E79"/>
            <w:vAlign w:val="center"/>
          </w:tcPr>
          <w:p>
            <w:pPr>
              <w:spacing w:after="0" w:line="240" w:lineRule="auto"/>
            </w:pPr>
            <w:r>
              <w:rPr>
                <w:sz w:val="17"/>
              </w:rPr>
            </w:r>
            <w:r>
              <w:rPr>
                <w:b/>
                <w:color w:val="FFFFFF"/>
                <w:sz w:val="17"/>
              </w:rPr>
              <w:t>Owner</w:t>
            </w:r>
          </w:p>
        </w:tc>
        <w:tc>
          <w:tcPr>
            <w:tcW w:type="dxa" w:w="3168"/>
            <w:shd w:fill="1F4E79"/>
            <w:vAlign w:val="center"/>
          </w:tcPr>
          <w:p>
            <w:pPr>
              <w:spacing w:after="0" w:line="240" w:lineRule="auto"/>
            </w:pPr>
            <w:r>
              <w:rPr>
                <w:sz w:val="17"/>
              </w:rPr>
            </w:r>
            <w:r>
              <w:rPr>
                <w:b/>
                <w:color w:val="FFFFFF"/>
                <w:sz w:val="17"/>
              </w:rPr>
              <w:t>Notes</w:t>
            </w:r>
          </w:p>
        </w:tc>
      </w:tr>
      <w:tr>
        <w:tc>
          <w:tcPr>
            <w:tcW w:type="dxa" w:w="2880"/>
            <w:vAlign w:val="top"/>
          </w:tcPr>
          <w:p>
            <w:pPr>
              <w:spacing w:after="0" w:line="240" w:lineRule="auto"/>
            </w:pPr>
            <w:r>
              <w:rPr>
                <w:sz w:val="17"/>
              </w:rPr>
            </w:r>
            <w:r>
              <w:rPr>
                <w:b w:val="0"/>
                <w:sz w:val="17"/>
              </w:rPr>
              <w:t>USD/INR exchange rate</w:t>
            </w:r>
          </w:p>
        </w:tc>
        <w:tc>
          <w:tcPr>
            <w:tcW w:type="dxa" w:w="2448"/>
            <w:vAlign w:val="top"/>
          </w:tcPr>
          <w:p>
            <w:pPr>
              <w:spacing w:after="0" w:line="240" w:lineRule="auto"/>
            </w:pPr>
            <w:r>
              <w:rPr>
                <w:sz w:val="17"/>
              </w:rPr>
            </w:r>
            <w:r>
              <w:rPr>
                <w:b w:val="0"/>
                <w:sz w:val="17"/>
              </w:rPr>
              <w:t>Manual monthly entry</w:t>
            </w:r>
          </w:p>
        </w:tc>
        <w:tc>
          <w:tcPr>
            <w:tcW w:type="dxa" w:w="2016"/>
            <w:vAlign w:val="top"/>
          </w:tcPr>
          <w:p>
            <w:pPr>
              <w:spacing w:after="0" w:line="240" w:lineRule="auto"/>
            </w:pPr>
            <w:r>
              <w:rPr>
                <w:sz w:val="17"/>
              </w:rPr>
            </w:r>
            <w:r>
              <w:rPr>
                <w:b w:val="0"/>
                <w:sz w:val="17"/>
              </w:rPr>
              <w:t>Finance</w:t>
            </w:r>
          </w:p>
        </w:tc>
        <w:tc>
          <w:tcPr>
            <w:tcW w:type="dxa" w:w="3168"/>
            <w:vAlign w:val="top"/>
          </w:tcPr>
          <w:p>
            <w:pPr>
              <w:spacing w:after="0" w:line="240" w:lineRule="auto"/>
            </w:pPr>
            <w:r>
              <w:rPr>
                <w:sz w:val="17"/>
              </w:rPr>
            </w:r>
            <w:r>
              <w:rPr>
                <w:b w:val="0"/>
                <w:sz w:val="17"/>
              </w:rPr>
              <w:t>Used for salary-to-margin conversion.</w:t>
            </w:r>
          </w:p>
        </w:tc>
      </w:tr>
      <w:tr>
        <w:tc>
          <w:tcPr>
            <w:tcW w:type="dxa" w:w="2880"/>
            <w:vAlign w:val="top"/>
          </w:tcPr>
          <w:p>
            <w:pPr>
              <w:spacing w:after="0" w:line="240" w:lineRule="auto"/>
            </w:pPr>
            <w:r>
              <w:rPr>
                <w:sz w:val="17"/>
              </w:rPr>
            </w:r>
            <w:r>
              <w:rPr>
                <w:b w:val="0"/>
                <w:sz w:val="17"/>
              </w:rPr>
              <w:t>Healthcare senior recruiter monthly target</w:t>
            </w:r>
          </w:p>
        </w:tc>
        <w:tc>
          <w:tcPr>
            <w:tcW w:type="dxa" w:w="2448"/>
            <w:vAlign w:val="top"/>
          </w:tcPr>
          <w:p>
            <w:pPr>
              <w:spacing w:after="0" w:line="240" w:lineRule="auto"/>
            </w:pPr>
            <w:r>
              <w:rPr>
                <w:sz w:val="17"/>
              </w:rPr>
            </w:r>
            <w:r>
              <w:rPr>
                <w:b w:val="0"/>
                <w:sz w:val="17"/>
              </w:rPr>
              <w:t>3 qualified retained starts</w:t>
            </w:r>
          </w:p>
        </w:tc>
        <w:tc>
          <w:tcPr>
            <w:tcW w:type="dxa" w:w="2016"/>
            <w:vAlign w:val="top"/>
          </w:tcPr>
          <w:p>
            <w:pPr>
              <w:spacing w:after="0" w:line="240" w:lineRule="auto"/>
            </w:pPr>
            <w:r>
              <w:rPr>
                <w:sz w:val="17"/>
              </w:rPr>
            </w:r>
            <w:r>
              <w:rPr>
                <w:b w:val="0"/>
                <w:sz w:val="17"/>
              </w:rPr>
              <w:t>CEO/Ops</w:t>
            </w:r>
          </w:p>
        </w:tc>
        <w:tc>
          <w:tcPr>
            <w:tcW w:type="dxa" w:w="3168"/>
            <w:vAlign w:val="top"/>
          </w:tcPr>
          <w:p>
            <w:pPr>
              <w:spacing w:after="0" w:line="240" w:lineRule="auto"/>
            </w:pPr>
            <w:r>
              <w:rPr>
                <w:sz w:val="17"/>
              </w:rPr>
            </w:r>
            <w:r>
              <w:rPr>
                <w:b w:val="0"/>
                <w:sz w:val="17"/>
              </w:rPr>
              <w:t>Subject to active demand.</w:t>
            </w:r>
          </w:p>
        </w:tc>
      </w:tr>
      <w:tr>
        <w:tc>
          <w:tcPr>
            <w:tcW w:type="dxa" w:w="2880"/>
            <w:vAlign w:val="top"/>
          </w:tcPr>
          <w:p>
            <w:pPr>
              <w:spacing w:after="0" w:line="240" w:lineRule="auto"/>
            </w:pPr>
            <w:r>
              <w:rPr>
                <w:sz w:val="17"/>
              </w:rPr>
            </w:r>
            <w:r>
              <w:rPr>
                <w:b w:val="0"/>
                <w:sz w:val="17"/>
              </w:rPr>
              <w:t>IT senior recruiter monthly target</w:t>
            </w:r>
          </w:p>
        </w:tc>
        <w:tc>
          <w:tcPr>
            <w:tcW w:type="dxa" w:w="2448"/>
            <w:vAlign w:val="top"/>
          </w:tcPr>
          <w:p>
            <w:pPr>
              <w:spacing w:after="0" w:line="240" w:lineRule="auto"/>
            </w:pPr>
            <w:r>
              <w:rPr>
                <w:sz w:val="17"/>
              </w:rPr>
            </w:r>
            <w:r>
              <w:rPr>
                <w:b w:val="0"/>
                <w:sz w:val="17"/>
              </w:rPr>
              <w:t>2-3 retained contract starts or fee target</w:t>
            </w:r>
          </w:p>
        </w:tc>
        <w:tc>
          <w:tcPr>
            <w:tcW w:type="dxa" w:w="2016"/>
            <w:vAlign w:val="top"/>
          </w:tcPr>
          <w:p>
            <w:pPr>
              <w:spacing w:after="0" w:line="240" w:lineRule="auto"/>
            </w:pPr>
            <w:r>
              <w:rPr>
                <w:sz w:val="17"/>
              </w:rPr>
            </w:r>
            <w:r>
              <w:rPr>
                <w:b w:val="0"/>
                <w:sz w:val="17"/>
              </w:rPr>
              <w:t>CEO/Ops</w:t>
            </w:r>
          </w:p>
        </w:tc>
        <w:tc>
          <w:tcPr>
            <w:tcW w:type="dxa" w:w="3168"/>
            <w:vAlign w:val="top"/>
          </w:tcPr>
          <w:p>
            <w:pPr>
              <w:spacing w:after="0" w:line="240" w:lineRule="auto"/>
            </w:pPr>
            <w:r>
              <w:rPr>
                <w:sz w:val="17"/>
              </w:rPr>
            </w:r>
            <w:r>
              <w:rPr>
                <w:b w:val="0"/>
                <w:sz w:val="17"/>
              </w:rPr>
              <w:t>Depends on IT model.</w:t>
            </w:r>
          </w:p>
        </w:tc>
      </w:tr>
      <w:tr>
        <w:tc>
          <w:tcPr>
            <w:tcW w:type="dxa" w:w="2880"/>
            <w:vAlign w:val="top"/>
          </w:tcPr>
          <w:p>
            <w:pPr>
              <w:spacing w:after="0" w:line="240" w:lineRule="auto"/>
            </w:pPr>
            <w:r>
              <w:rPr>
                <w:sz w:val="17"/>
              </w:rPr>
            </w:r>
            <w:r>
              <w:rPr>
                <w:b w:val="0"/>
                <w:sz w:val="17"/>
              </w:rPr>
              <w:t>Retention period for incentive</w:t>
            </w:r>
          </w:p>
        </w:tc>
        <w:tc>
          <w:tcPr>
            <w:tcW w:type="dxa" w:w="2448"/>
            <w:vAlign w:val="top"/>
          </w:tcPr>
          <w:p>
            <w:pPr>
              <w:spacing w:after="0" w:line="240" w:lineRule="auto"/>
            </w:pPr>
            <w:r>
              <w:rPr>
                <w:sz w:val="17"/>
              </w:rPr>
            </w:r>
            <w:r>
              <w:rPr>
                <w:b w:val="0"/>
                <w:sz w:val="17"/>
              </w:rPr>
              <w:t>90 days</w:t>
            </w:r>
          </w:p>
        </w:tc>
        <w:tc>
          <w:tcPr>
            <w:tcW w:type="dxa" w:w="2016"/>
            <w:vAlign w:val="top"/>
          </w:tcPr>
          <w:p>
            <w:pPr>
              <w:spacing w:after="0" w:line="240" w:lineRule="auto"/>
            </w:pPr>
            <w:r>
              <w:rPr>
                <w:sz w:val="17"/>
              </w:rPr>
            </w:r>
            <w:r>
              <w:rPr>
                <w:b w:val="0"/>
                <w:sz w:val="17"/>
              </w:rPr>
              <w:t>CEO/Ops/Finance</w:t>
            </w:r>
          </w:p>
        </w:tc>
        <w:tc>
          <w:tcPr>
            <w:tcW w:type="dxa" w:w="3168"/>
            <w:vAlign w:val="top"/>
          </w:tcPr>
          <w:p>
            <w:pPr>
              <w:spacing w:after="0" w:line="240" w:lineRule="auto"/>
            </w:pPr>
            <w:r>
              <w:rPr>
                <w:sz w:val="17"/>
              </w:rPr>
            </w:r>
            <w:r>
              <w:rPr>
                <w:b w:val="0"/>
                <w:sz w:val="17"/>
              </w:rPr>
              <w:t>Can vary by contract type.</w:t>
            </w:r>
          </w:p>
        </w:tc>
      </w:tr>
      <w:tr>
        <w:tc>
          <w:tcPr>
            <w:tcW w:type="dxa" w:w="2880"/>
            <w:vAlign w:val="top"/>
          </w:tcPr>
          <w:p>
            <w:pPr>
              <w:spacing w:after="0" w:line="240" w:lineRule="auto"/>
            </w:pPr>
            <w:r>
              <w:rPr>
                <w:sz w:val="17"/>
              </w:rPr>
            </w:r>
            <w:r>
              <w:rPr>
                <w:b w:val="0"/>
                <w:sz w:val="17"/>
              </w:rPr>
              <w:t>Profitability threshold</w:t>
            </w:r>
          </w:p>
        </w:tc>
        <w:tc>
          <w:tcPr>
            <w:tcW w:type="dxa" w:w="2448"/>
            <w:vAlign w:val="top"/>
          </w:tcPr>
          <w:p>
            <w:pPr>
              <w:spacing w:after="0" w:line="240" w:lineRule="auto"/>
            </w:pPr>
            <w:r>
              <w:rPr>
                <w:sz w:val="17"/>
              </w:rPr>
            </w:r>
            <w:r>
              <w:rPr>
                <w:b w:val="0"/>
                <w:sz w:val="17"/>
              </w:rPr>
              <w:t>Company calculator pass</w:t>
            </w:r>
          </w:p>
        </w:tc>
        <w:tc>
          <w:tcPr>
            <w:tcW w:type="dxa" w:w="2016"/>
            <w:vAlign w:val="top"/>
          </w:tcPr>
          <w:p>
            <w:pPr>
              <w:spacing w:after="0" w:line="240" w:lineRule="auto"/>
            </w:pPr>
            <w:r>
              <w:rPr>
                <w:sz w:val="17"/>
              </w:rPr>
            </w:r>
            <w:r>
              <w:rPr>
                <w:b w:val="0"/>
                <w:sz w:val="17"/>
              </w:rPr>
              <w:t>Finance</w:t>
            </w:r>
          </w:p>
        </w:tc>
        <w:tc>
          <w:tcPr>
            <w:tcW w:type="dxa" w:w="3168"/>
            <w:vAlign w:val="top"/>
          </w:tcPr>
          <w:p>
            <w:pPr>
              <w:spacing w:after="0" w:line="240" w:lineRule="auto"/>
            </w:pPr>
            <w:r>
              <w:rPr>
                <w:sz w:val="17"/>
              </w:rPr>
            </w:r>
            <w:r>
              <w:rPr>
                <w:b w:val="0"/>
                <w:sz w:val="17"/>
              </w:rPr>
              <w:t>Must include loaded costs.</w:t>
            </w:r>
          </w:p>
        </w:tc>
      </w:tr>
      <w:tr>
        <w:tc>
          <w:tcPr>
            <w:tcW w:type="dxa" w:w="2880"/>
            <w:vAlign w:val="top"/>
          </w:tcPr>
          <w:p>
            <w:pPr>
              <w:spacing w:after="0" w:line="240" w:lineRule="auto"/>
            </w:pPr>
            <w:r>
              <w:rPr>
                <w:sz w:val="17"/>
              </w:rPr>
            </w:r>
            <w:r>
              <w:rPr>
                <w:b w:val="0"/>
                <w:sz w:val="17"/>
              </w:rPr>
              <w:t>Sourcer bonus</w:t>
            </w:r>
          </w:p>
        </w:tc>
        <w:tc>
          <w:tcPr>
            <w:tcW w:type="dxa" w:w="2448"/>
            <w:vAlign w:val="top"/>
          </w:tcPr>
          <w:p>
            <w:pPr>
              <w:spacing w:after="0" w:line="240" w:lineRule="auto"/>
            </w:pPr>
            <w:r>
              <w:rPr>
                <w:sz w:val="17"/>
              </w:rPr>
            </w:r>
            <w:r>
              <w:rPr>
                <w:b w:val="0"/>
                <w:sz w:val="17"/>
              </w:rPr>
              <w:t>₹500 per sourced retained start</w:t>
            </w:r>
          </w:p>
        </w:tc>
        <w:tc>
          <w:tcPr>
            <w:tcW w:type="dxa" w:w="2016"/>
            <w:vAlign w:val="top"/>
          </w:tcPr>
          <w:p>
            <w:pPr>
              <w:spacing w:after="0" w:line="240" w:lineRule="auto"/>
            </w:pPr>
            <w:r>
              <w:rPr>
                <w:sz w:val="17"/>
              </w:rPr>
            </w:r>
            <w:r>
              <w:rPr>
                <w:b w:val="0"/>
                <w:sz w:val="17"/>
              </w:rPr>
              <w:t>CEO/Ops</w:t>
            </w:r>
          </w:p>
        </w:tc>
        <w:tc>
          <w:tcPr>
            <w:tcW w:type="dxa" w:w="3168"/>
            <w:vAlign w:val="top"/>
          </w:tcPr>
          <w:p>
            <w:pPr>
              <w:spacing w:after="0" w:line="240" w:lineRule="auto"/>
            </w:pPr>
            <w:r>
              <w:rPr>
                <w:sz w:val="17"/>
              </w:rPr>
            </w:r>
            <w:r>
              <w:rPr>
                <w:b w:val="0"/>
                <w:sz w:val="17"/>
              </w:rPr>
              <w:t>Phase 1 recommended.</w:t>
            </w:r>
          </w:p>
        </w:tc>
      </w:tr>
      <w:tr>
        <w:tc>
          <w:tcPr>
            <w:tcW w:type="dxa" w:w="2880"/>
            <w:vAlign w:val="top"/>
          </w:tcPr>
          <w:p>
            <w:pPr>
              <w:spacing w:after="0" w:line="240" w:lineRule="auto"/>
            </w:pPr>
            <w:r>
              <w:rPr>
                <w:sz w:val="17"/>
              </w:rPr>
            </w:r>
            <w:r>
              <w:rPr>
                <w:b w:val="0"/>
                <w:sz w:val="17"/>
              </w:rPr>
              <w:t>Manager override allowed</w:t>
            </w:r>
          </w:p>
        </w:tc>
        <w:tc>
          <w:tcPr>
            <w:tcW w:type="dxa" w:w="2448"/>
            <w:vAlign w:val="top"/>
          </w:tcPr>
          <w:p>
            <w:pPr>
              <w:spacing w:after="0" w:line="240" w:lineRule="auto"/>
            </w:pPr>
            <w:r>
              <w:rPr>
                <w:sz w:val="17"/>
              </w:rPr>
            </w:r>
            <w:r>
              <w:rPr>
                <w:b w:val="0"/>
                <w:sz w:val="17"/>
              </w:rPr>
              <w:t>Yes, with reason and approval</w:t>
            </w:r>
          </w:p>
        </w:tc>
        <w:tc>
          <w:tcPr>
            <w:tcW w:type="dxa" w:w="2016"/>
            <w:vAlign w:val="top"/>
          </w:tcPr>
          <w:p>
            <w:pPr>
              <w:spacing w:after="0" w:line="240" w:lineRule="auto"/>
            </w:pPr>
            <w:r>
              <w:rPr>
                <w:sz w:val="17"/>
              </w:rPr>
            </w:r>
            <w:r>
              <w:rPr>
                <w:b w:val="0"/>
                <w:sz w:val="17"/>
              </w:rPr>
              <w:t>CEO/Ops</w:t>
            </w:r>
          </w:p>
        </w:tc>
        <w:tc>
          <w:tcPr>
            <w:tcW w:type="dxa" w:w="3168"/>
            <w:vAlign w:val="top"/>
          </w:tcPr>
          <w:p>
            <w:pPr>
              <w:spacing w:after="0" w:line="240" w:lineRule="auto"/>
            </w:pPr>
            <w:r>
              <w:rPr>
                <w:sz w:val="17"/>
              </w:rPr>
            </w:r>
            <w:r>
              <w:rPr>
                <w:b w:val="0"/>
                <w:sz w:val="17"/>
              </w:rPr>
              <w:t>Must be logged.</w:t>
            </w:r>
          </w:p>
        </w:tc>
      </w:tr>
    </w:tbl>
    <w:p>
      <w:pPr>
        <w:spacing w:after="80" w:line="259" w:lineRule="auto"/>
      </w:pPr>
    </w:p>
    <w:p>
      <w:pPr>
        <w:pStyle w:val="Heading1"/>
        <w:spacing w:after="80" w:line="259" w:lineRule="auto"/>
      </w:pPr>
      <w:r>
        <w:rPr>
          <w:color w:val="1F4E79"/>
        </w:rPr>
        <w:t>19. Sample Calculation - Healthcare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4608"/>
            <w:shd w:fill="1F4E79"/>
            <w:vAlign w:val="center"/>
          </w:tcPr>
          <w:p>
            <w:pPr>
              <w:spacing w:after="0" w:line="240" w:lineRule="auto"/>
            </w:pPr>
            <w:r>
              <w:rPr>
                <w:sz w:val="17"/>
              </w:rPr>
            </w:r>
            <w:r>
              <w:rPr>
                <w:b/>
                <w:color w:val="FFFFFF"/>
                <w:sz w:val="17"/>
              </w:rPr>
              <w:t>Input</w:t>
            </w:r>
          </w:p>
        </w:tc>
        <w:tc>
          <w:tcPr>
            <w:tcW w:type="dxa" w:w="5904"/>
            <w:shd w:fill="1F4E79"/>
            <w:vAlign w:val="center"/>
          </w:tcPr>
          <w:p>
            <w:pPr>
              <w:spacing w:after="0" w:line="240" w:lineRule="auto"/>
            </w:pPr>
            <w:r>
              <w:rPr>
                <w:sz w:val="17"/>
              </w:rPr>
            </w:r>
            <w:r>
              <w:rPr>
                <w:b/>
                <w:color w:val="FFFFFF"/>
                <w:sz w:val="17"/>
              </w:rPr>
              <w:t>Value</w:t>
            </w:r>
          </w:p>
        </w:tc>
      </w:tr>
      <w:tr>
        <w:tc>
          <w:tcPr>
            <w:tcW w:type="dxa" w:w="4608"/>
            <w:vAlign w:val="top"/>
          </w:tcPr>
          <w:p>
            <w:pPr>
              <w:spacing w:after="0" w:line="240" w:lineRule="auto"/>
            </w:pPr>
            <w:r>
              <w:rPr>
                <w:sz w:val="17"/>
              </w:rPr>
            </w:r>
            <w:r>
              <w:rPr>
                <w:b w:val="0"/>
                <w:sz w:val="17"/>
              </w:rPr>
              <w:t>Recruiter salary</w:t>
            </w:r>
          </w:p>
        </w:tc>
        <w:tc>
          <w:tcPr>
            <w:tcW w:type="dxa" w:w="5904"/>
            <w:vAlign w:val="top"/>
          </w:tcPr>
          <w:p>
            <w:pPr>
              <w:spacing w:after="0" w:line="240" w:lineRule="auto"/>
            </w:pPr>
            <w:r>
              <w:rPr>
                <w:sz w:val="17"/>
              </w:rPr>
            </w:r>
            <w:r>
              <w:rPr>
                <w:b w:val="0"/>
                <w:sz w:val="17"/>
              </w:rPr>
              <w:t>₹65,000/month</w:t>
            </w:r>
          </w:p>
        </w:tc>
      </w:tr>
      <w:tr>
        <w:tc>
          <w:tcPr>
            <w:tcW w:type="dxa" w:w="4608"/>
            <w:vAlign w:val="top"/>
          </w:tcPr>
          <w:p>
            <w:pPr>
              <w:spacing w:after="0" w:line="240" w:lineRule="auto"/>
            </w:pPr>
            <w:r>
              <w:rPr>
                <w:sz w:val="17"/>
              </w:rPr>
            </w:r>
            <w:r>
              <w:rPr>
                <w:b w:val="0"/>
                <w:sz w:val="17"/>
              </w:rPr>
              <w:t>Target return multiplier</w:t>
            </w:r>
          </w:p>
        </w:tc>
        <w:tc>
          <w:tcPr>
            <w:tcW w:type="dxa" w:w="5904"/>
            <w:vAlign w:val="top"/>
          </w:tcPr>
          <w:p>
            <w:pPr>
              <w:spacing w:after="0" w:line="240" w:lineRule="auto"/>
            </w:pPr>
            <w:r>
              <w:rPr>
                <w:sz w:val="17"/>
              </w:rPr>
            </w:r>
            <w:r>
              <w:rPr>
                <w:b w:val="0"/>
                <w:sz w:val="17"/>
              </w:rPr>
              <w:t>10x salary</w:t>
            </w:r>
          </w:p>
        </w:tc>
      </w:tr>
      <w:tr>
        <w:tc>
          <w:tcPr>
            <w:tcW w:type="dxa" w:w="4608"/>
            <w:vAlign w:val="top"/>
          </w:tcPr>
          <w:p>
            <w:pPr>
              <w:spacing w:after="0" w:line="240" w:lineRule="auto"/>
            </w:pPr>
            <w:r>
              <w:rPr>
                <w:sz w:val="17"/>
              </w:rPr>
            </w:r>
            <w:r>
              <w:rPr>
                <w:b w:val="0"/>
                <w:sz w:val="17"/>
              </w:rPr>
              <w:t>Target retained contribution</w:t>
            </w:r>
          </w:p>
        </w:tc>
        <w:tc>
          <w:tcPr>
            <w:tcW w:type="dxa" w:w="5904"/>
            <w:vAlign w:val="top"/>
          </w:tcPr>
          <w:p>
            <w:pPr>
              <w:spacing w:after="0" w:line="240" w:lineRule="auto"/>
            </w:pPr>
            <w:r>
              <w:rPr>
                <w:sz w:val="17"/>
              </w:rPr>
            </w:r>
            <w:r>
              <w:rPr>
                <w:b w:val="0"/>
                <w:sz w:val="17"/>
              </w:rPr>
              <w:t>₹6,50,000/month</w:t>
            </w:r>
          </w:p>
        </w:tc>
      </w:tr>
      <w:tr>
        <w:tc>
          <w:tcPr>
            <w:tcW w:type="dxa" w:w="4608"/>
            <w:vAlign w:val="top"/>
          </w:tcPr>
          <w:p>
            <w:pPr>
              <w:spacing w:after="0" w:line="240" w:lineRule="auto"/>
            </w:pPr>
            <w:r>
              <w:rPr>
                <w:sz w:val="17"/>
              </w:rPr>
            </w:r>
            <w:r>
              <w:rPr>
                <w:b w:val="0"/>
                <w:sz w:val="17"/>
              </w:rPr>
              <w:t>Average billable hours</w:t>
            </w:r>
          </w:p>
        </w:tc>
        <w:tc>
          <w:tcPr>
            <w:tcW w:type="dxa" w:w="5904"/>
            <w:vAlign w:val="top"/>
          </w:tcPr>
          <w:p>
            <w:pPr>
              <w:spacing w:after="0" w:line="240" w:lineRule="auto"/>
            </w:pPr>
            <w:r>
              <w:rPr>
                <w:sz w:val="17"/>
              </w:rPr>
            </w:r>
            <w:r>
              <w:rPr>
                <w:b w:val="0"/>
                <w:sz w:val="17"/>
              </w:rPr>
              <w:t>160 hours/month</w:t>
            </w:r>
          </w:p>
        </w:tc>
      </w:tr>
      <w:tr>
        <w:tc>
          <w:tcPr>
            <w:tcW w:type="dxa" w:w="4608"/>
            <w:vAlign w:val="top"/>
          </w:tcPr>
          <w:p>
            <w:pPr>
              <w:spacing w:after="0" w:line="240" w:lineRule="auto"/>
            </w:pPr>
            <w:r>
              <w:rPr>
                <w:sz w:val="17"/>
              </w:rPr>
            </w:r>
            <w:r>
              <w:rPr>
                <w:b w:val="0"/>
                <w:sz w:val="17"/>
              </w:rPr>
              <w:t>Average margin example</w:t>
            </w:r>
          </w:p>
        </w:tc>
        <w:tc>
          <w:tcPr>
            <w:tcW w:type="dxa" w:w="5904"/>
            <w:vAlign w:val="top"/>
          </w:tcPr>
          <w:p>
            <w:pPr>
              <w:spacing w:after="0" w:line="240" w:lineRule="auto"/>
            </w:pPr>
            <w:r>
              <w:rPr>
                <w:sz w:val="17"/>
              </w:rPr>
            </w:r>
            <w:r>
              <w:rPr>
                <w:b w:val="0"/>
                <w:sz w:val="17"/>
              </w:rPr>
              <w:t>$10/hr</w:t>
            </w:r>
          </w:p>
        </w:tc>
      </w:tr>
      <w:tr>
        <w:tc>
          <w:tcPr>
            <w:tcW w:type="dxa" w:w="4608"/>
            <w:vAlign w:val="top"/>
          </w:tcPr>
          <w:p>
            <w:pPr>
              <w:spacing w:after="0" w:line="240" w:lineRule="auto"/>
            </w:pPr>
            <w:r>
              <w:rPr>
                <w:sz w:val="17"/>
              </w:rPr>
            </w:r>
            <w:r>
              <w:rPr>
                <w:b w:val="0"/>
                <w:sz w:val="17"/>
              </w:rPr>
              <w:t>Monthly contribution per placement at $10/hr and ₹90/USD</w:t>
            </w:r>
          </w:p>
        </w:tc>
        <w:tc>
          <w:tcPr>
            <w:tcW w:type="dxa" w:w="5904"/>
            <w:vAlign w:val="top"/>
          </w:tcPr>
          <w:p>
            <w:pPr>
              <w:spacing w:after="0" w:line="240" w:lineRule="auto"/>
            </w:pPr>
            <w:r>
              <w:rPr>
                <w:sz w:val="17"/>
              </w:rPr>
            </w:r>
            <w:r>
              <w:rPr>
                <w:b w:val="0"/>
                <w:sz w:val="17"/>
              </w:rPr>
              <w:t>₹1,44,000/month</w:t>
            </w:r>
          </w:p>
        </w:tc>
      </w:tr>
      <w:tr>
        <w:tc>
          <w:tcPr>
            <w:tcW w:type="dxa" w:w="4608"/>
            <w:vAlign w:val="top"/>
          </w:tcPr>
          <w:p>
            <w:pPr>
              <w:spacing w:after="0" w:line="240" w:lineRule="auto"/>
            </w:pPr>
            <w:r>
              <w:rPr>
                <w:sz w:val="17"/>
              </w:rPr>
            </w:r>
            <w:r>
              <w:rPr>
                <w:b w:val="0"/>
                <w:sz w:val="17"/>
              </w:rPr>
              <w:t>Approx active retained placements needed</w:t>
            </w:r>
          </w:p>
        </w:tc>
        <w:tc>
          <w:tcPr>
            <w:tcW w:type="dxa" w:w="5904"/>
            <w:vAlign w:val="top"/>
          </w:tcPr>
          <w:p>
            <w:pPr>
              <w:spacing w:after="0" w:line="240" w:lineRule="auto"/>
            </w:pPr>
            <w:r>
              <w:rPr>
                <w:sz w:val="17"/>
              </w:rPr>
            </w:r>
            <w:r>
              <w:rPr>
                <w:b w:val="0"/>
                <w:sz w:val="17"/>
              </w:rPr>
              <w:t>4-5 placements</w:t>
            </w:r>
          </w:p>
        </w:tc>
      </w:tr>
    </w:tbl>
    <w:p>
      <w:pPr>
        <w:spacing w:after="80" w:line="259" w:lineRule="auto"/>
      </w:pP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656"/>
      </w:tblGrid>
      <w:tr>
        <w:tc>
          <w:tcPr>
            <w:tcW w:type="dxa" w:w="10656"/>
            <w:shd w:fill="FFF2CC"/>
          </w:tcPr>
          <w:p>
            <w:pPr>
              <w:spacing w:after="0" w:line="240" w:lineRule="auto"/>
            </w:pPr>
            <w:r>
              <w:rPr>
                <w:b/>
                <w:color w:val="1F4E79"/>
                <w:sz w:val="20"/>
              </w:rPr>
              <w:t>Interpretation</w:t>
            </w:r>
          </w:p>
          <w:p>
            <w:pPr>
              <w:spacing w:after="0" w:line="240" w:lineRule="auto"/>
            </w:pPr>
            <w:r>
              <w:rPr>
                <w:sz w:val="18"/>
              </w:rPr>
              <w:t>If an employee wants a higher fixed salary such as ₹65,000/month, the target should be anchored to retained contribution and quality. A practical target can be 3 qualified retained starts/month and 9 starts/90 days, with margin and quality gates.</w:t>
            </w:r>
          </w:p>
        </w:tc>
      </w:tr>
    </w:tbl>
    <w:p>
      <w:pPr>
        <w:spacing w:after="80" w:line="259" w:lineRule="auto"/>
      </w:pPr>
    </w:p>
    <w:p>
      <w:pPr>
        <w:pStyle w:val="Heading1"/>
        <w:spacing w:after="80" w:line="259" w:lineRule="auto"/>
      </w:pPr>
      <w:r>
        <w:rPr>
          <w:color w:val="1F4E79"/>
        </w:rPr>
        <w:t>20. Sample Calculation - IT Permanent Placement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4608"/>
            <w:shd w:fill="1F4E79"/>
            <w:vAlign w:val="center"/>
          </w:tcPr>
          <w:p>
            <w:pPr>
              <w:spacing w:after="0" w:line="240" w:lineRule="auto"/>
            </w:pPr>
            <w:r>
              <w:rPr>
                <w:sz w:val="17"/>
              </w:rPr>
            </w:r>
            <w:r>
              <w:rPr>
                <w:b/>
                <w:color w:val="FFFFFF"/>
                <w:sz w:val="17"/>
              </w:rPr>
              <w:t>Input</w:t>
            </w:r>
          </w:p>
        </w:tc>
        <w:tc>
          <w:tcPr>
            <w:tcW w:type="dxa" w:w="5904"/>
            <w:shd w:fill="1F4E79"/>
            <w:vAlign w:val="center"/>
          </w:tcPr>
          <w:p>
            <w:pPr>
              <w:spacing w:after="0" w:line="240" w:lineRule="auto"/>
            </w:pPr>
            <w:r>
              <w:rPr>
                <w:sz w:val="17"/>
              </w:rPr>
            </w:r>
            <w:r>
              <w:rPr>
                <w:b/>
                <w:color w:val="FFFFFF"/>
                <w:sz w:val="17"/>
              </w:rPr>
              <w:t>Value</w:t>
            </w:r>
          </w:p>
        </w:tc>
      </w:tr>
      <w:tr>
        <w:tc>
          <w:tcPr>
            <w:tcW w:type="dxa" w:w="4608"/>
            <w:vAlign w:val="top"/>
          </w:tcPr>
          <w:p>
            <w:pPr>
              <w:spacing w:after="0" w:line="240" w:lineRule="auto"/>
            </w:pPr>
            <w:r>
              <w:rPr>
                <w:sz w:val="17"/>
              </w:rPr>
            </w:r>
            <w:r>
              <w:rPr>
                <w:b w:val="0"/>
                <w:sz w:val="17"/>
              </w:rPr>
              <w:t>Candidate annual salary</w:t>
            </w:r>
          </w:p>
        </w:tc>
        <w:tc>
          <w:tcPr>
            <w:tcW w:type="dxa" w:w="5904"/>
            <w:vAlign w:val="top"/>
          </w:tcPr>
          <w:p>
            <w:pPr>
              <w:spacing w:after="0" w:line="240" w:lineRule="auto"/>
            </w:pPr>
            <w:r>
              <w:rPr>
                <w:sz w:val="17"/>
              </w:rPr>
            </w:r>
            <w:r>
              <w:rPr>
                <w:b w:val="0"/>
                <w:sz w:val="17"/>
              </w:rPr>
              <w:t>$120,000</w:t>
            </w:r>
          </w:p>
        </w:tc>
      </w:tr>
      <w:tr>
        <w:tc>
          <w:tcPr>
            <w:tcW w:type="dxa" w:w="4608"/>
            <w:vAlign w:val="top"/>
          </w:tcPr>
          <w:p>
            <w:pPr>
              <w:spacing w:after="0" w:line="240" w:lineRule="auto"/>
            </w:pPr>
            <w:r>
              <w:rPr>
                <w:sz w:val="17"/>
              </w:rPr>
            </w:r>
            <w:r>
              <w:rPr>
                <w:b w:val="0"/>
                <w:sz w:val="17"/>
              </w:rPr>
              <w:t>Client placement fee</w:t>
            </w:r>
          </w:p>
        </w:tc>
        <w:tc>
          <w:tcPr>
            <w:tcW w:type="dxa" w:w="5904"/>
            <w:vAlign w:val="top"/>
          </w:tcPr>
          <w:p>
            <w:pPr>
              <w:spacing w:after="0" w:line="240" w:lineRule="auto"/>
            </w:pPr>
            <w:r>
              <w:rPr>
                <w:sz w:val="17"/>
              </w:rPr>
            </w:r>
            <w:r>
              <w:rPr>
                <w:b w:val="0"/>
                <w:sz w:val="17"/>
              </w:rPr>
              <w:t>20%</w:t>
            </w:r>
          </w:p>
        </w:tc>
      </w:tr>
      <w:tr>
        <w:tc>
          <w:tcPr>
            <w:tcW w:type="dxa" w:w="4608"/>
            <w:vAlign w:val="top"/>
          </w:tcPr>
          <w:p>
            <w:pPr>
              <w:spacing w:after="0" w:line="240" w:lineRule="auto"/>
            </w:pPr>
            <w:r>
              <w:rPr>
                <w:sz w:val="17"/>
              </w:rPr>
            </w:r>
            <w:r>
              <w:rPr>
                <w:b w:val="0"/>
                <w:sz w:val="17"/>
              </w:rPr>
              <w:t>Gross placement fee</w:t>
            </w:r>
          </w:p>
        </w:tc>
        <w:tc>
          <w:tcPr>
            <w:tcW w:type="dxa" w:w="5904"/>
            <w:vAlign w:val="top"/>
          </w:tcPr>
          <w:p>
            <w:pPr>
              <w:spacing w:after="0" w:line="240" w:lineRule="auto"/>
            </w:pPr>
            <w:r>
              <w:rPr>
                <w:sz w:val="17"/>
              </w:rPr>
            </w:r>
            <w:r>
              <w:rPr>
                <w:b w:val="0"/>
                <w:sz w:val="17"/>
              </w:rPr>
              <w:t>$24,000</w:t>
            </w:r>
          </w:p>
        </w:tc>
      </w:tr>
      <w:tr>
        <w:tc>
          <w:tcPr>
            <w:tcW w:type="dxa" w:w="4608"/>
            <w:vAlign w:val="top"/>
          </w:tcPr>
          <w:p>
            <w:pPr>
              <w:spacing w:after="0" w:line="240" w:lineRule="auto"/>
            </w:pPr>
            <w:r>
              <w:rPr>
                <w:sz w:val="17"/>
              </w:rPr>
            </w:r>
            <w:r>
              <w:rPr>
                <w:b w:val="0"/>
                <w:sz w:val="17"/>
              </w:rPr>
              <w:t>Split/vendor fee</w:t>
            </w:r>
          </w:p>
        </w:tc>
        <w:tc>
          <w:tcPr>
            <w:tcW w:type="dxa" w:w="5904"/>
            <w:vAlign w:val="top"/>
          </w:tcPr>
          <w:p>
            <w:pPr>
              <w:spacing w:after="0" w:line="240" w:lineRule="auto"/>
            </w:pPr>
            <w:r>
              <w:rPr>
                <w:sz w:val="17"/>
              </w:rPr>
            </w:r>
            <w:r>
              <w:rPr>
                <w:b w:val="0"/>
                <w:sz w:val="17"/>
              </w:rPr>
              <w:t>$4,000</w:t>
            </w:r>
          </w:p>
        </w:tc>
      </w:tr>
      <w:tr>
        <w:tc>
          <w:tcPr>
            <w:tcW w:type="dxa" w:w="4608"/>
            <w:vAlign w:val="top"/>
          </w:tcPr>
          <w:p>
            <w:pPr>
              <w:spacing w:after="0" w:line="240" w:lineRule="auto"/>
            </w:pPr>
            <w:r>
              <w:rPr>
                <w:sz w:val="17"/>
              </w:rPr>
            </w:r>
            <w:r>
              <w:rPr>
                <w:b w:val="0"/>
                <w:sz w:val="17"/>
              </w:rPr>
              <w:t>Ops/tools/refund reserve</w:t>
            </w:r>
          </w:p>
        </w:tc>
        <w:tc>
          <w:tcPr>
            <w:tcW w:type="dxa" w:w="5904"/>
            <w:vAlign w:val="top"/>
          </w:tcPr>
          <w:p>
            <w:pPr>
              <w:spacing w:after="0" w:line="240" w:lineRule="auto"/>
            </w:pPr>
            <w:r>
              <w:rPr>
                <w:sz w:val="17"/>
              </w:rPr>
            </w:r>
            <w:r>
              <w:rPr>
                <w:b w:val="0"/>
                <w:sz w:val="17"/>
              </w:rPr>
              <w:t>$3,000</w:t>
            </w:r>
          </w:p>
        </w:tc>
      </w:tr>
      <w:tr>
        <w:tc>
          <w:tcPr>
            <w:tcW w:type="dxa" w:w="4608"/>
            <w:vAlign w:val="top"/>
          </w:tcPr>
          <w:p>
            <w:pPr>
              <w:spacing w:after="0" w:line="240" w:lineRule="auto"/>
            </w:pPr>
            <w:r>
              <w:rPr>
                <w:sz w:val="17"/>
              </w:rPr>
            </w:r>
            <w:r>
              <w:rPr>
                <w:b w:val="0"/>
                <w:sz w:val="17"/>
              </w:rPr>
              <w:t>Net fee contribution</w:t>
            </w:r>
          </w:p>
        </w:tc>
        <w:tc>
          <w:tcPr>
            <w:tcW w:type="dxa" w:w="5904"/>
            <w:vAlign w:val="top"/>
          </w:tcPr>
          <w:p>
            <w:pPr>
              <w:spacing w:after="0" w:line="240" w:lineRule="auto"/>
            </w:pPr>
            <w:r>
              <w:rPr>
                <w:sz w:val="17"/>
              </w:rPr>
            </w:r>
            <w:r>
              <w:rPr>
                <w:b w:val="0"/>
                <w:sz w:val="17"/>
              </w:rPr>
              <w:t>$17,000</w:t>
            </w:r>
          </w:p>
        </w:tc>
      </w:tr>
      <w:tr>
        <w:tc>
          <w:tcPr>
            <w:tcW w:type="dxa" w:w="4608"/>
            <w:vAlign w:val="top"/>
          </w:tcPr>
          <w:p>
            <w:pPr>
              <w:spacing w:after="0" w:line="240" w:lineRule="auto"/>
            </w:pPr>
            <w:r>
              <w:rPr>
                <w:sz w:val="17"/>
              </w:rPr>
            </w:r>
            <w:r>
              <w:rPr>
                <w:b w:val="0"/>
                <w:sz w:val="17"/>
              </w:rPr>
              <w:t>Policy note</w:t>
            </w:r>
          </w:p>
        </w:tc>
        <w:tc>
          <w:tcPr>
            <w:tcW w:type="dxa" w:w="5904"/>
            <w:vAlign w:val="top"/>
          </w:tcPr>
          <w:p>
            <w:pPr>
              <w:spacing w:after="0" w:line="240" w:lineRule="auto"/>
            </w:pPr>
            <w:r>
              <w:rPr>
                <w:sz w:val="17"/>
              </w:rPr>
            </w:r>
            <w:r>
              <w:rPr>
                <w:b w:val="0"/>
                <w:sz w:val="17"/>
              </w:rPr>
              <w:t>Count toward incentive only after candidate joins and replacement/refund period conditions are satisfied.</w:t>
            </w:r>
          </w:p>
        </w:tc>
      </w:tr>
    </w:tbl>
    <w:p>
      <w:pPr>
        <w:spacing w:after="80" w:line="259" w:lineRule="auto"/>
      </w:pPr>
    </w:p>
    <w:p>
      <w:pPr>
        <w:pStyle w:val="Heading1"/>
        <w:spacing w:after="80" w:line="259" w:lineRule="auto"/>
      </w:pPr>
      <w:r>
        <w:rPr>
          <w:color w:val="1F4E79"/>
        </w:rPr>
        <w:t>21. Review and Governance Controls</w:t>
      </w:r>
    </w:p>
    <w:p>
      <w:pPr>
        <w:pStyle w:val="ListBullet"/>
        <w:spacing w:after="80" w:line="259" w:lineRule="auto"/>
      </w:pPr>
      <w:r>
        <w:rPr>
          <w:sz w:val="19"/>
        </w:rPr>
        <w:t>All targets must show inputs and calculations used to generate them.</w:t>
      </w:r>
    </w:p>
    <w:p>
      <w:pPr>
        <w:pStyle w:val="ListBullet"/>
        <w:spacing w:after="80" w:line="259" w:lineRule="auto"/>
      </w:pPr>
      <w:r>
        <w:rPr>
          <w:sz w:val="19"/>
        </w:rPr>
        <w:t>Managers can override targets only with documented business reason and approval.</w:t>
      </w:r>
    </w:p>
    <w:p>
      <w:pPr>
        <w:pStyle w:val="ListBullet"/>
        <w:spacing w:after="80" w:line="259" w:lineRule="auto"/>
      </w:pPr>
      <w:r>
        <w:rPr>
          <w:sz w:val="19"/>
        </w:rPr>
        <w:t>Incentive exceptions must be approved before payout eligibility is confirmed.</w:t>
      </w:r>
    </w:p>
    <w:p>
      <w:pPr>
        <w:pStyle w:val="ListBullet"/>
        <w:spacing w:after="80" w:line="259" w:lineRule="auto"/>
      </w:pPr>
      <w:r>
        <w:rPr>
          <w:sz w:val="19"/>
        </w:rPr>
        <w:t>Future policy changes should be prospective unless leadership explicitly approves retroactive application in writing.</w:t>
      </w:r>
    </w:p>
    <w:p>
      <w:pPr>
        <w:pStyle w:val="ListBullet"/>
        <w:spacing w:after="80" w:line="259" w:lineRule="auto"/>
      </w:pPr>
      <w:r>
        <w:rPr>
          <w:sz w:val="19"/>
        </w:rPr>
        <w:t>No verbal incentive commitments should be considered valid unless documented in company-approved policy or written agreement.</w:t>
      </w:r>
    </w:p>
    <w:p>
      <w:pPr>
        <w:pStyle w:val="ListBullet"/>
        <w:spacing w:after="80" w:line="259" w:lineRule="auto"/>
      </w:pPr>
      <w:r>
        <w:rPr>
          <w:sz w:val="19"/>
        </w:rPr>
        <w:t>Access to margin, compensation, and client/pricing data should be role-based and limited to need-to-know users.</w:t>
      </w:r>
    </w:p>
    <w:p>
      <w:pPr>
        <w:pStyle w:val="Heading1"/>
        <w:spacing w:after="80" w:line="259" w:lineRule="auto"/>
      </w:pPr>
      <w:r>
        <w:rPr>
          <w:color w:val="1F4E79"/>
        </w:rPr>
        <w:t>22. User Interface Requirements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Screen</w:t>
            </w:r>
          </w:p>
        </w:tc>
        <w:tc>
          <w:tcPr>
            <w:tcW w:type="dxa" w:w="4752"/>
            <w:shd w:fill="1F4E79"/>
            <w:vAlign w:val="center"/>
          </w:tcPr>
          <w:p>
            <w:pPr>
              <w:spacing w:after="0" w:line="240" w:lineRule="auto"/>
            </w:pPr>
            <w:r>
              <w:rPr>
                <w:sz w:val="17"/>
              </w:rPr>
            </w:r>
            <w:r>
              <w:rPr>
                <w:b/>
                <w:color w:val="FFFFFF"/>
                <w:sz w:val="17"/>
              </w:rPr>
              <w:t>Fields / Widgets</w:t>
            </w:r>
          </w:p>
        </w:tc>
        <w:tc>
          <w:tcPr>
            <w:tcW w:type="dxa" w:w="3168"/>
            <w:shd w:fill="1F4E79"/>
            <w:vAlign w:val="center"/>
          </w:tcPr>
          <w:p>
            <w:pPr>
              <w:spacing w:after="0" w:line="240" w:lineRule="auto"/>
            </w:pPr>
            <w:r>
              <w:rPr>
                <w:sz w:val="17"/>
              </w:rPr>
            </w:r>
            <w:r>
              <w:rPr>
                <w:b/>
                <w:color w:val="FFFFFF"/>
                <w:sz w:val="17"/>
              </w:rPr>
              <w:t>Output</w:t>
            </w:r>
          </w:p>
        </w:tc>
      </w:tr>
      <w:tr>
        <w:tc>
          <w:tcPr>
            <w:tcW w:type="dxa" w:w="2592"/>
            <w:vAlign w:val="top"/>
          </w:tcPr>
          <w:p>
            <w:pPr>
              <w:spacing w:after="0" w:line="240" w:lineRule="auto"/>
            </w:pPr>
            <w:r>
              <w:rPr>
                <w:sz w:val="17"/>
              </w:rPr>
            </w:r>
            <w:r>
              <w:rPr>
                <w:b w:val="0"/>
                <w:sz w:val="17"/>
              </w:rPr>
              <w:t>Employee Target Builder</w:t>
            </w:r>
          </w:p>
        </w:tc>
        <w:tc>
          <w:tcPr>
            <w:tcW w:type="dxa" w:w="4752"/>
            <w:vAlign w:val="top"/>
          </w:tcPr>
          <w:p>
            <w:pPr>
              <w:spacing w:after="0" w:line="240" w:lineRule="auto"/>
            </w:pPr>
            <w:r>
              <w:rPr>
                <w:sz w:val="17"/>
              </w:rPr>
            </w:r>
            <w:r>
              <w:rPr>
                <w:b w:val="0"/>
                <w:sz w:val="17"/>
              </w:rPr>
              <w:t>Employee, department, role level, salary, manager, support resources, client demand.</w:t>
            </w:r>
          </w:p>
        </w:tc>
        <w:tc>
          <w:tcPr>
            <w:tcW w:type="dxa" w:w="3168"/>
            <w:vAlign w:val="top"/>
          </w:tcPr>
          <w:p>
            <w:pPr>
              <w:spacing w:after="0" w:line="240" w:lineRule="auto"/>
            </w:pPr>
            <w:r>
              <w:rPr>
                <w:sz w:val="17"/>
              </w:rPr>
            </w:r>
            <w:r>
              <w:rPr>
                <w:b w:val="0"/>
                <w:sz w:val="17"/>
              </w:rPr>
              <w:t>Generated target plan.</w:t>
            </w:r>
          </w:p>
        </w:tc>
      </w:tr>
      <w:tr>
        <w:tc>
          <w:tcPr>
            <w:tcW w:type="dxa" w:w="2592"/>
            <w:vAlign w:val="top"/>
          </w:tcPr>
          <w:p>
            <w:pPr>
              <w:spacing w:after="0" w:line="240" w:lineRule="auto"/>
            </w:pPr>
            <w:r>
              <w:rPr>
                <w:sz w:val="17"/>
              </w:rPr>
            </w:r>
            <w:r>
              <w:rPr>
                <w:b w:val="0"/>
                <w:sz w:val="17"/>
              </w:rPr>
              <w:t>Placement Calculator</w:t>
            </w:r>
          </w:p>
        </w:tc>
        <w:tc>
          <w:tcPr>
            <w:tcW w:type="dxa" w:w="4752"/>
            <w:vAlign w:val="top"/>
          </w:tcPr>
          <w:p>
            <w:pPr>
              <w:spacing w:after="0" w:line="240" w:lineRule="auto"/>
            </w:pPr>
            <w:r>
              <w:rPr>
                <w:sz w:val="17"/>
              </w:rPr>
            </w:r>
            <w:r>
              <w:rPr>
                <w:b w:val="0"/>
                <w:sz w:val="17"/>
              </w:rPr>
              <w:t>Bill rate, pay rate, fees, burden, split, ops cost, tool/admin allocation.</w:t>
            </w:r>
          </w:p>
        </w:tc>
        <w:tc>
          <w:tcPr>
            <w:tcW w:type="dxa" w:w="3168"/>
            <w:vAlign w:val="top"/>
          </w:tcPr>
          <w:p>
            <w:pPr>
              <w:spacing w:after="0" w:line="240" w:lineRule="auto"/>
            </w:pPr>
            <w:r>
              <w:rPr>
                <w:sz w:val="17"/>
              </w:rPr>
            </w:r>
            <w:r>
              <w:rPr>
                <w:b w:val="0"/>
                <w:sz w:val="17"/>
              </w:rPr>
              <w:t>Contribution margin and eligibility pass/fail.</w:t>
            </w:r>
          </w:p>
        </w:tc>
      </w:tr>
      <w:tr>
        <w:tc>
          <w:tcPr>
            <w:tcW w:type="dxa" w:w="2592"/>
            <w:vAlign w:val="top"/>
          </w:tcPr>
          <w:p>
            <w:pPr>
              <w:spacing w:after="0" w:line="240" w:lineRule="auto"/>
            </w:pPr>
            <w:r>
              <w:rPr>
                <w:sz w:val="17"/>
              </w:rPr>
            </w:r>
            <w:r>
              <w:rPr>
                <w:b w:val="0"/>
                <w:sz w:val="17"/>
              </w:rPr>
              <w:t>Manager Dashboard</w:t>
            </w:r>
          </w:p>
        </w:tc>
        <w:tc>
          <w:tcPr>
            <w:tcW w:type="dxa" w:w="4752"/>
            <w:vAlign w:val="top"/>
          </w:tcPr>
          <w:p>
            <w:pPr>
              <w:spacing w:after="0" w:line="240" w:lineRule="auto"/>
            </w:pPr>
            <w:r>
              <w:rPr>
                <w:sz w:val="17"/>
              </w:rPr>
            </w:r>
            <w:r>
              <w:rPr>
                <w:b w:val="0"/>
                <w:sz w:val="17"/>
              </w:rPr>
              <w:t>Team members, targets, weekly progress, starts, falloffs, margin, score.</w:t>
            </w:r>
          </w:p>
        </w:tc>
        <w:tc>
          <w:tcPr>
            <w:tcW w:type="dxa" w:w="3168"/>
            <w:vAlign w:val="top"/>
          </w:tcPr>
          <w:p>
            <w:pPr>
              <w:spacing w:after="0" w:line="240" w:lineRule="auto"/>
            </w:pPr>
            <w:r>
              <w:rPr>
                <w:sz w:val="17"/>
              </w:rPr>
            </w:r>
            <w:r>
              <w:rPr>
                <w:b w:val="0"/>
                <w:sz w:val="17"/>
              </w:rPr>
              <w:t>Team performance view.</w:t>
            </w:r>
          </w:p>
        </w:tc>
      </w:tr>
      <w:tr>
        <w:tc>
          <w:tcPr>
            <w:tcW w:type="dxa" w:w="2592"/>
            <w:vAlign w:val="top"/>
          </w:tcPr>
          <w:p>
            <w:pPr>
              <w:spacing w:after="0" w:line="240" w:lineRule="auto"/>
            </w:pPr>
            <w:r>
              <w:rPr>
                <w:sz w:val="17"/>
              </w:rPr>
            </w:r>
            <w:r>
              <w:rPr>
                <w:b w:val="0"/>
                <w:sz w:val="17"/>
              </w:rPr>
              <w:t>Incentive Queue</w:t>
            </w:r>
          </w:p>
        </w:tc>
        <w:tc>
          <w:tcPr>
            <w:tcW w:type="dxa" w:w="4752"/>
            <w:vAlign w:val="top"/>
          </w:tcPr>
          <w:p>
            <w:pPr>
              <w:spacing w:after="0" w:line="240" w:lineRule="auto"/>
            </w:pPr>
            <w:r>
              <w:rPr>
                <w:sz w:val="17"/>
              </w:rPr>
            </w:r>
            <w:r>
              <w:rPr>
                <w:b w:val="0"/>
                <w:sz w:val="17"/>
              </w:rPr>
              <w:t>Eligible placements, retention date, margin pass/fail, documentation status.</w:t>
            </w:r>
          </w:p>
        </w:tc>
        <w:tc>
          <w:tcPr>
            <w:tcW w:type="dxa" w:w="3168"/>
            <w:vAlign w:val="top"/>
          </w:tcPr>
          <w:p>
            <w:pPr>
              <w:spacing w:after="0" w:line="240" w:lineRule="auto"/>
            </w:pPr>
            <w:r>
              <w:rPr>
                <w:sz w:val="17"/>
              </w:rPr>
            </w:r>
            <w:r>
              <w:rPr>
                <w:b w:val="0"/>
                <w:sz w:val="17"/>
              </w:rPr>
              <w:t>Finance payout review.</w:t>
            </w:r>
          </w:p>
        </w:tc>
      </w:tr>
      <w:tr>
        <w:tc>
          <w:tcPr>
            <w:tcW w:type="dxa" w:w="2592"/>
            <w:vAlign w:val="top"/>
          </w:tcPr>
          <w:p>
            <w:pPr>
              <w:spacing w:after="0" w:line="240" w:lineRule="auto"/>
            </w:pPr>
            <w:r>
              <w:rPr>
                <w:sz w:val="17"/>
              </w:rPr>
            </w:r>
            <w:r>
              <w:rPr>
                <w:b w:val="0"/>
                <w:sz w:val="17"/>
              </w:rPr>
              <w:t>Review Document Generator</w:t>
            </w:r>
          </w:p>
        </w:tc>
        <w:tc>
          <w:tcPr>
            <w:tcW w:type="dxa" w:w="4752"/>
            <w:vAlign w:val="top"/>
          </w:tcPr>
          <w:p>
            <w:pPr>
              <w:spacing w:after="0" w:line="240" w:lineRule="auto"/>
            </w:pPr>
            <w:r>
              <w:rPr>
                <w:sz w:val="17"/>
              </w:rPr>
            </w:r>
            <w:r>
              <w:rPr>
                <w:b w:val="0"/>
                <w:sz w:val="17"/>
              </w:rPr>
              <w:t>Select employee and review period.</w:t>
            </w:r>
          </w:p>
        </w:tc>
        <w:tc>
          <w:tcPr>
            <w:tcW w:type="dxa" w:w="3168"/>
            <w:vAlign w:val="top"/>
          </w:tcPr>
          <w:p>
            <w:pPr>
              <w:spacing w:after="0" w:line="240" w:lineRule="auto"/>
            </w:pPr>
            <w:r>
              <w:rPr>
                <w:sz w:val="17"/>
              </w:rPr>
            </w:r>
            <w:r>
              <w:rPr>
                <w:b w:val="0"/>
                <w:sz w:val="17"/>
              </w:rPr>
              <w:t>DOCX/PDF target plan and addendum.</w:t>
            </w:r>
          </w:p>
        </w:tc>
      </w:tr>
      <w:tr>
        <w:tc>
          <w:tcPr>
            <w:tcW w:type="dxa" w:w="2592"/>
            <w:vAlign w:val="top"/>
          </w:tcPr>
          <w:p>
            <w:pPr>
              <w:spacing w:after="0" w:line="240" w:lineRule="auto"/>
            </w:pPr>
            <w:r>
              <w:rPr>
                <w:sz w:val="17"/>
              </w:rPr>
            </w:r>
            <w:r>
              <w:rPr>
                <w:b w:val="0"/>
                <w:sz w:val="17"/>
              </w:rPr>
              <w:t>Policy Config</w:t>
            </w:r>
          </w:p>
        </w:tc>
        <w:tc>
          <w:tcPr>
            <w:tcW w:type="dxa" w:w="4752"/>
            <w:vAlign w:val="top"/>
          </w:tcPr>
          <w:p>
            <w:pPr>
              <w:spacing w:after="0" w:line="240" w:lineRule="auto"/>
            </w:pPr>
            <w:r>
              <w:rPr>
                <w:sz w:val="17"/>
              </w:rPr>
            </w:r>
            <w:r>
              <w:rPr>
                <w:b w:val="0"/>
                <w:sz w:val="17"/>
              </w:rPr>
              <w:t>Target rules, retention periods, incentive amounts, thresholds.</w:t>
            </w:r>
          </w:p>
        </w:tc>
        <w:tc>
          <w:tcPr>
            <w:tcW w:type="dxa" w:w="3168"/>
            <w:vAlign w:val="top"/>
          </w:tcPr>
          <w:p>
            <w:pPr>
              <w:spacing w:after="0" w:line="240" w:lineRule="auto"/>
            </w:pPr>
            <w:r>
              <w:rPr>
                <w:sz w:val="17"/>
              </w:rPr>
            </w:r>
            <w:r>
              <w:rPr>
                <w:b w:val="0"/>
                <w:sz w:val="17"/>
              </w:rPr>
              <w:t>Admin configuration.</w:t>
            </w:r>
          </w:p>
        </w:tc>
      </w:tr>
    </w:tbl>
    <w:p>
      <w:pPr>
        <w:spacing w:after="80" w:line="259" w:lineRule="auto"/>
      </w:pPr>
    </w:p>
    <w:p>
      <w:pPr>
        <w:pStyle w:val="Heading1"/>
        <w:spacing w:after="80" w:line="259" w:lineRule="auto"/>
      </w:pPr>
      <w:r>
        <w:rPr>
          <w:color w:val="1F4E79"/>
        </w:rPr>
        <w:t>23. Reports and Dashboards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3456"/>
            <w:shd w:fill="1F4E79"/>
            <w:vAlign w:val="center"/>
          </w:tcPr>
          <w:p>
            <w:pPr>
              <w:spacing w:after="0" w:line="240" w:lineRule="auto"/>
            </w:pPr>
            <w:r>
              <w:rPr>
                <w:sz w:val="17"/>
              </w:rPr>
            </w:r>
            <w:r>
              <w:rPr>
                <w:b/>
                <w:color w:val="FFFFFF"/>
                <w:sz w:val="17"/>
              </w:rPr>
              <w:t>Report</w:t>
            </w:r>
          </w:p>
        </w:tc>
        <w:tc>
          <w:tcPr>
            <w:tcW w:type="dxa" w:w="7056"/>
            <w:shd w:fill="1F4E79"/>
            <w:vAlign w:val="center"/>
          </w:tcPr>
          <w:p>
            <w:pPr>
              <w:spacing w:after="0" w:line="240" w:lineRule="auto"/>
            </w:pPr>
            <w:r>
              <w:rPr>
                <w:sz w:val="17"/>
              </w:rPr>
            </w:r>
            <w:r>
              <w:rPr>
                <w:b/>
                <w:color w:val="FFFFFF"/>
                <w:sz w:val="17"/>
              </w:rPr>
              <w:t>Purpose</w:t>
            </w:r>
          </w:p>
        </w:tc>
      </w:tr>
      <w:tr>
        <w:tc>
          <w:tcPr>
            <w:tcW w:type="dxa" w:w="3456"/>
            <w:vAlign w:val="top"/>
          </w:tcPr>
          <w:p>
            <w:pPr>
              <w:spacing w:after="0" w:line="240" w:lineRule="auto"/>
            </w:pPr>
            <w:r>
              <w:rPr>
                <w:sz w:val="17"/>
              </w:rPr>
            </w:r>
            <w:r>
              <w:rPr>
                <w:b w:val="0"/>
                <w:sz w:val="17"/>
              </w:rPr>
              <w:t>Weekly Recruiter Scorecard</w:t>
            </w:r>
          </w:p>
        </w:tc>
        <w:tc>
          <w:tcPr>
            <w:tcW w:type="dxa" w:w="7056"/>
            <w:vAlign w:val="top"/>
          </w:tcPr>
          <w:p>
            <w:pPr>
              <w:spacing w:after="0" w:line="240" w:lineRule="auto"/>
            </w:pPr>
            <w:r>
              <w:rPr>
                <w:sz w:val="17"/>
              </w:rPr>
            </w:r>
            <w:r>
              <w:rPr>
                <w:b w:val="0"/>
                <w:sz w:val="17"/>
              </w:rPr>
              <w:t>Track progress by employee and role level.</w:t>
            </w:r>
          </w:p>
        </w:tc>
      </w:tr>
      <w:tr>
        <w:tc>
          <w:tcPr>
            <w:tcW w:type="dxa" w:w="3456"/>
            <w:vAlign w:val="top"/>
          </w:tcPr>
          <w:p>
            <w:pPr>
              <w:spacing w:after="0" w:line="240" w:lineRule="auto"/>
            </w:pPr>
            <w:r>
              <w:rPr>
                <w:sz w:val="17"/>
              </w:rPr>
            </w:r>
            <w:r>
              <w:rPr>
                <w:b w:val="0"/>
                <w:sz w:val="17"/>
              </w:rPr>
              <w:t>Healthcare Desk P&amp;L View</w:t>
            </w:r>
          </w:p>
        </w:tc>
        <w:tc>
          <w:tcPr>
            <w:tcW w:type="dxa" w:w="7056"/>
            <w:vAlign w:val="top"/>
          </w:tcPr>
          <w:p>
            <w:pPr>
              <w:spacing w:after="0" w:line="240" w:lineRule="auto"/>
            </w:pPr>
            <w:r>
              <w:rPr>
                <w:sz w:val="17"/>
              </w:rPr>
            </w:r>
            <w:r>
              <w:rPr>
                <w:b w:val="0"/>
                <w:sz w:val="17"/>
              </w:rPr>
              <w:t>Show retained gross margin, loaded costs, and contribution by month.</w:t>
            </w:r>
          </w:p>
        </w:tc>
      </w:tr>
      <w:tr>
        <w:tc>
          <w:tcPr>
            <w:tcW w:type="dxa" w:w="3456"/>
            <w:vAlign w:val="top"/>
          </w:tcPr>
          <w:p>
            <w:pPr>
              <w:spacing w:after="0" w:line="240" w:lineRule="auto"/>
            </w:pPr>
            <w:r>
              <w:rPr>
                <w:sz w:val="17"/>
              </w:rPr>
            </w:r>
            <w:r>
              <w:rPr>
                <w:b w:val="0"/>
                <w:sz w:val="17"/>
              </w:rPr>
              <w:t>IT Desk P&amp;L View</w:t>
            </w:r>
          </w:p>
        </w:tc>
        <w:tc>
          <w:tcPr>
            <w:tcW w:type="dxa" w:w="7056"/>
            <w:vAlign w:val="top"/>
          </w:tcPr>
          <w:p>
            <w:pPr>
              <w:spacing w:after="0" w:line="240" w:lineRule="auto"/>
            </w:pPr>
            <w:r>
              <w:rPr>
                <w:sz w:val="17"/>
              </w:rPr>
            </w:r>
            <w:r>
              <w:rPr>
                <w:b w:val="0"/>
                <w:sz w:val="17"/>
              </w:rPr>
              <w:t>Show contract margin and permanent fee contribution.</w:t>
            </w:r>
          </w:p>
        </w:tc>
      </w:tr>
      <w:tr>
        <w:tc>
          <w:tcPr>
            <w:tcW w:type="dxa" w:w="3456"/>
            <w:vAlign w:val="top"/>
          </w:tcPr>
          <w:p>
            <w:pPr>
              <w:spacing w:after="0" w:line="240" w:lineRule="auto"/>
            </w:pPr>
            <w:r>
              <w:rPr>
                <w:sz w:val="17"/>
              </w:rPr>
            </w:r>
            <w:r>
              <w:rPr>
                <w:b w:val="0"/>
                <w:sz w:val="17"/>
              </w:rPr>
              <w:t>Falloff Reason Report</w:t>
            </w:r>
          </w:p>
        </w:tc>
        <w:tc>
          <w:tcPr>
            <w:tcW w:type="dxa" w:w="7056"/>
            <w:vAlign w:val="top"/>
          </w:tcPr>
          <w:p>
            <w:pPr>
              <w:spacing w:after="0" w:line="240" w:lineRule="auto"/>
            </w:pPr>
            <w:r>
              <w:rPr>
                <w:sz w:val="17"/>
              </w:rPr>
            </w:r>
            <w:r>
              <w:rPr>
                <w:b w:val="0"/>
                <w:sz w:val="17"/>
              </w:rPr>
              <w:t>Identify weak screening, no-show, mismatch, or commitment gaps.</w:t>
            </w:r>
          </w:p>
        </w:tc>
      </w:tr>
      <w:tr>
        <w:tc>
          <w:tcPr>
            <w:tcW w:type="dxa" w:w="3456"/>
            <w:vAlign w:val="top"/>
          </w:tcPr>
          <w:p>
            <w:pPr>
              <w:spacing w:after="0" w:line="240" w:lineRule="auto"/>
            </w:pPr>
            <w:r>
              <w:rPr>
                <w:sz w:val="17"/>
              </w:rPr>
            </w:r>
            <w:r>
              <w:rPr>
                <w:b w:val="0"/>
                <w:sz w:val="17"/>
              </w:rPr>
              <w:t>Sourcer Conversion Report</w:t>
            </w:r>
          </w:p>
        </w:tc>
        <w:tc>
          <w:tcPr>
            <w:tcW w:type="dxa" w:w="7056"/>
            <w:vAlign w:val="top"/>
          </w:tcPr>
          <w:p>
            <w:pPr>
              <w:spacing w:after="0" w:line="240" w:lineRule="auto"/>
            </w:pPr>
            <w:r>
              <w:rPr>
                <w:sz w:val="17"/>
              </w:rPr>
            </w:r>
            <w:r>
              <w:rPr>
                <w:b w:val="0"/>
                <w:sz w:val="17"/>
              </w:rPr>
              <w:t>Measure sourced candidates that become retained starts.</w:t>
            </w:r>
          </w:p>
        </w:tc>
      </w:tr>
      <w:tr>
        <w:tc>
          <w:tcPr>
            <w:tcW w:type="dxa" w:w="3456"/>
            <w:vAlign w:val="top"/>
          </w:tcPr>
          <w:p>
            <w:pPr>
              <w:spacing w:after="0" w:line="240" w:lineRule="auto"/>
            </w:pPr>
            <w:r>
              <w:rPr>
                <w:sz w:val="17"/>
              </w:rPr>
            </w:r>
            <w:r>
              <w:rPr>
                <w:b w:val="0"/>
                <w:sz w:val="17"/>
              </w:rPr>
              <w:t>Incentive Liability Report</w:t>
            </w:r>
          </w:p>
        </w:tc>
        <w:tc>
          <w:tcPr>
            <w:tcW w:type="dxa" w:w="7056"/>
            <w:vAlign w:val="top"/>
          </w:tcPr>
          <w:p>
            <w:pPr>
              <w:spacing w:after="0" w:line="240" w:lineRule="auto"/>
            </w:pPr>
            <w:r>
              <w:rPr>
                <w:sz w:val="17"/>
              </w:rPr>
            </w:r>
            <w:r>
              <w:rPr>
                <w:b w:val="0"/>
                <w:sz w:val="17"/>
              </w:rPr>
              <w:t>Future incentive payouts expected after retention period.</w:t>
            </w:r>
          </w:p>
        </w:tc>
      </w:tr>
      <w:tr>
        <w:tc>
          <w:tcPr>
            <w:tcW w:type="dxa" w:w="3456"/>
            <w:vAlign w:val="top"/>
          </w:tcPr>
          <w:p>
            <w:pPr>
              <w:spacing w:after="0" w:line="240" w:lineRule="auto"/>
            </w:pPr>
            <w:r>
              <w:rPr>
                <w:sz w:val="17"/>
              </w:rPr>
            </w:r>
            <w:r>
              <w:rPr>
                <w:b w:val="0"/>
                <w:sz w:val="17"/>
              </w:rPr>
              <w:t>Target vs Actual Report</w:t>
            </w:r>
          </w:p>
        </w:tc>
        <w:tc>
          <w:tcPr>
            <w:tcW w:type="dxa" w:w="7056"/>
            <w:vAlign w:val="top"/>
          </w:tcPr>
          <w:p>
            <w:pPr>
              <w:spacing w:after="0" w:line="240" w:lineRule="auto"/>
            </w:pPr>
            <w:r>
              <w:rPr>
                <w:sz w:val="17"/>
              </w:rPr>
            </w:r>
            <w:r>
              <w:rPr>
                <w:b w:val="0"/>
                <w:sz w:val="17"/>
              </w:rPr>
              <w:t>Manager view of achievement, risk, and salary-review readiness.</w:t>
            </w:r>
          </w:p>
        </w:tc>
      </w:tr>
    </w:tbl>
    <w:p>
      <w:pPr>
        <w:spacing w:after="80" w:line="259" w:lineRule="auto"/>
      </w:pPr>
    </w:p>
    <w:p>
      <w:pPr>
        <w:pStyle w:val="Heading1"/>
        <w:spacing w:after="80" w:line="259" w:lineRule="auto"/>
      </w:pPr>
      <w:r>
        <w:rPr>
          <w:color w:val="1F4E79"/>
        </w:rPr>
        <w:t>24. Implementation Roadmap</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552"/>
        <w:gridCol w:w="3552"/>
        <w:gridCol w:w="3552"/>
      </w:tblGrid>
      <w:tr>
        <w:trPr>
          <w:tblHeader w:val="true"/>
        </w:trPr>
        <w:tc>
          <w:tcPr>
            <w:tcW w:type="dxa" w:w="2592"/>
            <w:shd w:fill="1F4E79"/>
            <w:vAlign w:val="center"/>
          </w:tcPr>
          <w:p>
            <w:pPr>
              <w:spacing w:after="0" w:line="240" w:lineRule="auto"/>
            </w:pPr>
            <w:r>
              <w:rPr>
                <w:sz w:val="17"/>
              </w:rPr>
            </w:r>
            <w:r>
              <w:rPr>
                <w:b/>
                <w:color w:val="FFFFFF"/>
                <w:sz w:val="17"/>
              </w:rPr>
              <w:t>Phase</w:t>
            </w:r>
          </w:p>
        </w:tc>
        <w:tc>
          <w:tcPr>
            <w:tcW w:type="dxa" w:w="2016"/>
            <w:shd w:fill="1F4E79"/>
            <w:vAlign w:val="center"/>
          </w:tcPr>
          <w:p>
            <w:pPr>
              <w:spacing w:after="0" w:line="240" w:lineRule="auto"/>
            </w:pPr>
            <w:r>
              <w:rPr>
                <w:sz w:val="17"/>
              </w:rPr>
            </w:r>
            <w:r>
              <w:rPr>
                <w:b/>
                <w:color w:val="FFFFFF"/>
                <w:sz w:val="17"/>
              </w:rPr>
              <w:t>Timeline</w:t>
            </w:r>
          </w:p>
        </w:tc>
        <w:tc>
          <w:tcPr>
            <w:tcW w:type="dxa" w:w="5904"/>
            <w:shd w:fill="1F4E79"/>
            <w:vAlign w:val="center"/>
          </w:tcPr>
          <w:p>
            <w:pPr>
              <w:spacing w:after="0" w:line="240" w:lineRule="auto"/>
            </w:pPr>
            <w:r>
              <w:rPr>
                <w:sz w:val="17"/>
              </w:rPr>
            </w:r>
            <w:r>
              <w:rPr>
                <w:b/>
                <w:color w:val="FFFFFF"/>
                <w:sz w:val="17"/>
              </w:rPr>
              <w:t>Deliverables</w:t>
            </w:r>
          </w:p>
        </w:tc>
      </w:tr>
      <w:tr>
        <w:tc>
          <w:tcPr>
            <w:tcW w:type="dxa" w:w="2592"/>
            <w:vAlign w:val="top"/>
          </w:tcPr>
          <w:p>
            <w:pPr>
              <w:spacing w:after="0" w:line="240" w:lineRule="auto"/>
            </w:pPr>
            <w:r>
              <w:rPr>
                <w:sz w:val="17"/>
              </w:rPr>
            </w:r>
            <w:r>
              <w:rPr>
                <w:b w:val="0"/>
                <w:sz w:val="17"/>
              </w:rPr>
              <w:t>Phase 1 - Spreadsheet MVP</w:t>
            </w:r>
          </w:p>
        </w:tc>
        <w:tc>
          <w:tcPr>
            <w:tcW w:type="dxa" w:w="2016"/>
            <w:vAlign w:val="top"/>
          </w:tcPr>
          <w:p>
            <w:pPr>
              <w:spacing w:after="0" w:line="240" w:lineRule="auto"/>
            </w:pPr>
            <w:r>
              <w:rPr>
                <w:sz w:val="17"/>
              </w:rPr>
            </w:r>
            <w:r>
              <w:rPr>
                <w:b w:val="0"/>
                <w:sz w:val="17"/>
              </w:rPr>
              <w:t>1-2 weeks</w:t>
            </w:r>
          </w:p>
        </w:tc>
        <w:tc>
          <w:tcPr>
            <w:tcW w:type="dxa" w:w="5904"/>
            <w:vAlign w:val="top"/>
          </w:tcPr>
          <w:p>
            <w:pPr>
              <w:spacing w:after="0" w:line="240" w:lineRule="auto"/>
            </w:pPr>
            <w:r>
              <w:rPr>
                <w:sz w:val="17"/>
              </w:rPr>
            </w:r>
            <w:r>
              <w:rPr>
                <w:b w:val="0"/>
                <w:sz w:val="17"/>
              </w:rPr>
              <w:t>Excel/Google Sheets calculator, Healthcare and IT tabs, manager input form, scorecard output.</w:t>
            </w:r>
          </w:p>
        </w:tc>
      </w:tr>
      <w:tr>
        <w:tc>
          <w:tcPr>
            <w:tcW w:type="dxa" w:w="2592"/>
            <w:vAlign w:val="top"/>
          </w:tcPr>
          <w:p>
            <w:pPr>
              <w:spacing w:after="0" w:line="240" w:lineRule="auto"/>
            </w:pPr>
            <w:r>
              <w:rPr>
                <w:sz w:val="17"/>
              </w:rPr>
            </w:r>
            <w:r>
              <w:rPr>
                <w:b w:val="0"/>
                <w:sz w:val="17"/>
              </w:rPr>
              <w:t>Phase 2 - Web App MVP</w:t>
            </w:r>
          </w:p>
        </w:tc>
        <w:tc>
          <w:tcPr>
            <w:tcW w:type="dxa" w:w="2016"/>
            <w:vAlign w:val="top"/>
          </w:tcPr>
          <w:p>
            <w:pPr>
              <w:spacing w:after="0" w:line="240" w:lineRule="auto"/>
            </w:pPr>
            <w:r>
              <w:rPr>
                <w:sz w:val="17"/>
              </w:rPr>
            </w:r>
            <w:r>
              <w:rPr>
                <w:b w:val="0"/>
                <w:sz w:val="17"/>
              </w:rPr>
              <w:t>3-6 weeks</w:t>
            </w:r>
          </w:p>
        </w:tc>
        <w:tc>
          <w:tcPr>
            <w:tcW w:type="dxa" w:w="5904"/>
            <w:vAlign w:val="top"/>
          </w:tcPr>
          <w:p>
            <w:pPr>
              <w:spacing w:after="0" w:line="240" w:lineRule="auto"/>
            </w:pPr>
            <w:r>
              <w:rPr>
                <w:sz w:val="17"/>
              </w:rPr>
            </w:r>
            <w:r>
              <w:rPr>
                <w:b w:val="0"/>
                <w:sz w:val="17"/>
              </w:rPr>
              <w:t>Role-based app with employee profile, target generator, placement calculator, dashboards.</w:t>
            </w:r>
          </w:p>
        </w:tc>
      </w:tr>
      <w:tr>
        <w:tc>
          <w:tcPr>
            <w:tcW w:type="dxa" w:w="2592"/>
            <w:vAlign w:val="top"/>
          </w:tcPr>
          <w:p>
            <w:pPr>
              <w:spacing w:after="0" w:line="240" w:lineRule="auto"/>
            </w:pPr>
            <w:r>
              <w:rPr>
                <w:sz w:val="17"/>
              </w:rPr>
            </w:r>
            <w:r>
              <w:rPr>
                <w:b w:val="0"/>
                <w:sz w:val="17"/>
              </w:rPr>
              <w:t>Phase 3 - Integrations</w:t>
            </w:r>
          </w:p>
        </w:tc>
        <w:tc>
          <w:tcPr>
            <w:tcW w:type="dxa" w:w="2016"/>
            <w:vAlign w:val="top"/>
          </w:tcPr>
          <w:p>
            <w:pPr>
              <w:spacing w:after="0" w:line="240" w:lineRule="auto"/>
            </w:pPr>
            <w:r>
              <w:rPr>
                <w:sz w:val="17"/>
              </w:rPr>
            </w:r>
            <w:r>
              <w:rPr>
                <w:b w:val="0"/>
                <w:sz w:val="17"/>
              </w:rPr>
              <w:t>6-10 weeks</w:t>
            </w:r>
          </w:p>
        </w:tc>
        <w:tc>
          <w:tcPr>
            <w:tcW w:type="dxa" w:w="5904"/>
            <w:vAlign w:val="top"/>
          </w:tcPr>
          <w:p>
            <w:pPr>
              <w:spacing w:after="0" w:line="240" w:lineRule="auto"/>
            </w:pPr>
            <w:r>
              <w:rPr>
                <w:sz w:val="17"/>
              </w:rPr>
            </w:r>
            <w:r>
              <w:rPr>
                <w:b w:val="0"/>
                <w:sz w:val="17"/>
              </w:rPr>
              <w:t>ATS/CRM import, payroll data, job portal/source tracking, report automation.</w:t>
            </w:r>
          </w:p>
        </w:tc>
      </w:tr>
      <w:tr>
        <w:tc>
          <w:tcPr>
            <w:tcW w:type="dxa" w:w="2592"/>
            <w:vAlign w:val="top"/>
          </w:tcPr>
          <w:p>
            <w:pPr>
              <w:spacing w:after="0" w:line="240" w:lineRule="auto"/>
            </w:pPr>
            <w:r>
              <w:rPr>
                <w:sz w:val="17"/>
              </w:rPr>
            </w:r>
            <w:r>
              <w:rPr>
                <w:b w:val="0"/>
                <w:sz w:val="17"/>
              </w:rPr>
              <w:t>Phase 4 - Governance</w:t>
            </w:r>
          </w:p>
        </w:tc>
        <w:tc>
          <w:tcPr>
            <w:tcW w:type="dxa" w:w="2016"/>
            <w:vAlign w:val="top"/>
          </w:tcPr>
          <w:p>
            <w:pPr>
              <w:spacing w:after="0" w:line="240" w:lineRule="auto"/>
            </w:pPr>
            <w:r>
              <w:rPr>
                <w:sz w:val="17"/>
              </w:rPr>
            </w:r>
            <w:r>
              <w:rPr>
                <w:b w:val="0"/>
                <w:sz w:val="17"/>
              </w:rPr>
              <w:t>Ongoing</w:t>
            </w:r>
          </w:p>
        </w:tc>
        <w:tc>
          <w:tcPr>
            <w:tcW w:type="dxa" w:w="5904"/>
            <w:vAlign w:val="top"/>
          </w:tcPr>
          <w:p>
            <w:pPr>
              <w:spacing w:after="0" w:line="240" w:lineRule="auto"/>
            </w:pPr>
            <w:r>
              <w:rPr>
                <w:sz w:val="17"/>
              </w:rPr>
            </w:r>
            <w:r>
              <w:rPr>
                <w:b w:val="0"/>
                <w:sz w:val="17"/>
              </w:rPr>
              <w:t>Audit log, approval workflow, policy versioning, document generator.</w:t>
            </w:r>
          </w:p>
        </w:tc>
      </w:tr>
    </w:tbl>
    <w:p>
      <w:pPr>
        <w:spacing w:after="80" w:line="259" w:lineRule="auto"/>
      </w:pPr>
    </w:p>
    <w:p>
      <w:pPr>
        <w:pStyle w:val="Heading1"/>
        <w:spacing w:after="80" w:line="259" w:lineRule="auto"/>
      </w:pPr>
      <w:r>
        <w:rPr>
          <w:color w:val="1F4E79"/>
        </w:rPr>
        <w:t>25. Technical Architecture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2880"/>
            <w:shd w:fill="1F4E79"/>
            <w:vAlign w:val="center"/>
          </w:tcPr>
          <w:p>
            <w:pPr>
              <w:spacing w:after="0" w:line="240" w:lineRule="auto"/>
            </w:pPr>
            <w:r>
              <w:rPr>
                <w:sz w:val="17"/>
              </w:rPr>
            </w:r>
            <w:r>
              <w:rPr>
                <w:b/>
                <w:color w:val="FFFFFF"/>
                <w:sz w:val="17"/>
              </w:rPr>
              <w:t>Layer</w:t>
            </w:r>
          </w:p>
        </w:tc>
        <w:tc>
          <w:tcPr>
            <w:tcW w:type="dxa" w:w="7632"/>
            <w:shd w:fill="1F4E79"/>
            <w:vAlign w:val="center"/>
          </w:tcPr>
          <w:p>
            <w:pPr>
              <w:spacing w:after="0" w:line="240" w:lineRule="auto"/>
            </w:pPr>
            <w:r>
              <w:rPr>
                <w:sz w:val="17"/>
              </w:rPr>
            </w:r>
            <w:r>
              <w:rPr>
                <w:b/>
                <w:color w:val="FFFFFF"/>
                <w:sz w:val="17"/>
              </w:rPr>
              <w:t>Recommendation</w:t>
            </w:r>
          </w:p>
        </w:tc>
      </w:tr>
      <w:tr>
        <w:tc>
          <w:tcPr>
            <w:tcW w:type="dxa" w:w="2880"/>
            <w:vAlign w:val="top"/>
          </w:tcPr>
          <w:p>
            <w:pPr>
              <w:spacing w:after="0" w:line="240" w:lineRule="auto"/>
            </w:pPr>
            <w:r>
              <w:rPr>
                <w:sz w:val="17"/>
              </w:rPr>
            </w:r>
            <w:r>
              <w:rPr>
                <w:b w:val="0"/>
                <w:sz w:val="17"/>
              </w:rPr>
              <w:t>Frontend</w:t>
            </w:r>
          </w:p>
        </w:tc>
        <w:tc>
          <w:tcPr>
            <w:tcW w:type="dxa" w:w="7632"/>
            <w:vAlign w:val="top"/>
          </w:tcPr>
          <w:p>
            <w:pPr>
              <w:spacing w:after="0" w:line="240" w:lineRule="auto"/>
            </w:pPr>
            <w:r>
              <w:rPr>
                <w:sz w:val="17"/>
              </w:rPr>
            </w:r>
            <w:r>
              <w:rPr>
                <w:b w:val="0"/>
                <w:sz w:val="17"/>
              </w:rPr>
              <w:t>React/Next.js or lightweight internal admin UI; manager-first screens.</w:t>
            </w:r>
          </w:p>
        </w:tc>
      </w:tr>
      <w:tr>
        <w:tc>
          <w:tcPr>
            <w:tcW w:type="dxa" w:w="2880"/>
            <w:vAlign w:val="top"/>
          </w:tcPr>
          <w:p>
            <w:pPr>
              <w:spacing w:after="0" w:line="240" w:lineRule="auto"/>
            </w:pPr>
            <w:r>
              <w:rPr>
                <w:sz w:val="17"/>
              </w:rPr>
            </w:r>
            <w:r>
              <w:rPr>
                <w:b w:val="0"/>
                <w:sz w:val="17"/>
              </w:rPr>
              <w:t>Backend</w:t>
            </w:r>
          </w:p>
        </w:tc>
        <w:tc>
          <w:tcPr>
            <w:tcW w:type="dxa" w:w="7632"/>
            <w:vAlign w:val="top"/>
          </w:tcPr>
          <w:p>
            <w:pPr>
              <w:spacing w:after="0" w:line="240" w:lineRule="auto"/>
            </w:pPr>
            <w:r>
              <w:rPr>
                <w:sz w:val="17"/>
              </w:rPr>
            </w:r>
            <w:r>
              <w:rPr>
                <w:b w:val="0"/>
                <w:sz w:val="17"/>
              </w:rPr>
              <w:t>Node.js/Express, Python/FastAPI, or existing internal stack.</w:t>
            </w:r>
          </w:p>
        </w:tc>
      </w:tr>
      <w:tr>
        <w:tc>
          <w:tcPr>
            <w:tcW w:type="dxa" w:w="2880"/>
            <w:vAlign w:val="top"/>
          </w:tcPr>
          <w:p>
            <w:pPr>
              <w:spacing w:after="0" w:line="240" w:lineRule="auto"/>
            </w:pPr>
            <w:r>
              <w:rPr>
                <w:sz w:val="17"/>
              </w:rPr>
            </w:r>
            <w:r>
              <w:rPr>
                <w:b w:val="0"/>
                <w:sz w:val="17"/>
              </w:rPr>
              <w:t>Database</w:t>
            </w:r>
          </w:p>
        </w:tc>
        <w:tc>
          <w:tcPr>
            <w:tcW w:type="dxa" w:w="7632"/>
            <w:vAlign w:val="top"/>
          </w:tcPr>
          <w:p>
            <w:pPr>
              <w:spacing w:after="0" w:line="240" w:lineRule="auto"/>
            </w:pPr>
            <w:r>
              <w:rPr>
                <w:sz w:val="17"/>
              </w:rPr>
            </w:r>
            <w:r>
              <w:rPr>
                <w:b w:val="0"/>
                <w:sz w:val="17"/>
              </w:rPr>
              <w:t>PostgreSQL for targets, placements, scorecards, policies, and audit log.</w:t>
            </w:r>
          </w:p>
        </w:tc>
      </w:tr>
      <w:tr>
        <w:tc>
          <w:tcPr>
            <w:tcW w:type="dxa" w:w="2880"/>
            <w:vAlign w:val="top"/>
          </w:tcPr>
          <w:p>
            <w:pPr>
              <w:spacing w:after="0" w:line="240" w:lineRule="auto"/>
            </w:pPr>
            <w:r>
              <w:rPr>
                <w:sz w:val="17"/>
              </w:rPr>
            </w:r>
            <w:r>
              <w:rPr>
                <w:b w:val="0"/>
                <w:sz w:val="17"/>
              </w:rPr>
              <w:t>Auth</w:t>
            </w:r>
          </w:p>
        </w:tc>
        <w:tc>
          <w:tcPr>
            <w:tcW w:type="dxa" w:w="7632"/>
            <w:vAlign w:val="top"/>
          </w:tcPr>
          <w:p>
            <w:pPr>
              <w:spacing w:after="0" w:line="240" w:lineRule="auto"/>
            </w:pPr>
            <w:r>
              <w:rPr>
                <w:sz w:val="17"/>
              </w:rPr>
            </w:r>
            <w:r>
              <w:rPr>
                <w:b w:val="0"/>
                <w:sz w:val="17"/>
              </w:rPr>
              <w:t>Google/Microsoft SSO with role-based permissions.</w:t>
            </w:r>
          </w:p>
        </w:tc>
      </w:tr>
      <w:tr>
        <w:tc>
          <w:tcPr>
            <w:tcW w:type="dxa" w:w="2880"/>
            <w:vAlign w:val="top"/>
          </w:tcPr>
          <w:p>
            <w:pPr>
              <w:spacing w:after="0" w:line="240" w:lineRule="auto"/>
            </w:pPr>
            <w:r>
              <w:rPr>
                <w:sz w:val="17"/>
              </w:rPr>
            </w:r>
            <w:r>
              <w:rPr>
                <w:b w:val="0"/>
                <w:sz w:val="17"/>
              </w:rPr>
              <w:t>Document Generation</w:t>
            </w:r>
          </w:p>
        </w:tc>
        <w:tc>
          <w:tcPr>
            <w:tcW w:type="dxa" w:w="7632"/>
            <w:vAlign w:val="top"/>
          </w:tcPr>
          <w:p>
            <w:pPr>
              <w:spacing w:after="0" w:line="240" w:lineRule="auto"/>
            </w:pPr>
            <w:r>
              <w:rPr>
                <w:sz w:val="17"/>
              </w:rPr>
            </w:r>
            <w:r>
              <w:rPr>
                <w:b w:val="0"/>
                <w:sz w:val="17"/>
              </w:rPr>
              <w:t>Template-based DOCX/PDF generation for addenda and review plans.</w:t>
            </w:r>
          </w:p>
        </w:tc>
      </w:tr>
      <w:tr>
        <w:tc>
          <w:tcPr>
            <w:tcW w:type="dxa" w:w="2880"/>
            <w:vAlign w:val="top"/>
          </w:tcPr>
          <w:p>
            <w:pPr>
              <w:spacing w:after="0" w:line="240" w:lineRule="auto"/>
            </w:pPr>
            <w:r>
              <w:rPr>
                <w:sz w:val="17"/>
              </w:rPr>
            </w:r>
            <w:r>
              <w:rPr>
                <w:b w:val="0"/>
                <w:sz w:val="17"/>
              </w:rPr>
              <w:t>Integration</w:t>
            </w:r>
          </w:p>
        </w:tc>
        <w:tc>
          <w:tcPr>
            <w:tcW w:type="dxa" w:w="7632"/>
            <w:vAlign w:val="top"/>
          </w:tcPr>
          <w:p>
            <w:pPr>
              <w:spacing w:after="0" w:line="240" w:lineRule="auto"/>
            </w:pPr>
            <w:r>
              <w:rPr>
                <w:sz w:val="17"/>
              </w:rPr>
            </w:r>
            <w:r>
              <w:rPr>
                <w:b w:val="0"/>
                <w:sz w:val="17"/>
              </w:rPr>
              <w:t>CSV import first; later API sync from ATS/CRM/job boards/payroll.</w:t>
            </w:r>
          </w:p>
        </w:tc>
      </w:tr>
      <w:tr>
        <w:tc>
          <w:tcPr>
            <w:tcW w:type="dxa" w:w="2880"/>
            <w:vAlign w:val="top"/>
          </w:tcPr>
          <w:p>
            <w:pPr>
              <w:spacing w:after="0" w:line="240" w:lineRule="auto"/>
            </w:pPr>
            <w:r>
              <w:rPr>
                <w:sz w:val="17"/>
              </w:rPr>
            </w:r>
            <w:r>
              <w:rPr>
                <w:b w:val="0"/>
                <w:sz w:val="17"/>
              </w:rPr>
              <w:t>Audit and Security</w:t>
            </w:r>
          </w:p>
        </w:tc>
        <w:tc>
          <w:tcPr>
            <w:tcW w:type="dxa" w:w="7632"/>
            <w:vAlign w:val="top"/>
          </w:tcPr>
          <w:p>
            <w:pPr>
              <w:spacing w:after="0" w:line="240" w:lineRule="auto"/>
            </w:pPr>
            <w:r>
              <w:rPr>
                <w:sz w:val="17"/>
              </w:rPr>
            </w:r>
            <w:r>
              <w:rPr>
                <w:b w:val="0"/>
                <w:sz w:val="17"/>
              </w:rPr>
              <w:t>Immutable audit log for target changes, incentive approvals, and exceptions.</w:t>
            </w:r>
          </w:p>
        </w:tc>
      </w:tr>
    </w:tbl>
    <w:p>
      <w:pPr>
        <w:spacing w:after="80" w:line="259" w:lineRule="auto"/>
      </w:pPr>
    </w:p>
    <w:p>
      <w:pPr>
        <w:pStyle w:val="Heading1"/>
        <w:spacing w:after="80" w:line="259" w:lineRule="auto"/>
      </w:pPr>
      <w:r>
        <w:rPr>
          <w:color w:val="1F4E79"/>
        </w:rPr>
        <w:t>26. Security and Confidentiality Requirements</w:t>
      </w:r>
    </w:p>
    <w:p>
      <w:pPr>
        <w:pStyle w:val="ListBullet"/>
        <w:spacing w:after="80" w:line="259" w:lineRule="auto"/>
      </w:pPr>
      <w:r>
        <w:rPr>
          <w:sz w:val="19"/>
        </w:rPr>
        <w:t>Restrict access to compensation, margin, bill rate, pay rate, and client pricing data by role.</w:t>
      </w:r>
    </w:p>
    <w:p>
      <w:pPr>
        <w:pStyle w:val="ListBullet"/>
        <w:spacing w:after="80" w:line="259" w:lineRule="auto"/>
      </w:pPr>
      <w:r>
        <w:rPr>
          <w:sz w:val="19"/>
        </w:rPr>
        <w:t>Do not show full desk economics to recruiters unless leadership explicitly allows it.</w:t>
      </w:r>
    </w:p>
    <w:p>
      <w:pPr>
        <w:pStyle w:val="ListBullet"/>
        <w:spacing w:after="80" w:line="259" w:lineRule="auto"/>
      </w:pPr>
      <w:r>
        <w:rPr>
          <w:sz w:val="19"/>
        </w:rPr>
        <w:t>Managers may see target rationale; Finance/Ops may see full calculator details.</w:t>
      </w:r>
    </w:p>
    <w:p>
      <w:pPr>
        <w:pStyle w:val="ListBullet"/>
        <w:spacing w:after="80" w:line="259" w:lineRule="auto"/>
      </w:pPr>
      <w:r>
        <w:rPr>
          <w:sz w:val="19"/>
        </w:rPr>
        <w:t>Every incentive calculation and override should be logged.</w:t>
      </w:r>
    </w:p>
    <w:p>
      <w:pPr>
        <w:pStyle w:val="ListBullet"/>
        <w:spacing w:after="80" w:line="259" w:lineRule="auto"/>
      </w:pPr>
      <w:r>
        <w:rPr>
          <w:sz w:val="19"/>
        </w:rPr>
        <w:t>Export of candidate data, margin data, and compensation reports should be restricted and audited.</w:t>
      </w:r>
    </w:p>
    <w:p>
      <w:pPr>
        <w:pStyle w:val="ListBullet"/>
        <w:spacing w:after="80" w:line="259" w:lineRule="auto"/>
      </w:pPr>
      <w:r>
        <w:rPr>
          <w:sz w:val="19"/>
        </w:rPr>
        <w:t>Policy documents should include confidentiality and no-retroactive-commitment language.</w:t>
      </w:r>
    </w:p>
    <w:p>
      <w:pPr>
        <w:pStyle w:val="Heading1"/>
        <w:spacing w:after="80" w:line="259" w:lineRule="auto"/>
      </w:pPr>
      <w:r>
        <w:rPr>
          <w:color w:val="1F4E79"/>
        </w:rPr>
        <w:t>27. Acceptance Criteria</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3168"/>
            <w:shd w:fill="1F4E79"/>
            <w:vAlign w:val="center"/>
          </w:tcPr>
          <w:p>
            <w:pPr>
              <w:spacing w:after="0" w:line="240" w:lineRule="auto"/>
            </w:pPr>
            <w:r>
              <w:rPr>
                <w:sz w:val="17"/>
              </w:rPr>
            </w:r>
            <w:r>
              <w:rPr>
                <w:b/>
                <w:color w:val="FFFFFF"/>
                <w:sz w:val="17"/>
              </w:rPr>
              <w:t>Requirement</w:t>
            </w:r>
          </w:p>
        </w:tc>
        <w:tc>
          <w:tcPr>
            <w:tcW w:type="dxa" w:w="7344"/>
            <w:shd w:fill="1F4E79"/>
            <w:vAlign w:val="center"/>
          </w:tcPr>
          <w:p>
            <w:pPr>
              <w:spacing w:after="0" w:line="240" w:lineRule="auto"/>
            </w:pPr>
            <w:r>
              <w:rPr>
                <w:sz w:val="17"/>
              </w:rPr>
            </w:r>
            <w:r>
              <w:rPr>
                <w:b/>
                <w:color w:val="FFFFFF"/>
                <w:sz w:val="17"/>
              </w:rPr>
              <w:t>Acceptance Test</w:t>
            </w:r>
          </w:p>
        </w:tc>
      </w:tr>
      <w:tr>
        <w:tc>
          <w:tcPr>
            <w:tcW w:type="dxa" w:w="3168"/>
            <w:vAlign w:val="top"/>
          </w:tcPr>
          <w:p>
            <w:pPr>
              <w:spacing w:after="0" w:line="240" w:lineRule="auto"/>
            </w:pPr>
            <w:r>
              <w:rPr>
                <w:sz w:val="17"/>
              </w:rPr>
            </w:r>
            <w:r>
              <w:rPr>
                <w:b w:val="0"/>
                <w:sz w:val="17"/>
              </w:rPr>
              <w:t>Generate Healthcare targets</w:t>
            </w:r>
          </w:p>
        </w:tc>
        <w:tc>
          <w:tcPr>
            <w:tcW w:type="dxa" w:w="7344"/>
            <w:vAlign w:val="top"/>
          </w:tcPr>
          <w:p>
            <w:pPr>
              <w:spacing w:after="0" w:line="240" w:lineRule="auto"/>
            </w:pPr>
            <w:r>
              <w:rPr>
                <w:sz w:val="17"/>
              </w:rPr>
            </w:r>
            <w:r>
              <w:rPr>
                <w:b w:val="0"/>
                <w:sz w:val="17"/>
              </w:rPr>
              <w:t>Manager inputs salary, level, support, demand, and economics; tool outputs monthly and 90-day targets.</w:t>
            </w:r>
          </w:p>
        </w:tc>
      </w:tr>
      <w:tr>
        <w:tc>
          <w:tcPr>
            <w:tcW w:type="dxa" w:w="3168"/>
            <w:vAlign w:val="top"/>
          </w:tcPr>
          <w:p>
            <w:pPr>
              <w:spacing w:after="0" w:line="240" w:lineRule="auto"/>
            </w:pPr>
            <w:r>
              <w:rPr>
                <w:sz w:val="17"/>
              </w:rPr>
            </w:r>
            <w:r>
              <w:rPr>
                <w:b w:val="0"/>
                <w:sz w:val="17"/>
              </w:rPr>
              <w:t>Generate IT targets</w:t>
            </w:r>
          </w:p>
        </w:tc>
        <w:tc>
          <w:tcPr>
            <w:tcW w:type="dxa" w:w="7344"/>
            <w:vAlign w:val="top"/>
          </w:tcPr>
          <w:p>
            <w:pPr>
              <w:spacing w:after="0" w:line="240" w:lineRule="auto"/>
            </w:pPr>
            <w:r>
              <w:rPr>
                <w:sz w:val="17"/>
              </w:rPr>
            </w:r>
            <w:r>
              <w:rPr>
                <w:b w:val="0"/>
                <w:sz w:val="17"/>
              </w:rPr>
              <w:t>Manager selects IT model; tool outputs contract/permanent targets.</w:t>
            </w:r>
          </w:p>
        </w:tc>
      </w:tr>
      <w:tr>
        <w:tc>
          <w:tcPr>
            <w:tcW w:type="dxa" w:w="3168"/>
            <w:vAlign w:val="top"/>
          </w:tcPr>
          <w:p>
            <w:pPr>
              <w:spacing w:after="0" w:line="240" w:lineRule="auto"/>
            </w:pPr>
            <w:r>
              <w:rPr>
                <w:sz w:val="17"/>
              </w:rPr>
            </w:r>
            <w:r>
              <w:rPr>
                <w:b w:val="0"/>
                <w:sz w:val="17"/>
              </w:rPr>
              <w:t>Profitability gate</w:t>
            </w:r>
          </w:p>
        </w:tc>
        <w:tc>
          <w:tcPr>
            <w:tcW w:type="dxa" w:w="7344"/>
            <w:vAlign w:val="top"/>
          </w:tcPr>
          <w:p>
            <w:pPr>
              <w:spacing w:after="0" w:line="240" w:lineRule="auto"/>
            </w:pPr>
            <w:r>
              <w:rPr>
                <w:sz w:val="17"/>
              </w:rPr>
            </w:r>
            <w:r>
              <w:rPr>
                <w:b w:val="0"/>
                <w:sz w:val="17"/>
              </w:rPr>
              <w:t>Placement below fully loaded threshold fails incentive eligibility.</w:t>
            </w:r>
          </w:p>
        </w:tc>
      </w:tr>
      <w:tr>
        <w:tc>
          <w:tcPr>
            <w:tcW w:type="dxa" w:w="3168"/>
            <w:vAlign w:val="top"/>
          </w:tcPr>
          <w:p>
            <w:pPr>
              <w:spacing w:after="0" w:line="240" w:lineRule="auto"/>
            </w:pPr>
            <w:r>
              <w:rPr>
                <w:sz w:val="17"/>
              </w:rPr>
            </w:r>
            <w:r>
              <w:rPr>
                <w:b w:val="0"/>
                <w:sz w:val="17"/>
              </w:rPr>
              <w:t>Retention gate</w:t>
            </w:r>
          </w:p>
        </w:tc>
        <w:tc>
          <w:tcPr>
            <w:tcW w:type="dxa" w:w="7344"/>
            <w:vAlign w:val="top"/>
          </w:tcPr>
          <w:p>
            <w:pPr>
              <w:spacing w:after="0" w:line="240" w:lineRule="auto"/>
            </w:pPr>
            <w:r>
              <w:rPr>
                <w:sz w:val="17"/>
              </w:rPr>
            </w:r>
            <w:r>
              <w:rPr>
                <w:b w:val="0"/>
                <w:sz w:val="17"/>
              </w:rPr>
              <w:t>Start that falls off before retention period is excluded.</w:t>
            </w:r>
          </w:p>
        </w:tc>
      </w:tr>
      <w:tr>
        <w:tc>
          <w:tcPr>
            <w:tcW w:type="dxa" w:w="3168"/>
            <w:vAlign w:val="top"/>
          </w:tcPr>
          <w:p>
            <w:pPr>
              <w:spacing w:after="0" w:line="240" w:lineRule="auto"/>
            </w:pPr>
            <w:r>
              <w:rPr>
                <w:sz w:val="17"/>
              </w:rPr>
            </w:r>
            <w:r>
              <w:rPr>
                <w:b w:val="0"/>
                <w:sz w:val="17"/>
              </w:rPr>
              <w:t>Sourcer bonus</w:t>
            </w:r>
          </w:p>
        </w:tc>
        <w:tc>
          <w:tcPr>
            <w:tcW w:type="dxa" w:w="7344"/>
            <w:vAlign w:val="top"/>
          </w:tcPr>
          <w:p>
            <w:pPr>
              <w:spacing w:after="0" w:line="240" w:lineRule="auto"/>
            </w:pPr>
            <w:r>
              <w:rPr>
                <w:sz w:val="17"/>
              </w:rPr>
            </w:r>
            <w:r>
              <w:rPr>
                <w:b w:val="0"/>
                <w:sz w:val="17"/>
              </w:rPr>
              <w:t>Sourced retained start creates sourcer bonus only after retention and documentation pass.</w:t>
            </w:r>
          </w:p>
        </w:tc>
      </w:tr>
      <w:tr>
        <w:tc>
          <w:tcPr>
            <w:tcW w:type="dxa" w:w="3168"/>
            <w:vAlign w:val="top"/>
          </w:tcPr>
          <w:p>
            <w:pPr>
              <w:spacing w:after="0" w:line="240" w:lineRule="auto"/>
            </w:pPr>
            <w:r>
              <w:rPr>
                <w:sz w:val="17"/>
              </w:rPr>
            </w:r>
            <w:r>
              <w:rPr>
                <w:b w:val="0"/>
                <w:sz w:val="17"/>
              </w:rPr>
              <w:t>Audit log</w:t>
            </w:r>
          </w:p>
        </w:tc>
        <w:tc>
          <w:tcPr>
            <w:tcW w:type="dxa" w:w="7344"/>
            <w:vAlign w:val="top"/>
          </w:tcPr>
          <w:p>
            <w:pPr>
              <w:spacing w:after="0" w:line="240" w:lineRule="auto"/>
            </w:pPr>
            <w:r>
              <w:rPr>
                <w:sz w:val="17"/>
              </w:rPr>
            </w:r>
            <w:r>
              <w:rPr>
                <w:b w:val="0"/>
                <w:sz w:val="17"/>
              </w:rPr>
              <w:t>Any manual target/incentive override creates audit entry.</w:t>
            </w:r>
          </w:p>
        </w:tc>
      </w:tr>
      <w:tr>
        <w:tc>
          <w:tcPr>
            <w:tcW w:type="dxa" w:w="3168"/>
            <w:vAlign w:val="top"/>
          </w:tcPr>
          <w:p>
            <w:pPr>
              <w:spacing w:after="0" w:line="240" w:lineRule="auto"/>
            </w:pPr>
            <w:r>
              <w:rPr>
                <w:sz w:val="17"/>
              </w:rPr>
            </w:r>
            <w:r>
              <w:rPr>
                <w:b w:val="0"/>
                <w:sz w:val="17"/>
              </w:rPr>
              <w:t>Document generation</w:t>
            </w:r>
          </w:p>
        </w:tc>
        <w:tc>
          <w:tcPr>
            <w:tcW w:type="dxa" w:w="7344"/>
            <w:vAlign w:val="top"/>
          </w:tcPr>
          <w:p>
            <w:pPr>
              <w:spacing w:after="0" w:line="240" w:lineRule="auto"/>
            </w:pPr>
            <w:r>
              <w:rPr>
                <w:sz w:val="17"/>
              </w:rPr>
            </w:r>
            <w:r>
              <w:rPr>
                <w:b w:val="0"/>
                <w:sz w:val="17"/>
              </w:rPr>
              <w:t>Tool produces clean review plan/addendum with correct employee terms.</w:t>
            </w:r>
          </w:p>
        </w:tc>
      </w:tr>
    </w:tbl>
    <w:p>
      <w:pPr>
        <w:spacing w:after="80" w:line="259" w:lineRule="auto"/>
      </w:pPr>
    </w:p>
    <w:p>
      <w:pPr>
        <w:pStyle w:val="Heading1"/>
        <w:spacing w:after="80" w:line="259" w:lineRule="auto"/>
      </w:pPr>
      <w:r>
        <w:rPr>
          <w:color w:val="1F4E79"/>
        </w:rPr>
        <w:t>28. Recommended Phase 1 Spreadsheet Tabs</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328"/>
        <w:gridCol w:w="5328"/>
      </w:tblGrid>
      <w:tr>
        <w:trPr>
          <w:tblHeader w:val="true"/>
        </w:trPr>
        <w:tc>
          <w:tcPr>
            <w:tcW w:type="dxa" w:w="2880"/>
            <w:shd w:fill="1F4E79"/>
            <w:vAlign w:val="center"/>
          </w:tcPr>
          <w:p>
            <w:pPr>
              <w:spacing w:after="0" w:line="240" w:lineRule="auto"/>
            </w:pPr>
            <w:r>
              <w:rPr>
                <w:sz w:val="17"/>
              </w:rPr>
            </w:r>
            <w:r>
              <w:rPr>
                <w:b/>
                <w:color w:val="FFFFFF"/>
                <w:sz w:val="17"/>
              </w:rPr>
              <w:t>Tab</w:t>
            </w:r>
          </w:p>
        </w:tc>
        <w:tc>
          <w:tcPr>
            <w:tcW w:type="dxa" w:w="7632"/>
            <w:shd w:fill="1F4E79"/>
            <w:vAlign w:val="center"/>
          </w:tcPr>
          <w:p>
            <w:pPr>
              <w:spacing w:after="0" w:line="240" w:lineRule="auto"/>
            </w:pPr>
            <w:r>
              <w:rPr>
                <w:sz w:val="17"/>
              </w:rPr>
            </w:r>
            <w:r>
              <w:rPr>
                <w:b/>
                <w:color w:val="FFFFFF"/>
                <w:sz w:val="17"/>
              </w:rPr>
              <w:t>Purpose</w:t>
            </w:r>
          </w:p>
        </w:tc>
      </w:tr>
      <w:tr>
        <w:tc>
          <w:tcPr>
            <w:tcW w:type="dxa" w:w="2880"/>
            <w:vAlign w:val="top"/>
          </w:tcPr>
          <w:p>
            <w:pPr>
              <w:spacing w:after="0" w:line="240" w:lineRule="auto"/>
            </w:pPr>
            <w:r>
              <w:rPr>
                <w:sz w:val="17"/>
              </w:rPr>
            </w:r>
            <w:r>
              <w:rPr>
                <w:b w:val="0"/>
                <w:sz w:val="17"/>
              </w:rPr>
              <w:t>Settings</w:t>
            </w:r>
          </w:p>
        </w:tc>
        <w:tc>
          <w:tcPr>
            <w:tcW w:type="dxa" w:w="7632"/>
            <w:vAlign w:val="top"/>
          </w:tcPr>
          <w:p>
            <w:pPr>
              <w:spacing w:after="0" w:line="240" w:lineRule="auto"/>
            </w:pPr>
            <w:r>
              <w:rPr>
                <w:sz w:val="17"/>
              </w:rPr>
            </w:r>
            <w:r>
              <w:rPr>
                <w:b w:val="0"/>
                <w:sz w:val="17"/>
              </w:rPr>
              <w:t>Exchange rate, cost assumptions, role-level target multipliers, retention periods.</w:t>
            </w:r>
          </w:p>
        </w:tc>
      </w:tr>
      <w:tr>
        <w:tc>
          <w:tcPr>
            <w:tcW w:type="dxa" w:w="2880"/>
            <w:vAlign w:val="top"/>
          </w:tcPr>
          <w:p>
            <w:pPr>
              <w:spacing w:after="0" w:line="240" w:lineRule="auto"/>
            </w:pPr>
            <w:r>
              <w:rPr>
                <w:sz w:val="17"/>
              </w:rPr>
            </w:r>
            <w:r>
              <w:rPr>
                <w:b w:val="0"/>
                <w:sz w:val="17"/>
              </w:rPr>
              <w:t>Employees</w:t>
            </w:r>
          </w:p>
        </w:tc>
        <w:tc>
          <w:tcPr>
            <w:tcW w:type="dxa" w:w="7632"/>
            <w:vAlign w:val="top"/>
          </w:tcPr>
          <w:p>
            <w:pPr>
              <w:spacing w:after="0" w:line="240" w:lineRule="auto"/>
            </w:pPr>
            <w:r>
              <w:rPr>
                <w:sz w:val="17"/>
              </w:rPr>
            </w:r>
            <w:r>
              <w:rPr>
                <w:b w:val="0"/>
                <w:sz w:val="17"/>
              </w:rPr>
              <w:t>Employee profile, role, salary, department, manager, support resources.</w:t>
            </w:r>
          </w:p>
        </w:tc>
      </w:tr>
      <w:tr>
        <w:tc>
          <w:tcPr>
            <w:tcW w:type="dxa" w:w="2880"/>
            <w:vAlign w:val="top"/>
          </w:tcPr>
          <w:p>
            <w:pPr>
              <w:spacing w:after="0" w:line="240" w:lineRule="auto"/>
            </w:pPr>
            <w:r>
              <w:rPr>
                <w:sz w:val="17"/>
              </w:rPr>
            </w:r>
            <w:r>
              <w:rPr>
                <w:b w:val="0"/>
                <w:sz w:val="17"/>
              </w:rPr>
              <w:t>Healthcare Calculator</w:t>
            </w:r>
          </w:p>
        </w:tc>
        <w:tc>
          <w:tcPr>
            <w:tcW w:type="dxa" w:w="7632"/>
            <w:vAlign w:val="top"/>
          </w:tcPr>
          <w:p>
            <w:pPr>
              <w:spacing w:after="0" w:line="240" w:lineRule="auto"/>
            </w:pPr>
            <w:r>
              <w:rPr>
                <w:sz w:val="17"/>
              </w:rPr>
            </w:r>
            <w:r>
              <w:rPr>
                <w:b w:val="0"/>
                <w:sz w:val="17"/>
              </w:rPr>
              <w:t>Bill/pay/MSP/split/loaded margin calculator for healthcare placements.</w:t>
            </w:r>
          </w:p>
        </w:tc>
      </w:tr>
      <w:tr>
        <w:tc>
          <w:tcPr>
            <w:tcW w:type="dxa" w:w="2880"/>
            <w:vAlign w:val="top"/>
          </w:tcPr>
          <w:p>
            <w:pPr>
              <w:spacing w:after="0" w:line="240" w:lineRule="auto"/>
            </w:pPr>
            <w:r>
              <w:rPr>
                <w:sz w:val="17"/>
              </w:rPr>
            </w:r>
            <w:r>
              <w:rPr>
                <w:b w:val="0"/>
                <w:sz w:val="17"/>
              </w:rPr>
              <w:t>IT Calculator</w:t>
            </w:r>
          </w:p>
        </w:tc>
        <w:tc>
          <w:tcPr>
            <w:tcW w:type="dxa" w:w="7632"/>
            <w:vAlign w:val="top"/>
          </w:tcPr>
          <w:p>
            <w:pPr>
              <w:spacing w:after="0" w:line="240" w:lineRule="auto"/>
            </w:pPr>
            <w:r>
              <w:rPr>
                <w:sz w:val="17"/>
              </w:rPr>
            </w:r>
            <w:r>
              <w:rPr>
                <w:b w:val="0"/>
                <w:sz w:val="17"/>
              </w:rPr>
              <w:t>Contract and permanent placement economics.</w:t>
            </w:r>
          </w:p>
        </w:tc>
      </w:tr>
      <w:tr>
        <w:tc>
          <w:tcPr>
            <w:tcW w:type="dxa" w:w="2880"/>
            <w:vAlign w:val="top"/>
          </w:tcPr>
          <w:p>
            <w:pPr>
              <w:spacing w:after="0" w:line="240" w:lineRule="auto"/>
            </w:pPr>
            <w:r>
              <w:rPr>
                <w:sz w:val="17"/>
              </w:rPr>
            </w:r>
            <w:r>
              <w:rPr>
                <w:b w:val="0"/>
                <w:sz w:val="17"/>
              </w:rPr>
              <w:t>Target Generator</w:t>
            </w:r>
          </w:p>
        </w:tc>
        <w:tc>
          <w:tcPr>
            <w:tcW w:type="dxa" w:w="7632"/>
            <w:vAlign w:val="top"/>
          </w:tcPr>
          <w:p>
            <w:pPr>
              <w:spacing w:after="0" w:line="240" w:lineRule="auto"/>
            </w:pPr>
            <w:r>
              <w:rPr>
                <w:sz w:val="17"/>
              </w:rPr>
            </w:r>
            <w:r>
              <w:rPr>
                <w:b w:val="0"/>
                <w:sz w:val="17"/>
              </w:rPr>
              <w:t>Outputs monthly and 90-day targets.</w:t>
            </w:r>
          </w:p>
        </w:tc>
      </w:tr>
      <w:tr>
        <w:tc>
          <w:tcPr>
            <w:tcW w:type="dxa" w:w="2880"/>
            <w:vAlign w:val="top"/>
          </w:tcPr>
          <w:p>
            <w:pPr>
              <w:spacing w:after="0" w:line="240" w:lineRule="auto"/>
            </w:pPr>
            <w:r>
              <w:rPr>
                <w:sz w:val="17"/>
              </w:rPr>
            </w:r>
            <w:r>
              <w:rPr>
                <w:b w:val="0"/>
                <w:sz w:val="17"/>
              </w:rPr>
              <w:t>Weekly Scorecard</w:t>
            </w:r>
          </w:p>
        </w:tc>
        <w:tc>
          <w:tcPr>
            <w:tcW w:type="dxa" w:w="7632"/>
            <w:vAlign w:val="top"/>
          </w:tcPr>
          <w:p>
            <w:pPr>
              <w:spacing w:after="0" w:line="240" w:lineRule="auto"/>
            </w:pPr>
            <w:r>
              <w:rPr>
                <w:sz w:val="17"/>
              </w:rPr>
            </w:r>
            <w:r>
              <w:rPr>
                <w:b w:val="0"/>
                <w:sz w:val="17"/>
              </w:rPr>
              <w:t>Tracks actual performance.</w:t>
            </w:r>
          </w:p>
        </w:tc>
      </w:tr>
      <w:tr>
        <w:tc>
          <w:tcPr>
            <w:tcW w:type="dxa" w:w="2880"/>
            <w:vAlign w:val="top"/>
          </w:tcPr>
          <w:p>
            <w:pPr>
              <w:spacing w:after="0" w:line="240" w:lineRule="auto"/>
            </w:pPr>
            <w:r>
              <w:rPr>
                <w:sz w:val="17"/>
              </w:rPr>
            </w:r>
            <w:r>
              <w:rPr>
                <w:b w:val="0"/>
                <w:sz w:val="17"/>
              </w:rPr>
              <w:t>Incentive Queue</w:t>
            </w:r>
          </w:p>
        </w:tc>
        <w:tc>
          <w:tcPr>
            <w:tcW w:type="dxa" w:w="7632"/>
            <w:vAlign w:val="top"/>
          </w:tcPr>
          <w:p>
            <w:pPr>
              <w:spacing w:after="0" w:line="240" w:lineRule="auto"/>
            </w:pPr>
            <w:r>
              <w:rPr>
                <w:sz w:val="17"/>
              </w:rPr>
            </w:r>
            <w:r>
              <w:rPr>
                <w:b w:val="0"/>
                <w:sz w:val="17"/>
              </w:rPr>
              <w:t>Shows future incentive eligibility and payout date.</w:t>
            </w:r>
          </w:p>
        </w:tc>
      </w:tr>
      <w:tr>
        <w:tc>
          <w:tcPr>
            <w:tcW w:type="dxa" w:w="2880"/>
            <w:vAlign w:val="top"/>
          </w:tcPr>
          <w:p>
            <w:pPr>
              <w:spacing w:after="0" w:line="240" w:lineRule="auto"/>
            </w:pPr>
            <w:r>
              <w:rPr>
                <w:sz w:val="17"/>
              </w:rPr>
            </w:r>
            <w:r>
              <w:rPr>
                <w:b w:val="0"/>
                <w:sz w:val="17"/>
              </w:rPr>
              <w:t>Policy Notes</w:t>
            </w:r>
          </w:p>
        </w:tc>
        <w:tc>
          <w:tcPr>
            <w:tcW w:type="dxa" w:w="7632"/>
            <w:vAlign w:val="top"/>
          </w:tcPr>
          <w:p>
            <w:pPr>
              <w:spacing w:after="0" w:line="240" w:lineRule="auto"/>
            </w:pPr>
            <w:r>
              <w:rPr>
                <w:sz w:val="17"/>
              </w:rPr>
            </w:r>
            <w:r>
              <w:rPr>
                <w:b w:val="0"/>
                <w:sz w:val="17"/>
              </w:rPr>
              <w:t>Definitions, exclusions, and governance rules.</w:t>
            </w:r>
          </w:p>
        </w:tc>
      </w:tr>
    </w:tbl>
    <w:p>
      <w:pPr>
        <w:spacing w:after="80" w:line="259" w:lineRule="auto"/>
      </w:pPr>
    </w:p>
    <w:p>
      <w:pPr>
        <w:pStyle w:val="Heading1"/>
        <w:spacing w:after="80" w:line="259" w:lineRule="auto"/>
      </w:pPr>
      <w:r>
        <w:rPr>
          <w:color w:val="1F4E79"/>
        </w:rPr>
        <w:t>29. Next Steps</w:t>
      </w:r>
    </w:p>
    <w:p>
      <w:pPr>
        <w:spacing w:after="80" w:line="259" w:lineRule="auto"/>
        <w:ind w:left="360" w:hanging="360"/>
      </w:pPr>
      <w:r>
        <w:rPr>
          <w:sz w:val="19"/>
        </w:rPr>
        <w:t>1. Approve the business rules for Healthcare Phase 1: qualified retained starts, retention period, profitability calculator, sourcer bonus, and exclusions.</w:t>
      </w:r>
    </w:p>
    <w:p>
      <w:pPr>
        <w:spacing w:after="80" w:line="259" w:lineRule="auto"/>
        <w:ind w:left="360" w:hanging="360"/>
      </w:pPr>
      <w:r>
        <w:rPr>
          <w:sz w:val="19"/>
        </w:rPr>
        <w:t>2. Approve IT model assumptions: contract, permanent, or mixed desk targets.</w:t>
      </w:r>
    </w:p>
    <w:p>
      <w:pPr>
        <w:spacing w:after="80" w:line="259" w:lineRule="auto"/>
        <w:ind w:left="360" w:hanging="360"/>
      </w:pPr>
      <w:r>
        <w:rPr>
          <w:sz w:val="19"/>
        </w:rPr>
        <w:t>3. Build spreadsheet MVP with manager input and calculator outputs.</w:t>
      </w:r>
    </w:p>
    <w:p>
      <w:pPr>
        <w:spacing w:after="80" w:line="259" w:lineRule="auto"/>
        <w:ind w:left="360" w:hanging="360"/>
      </w:pPr>
      <w:r>
        <w:rPr>
          <w:sz w:val="19"/>
        </w:rPr>
        <w:t>4. Test with 3-5 real employee scenarios before rolling out.</w:t>
      </w:r>
    </w:p>
    <w:p>
      <w:pPr>
        <w:spacing w:after="80" w:line="259" w:lineRule="auto"/>
        <w:ind w:left="360" w:hanging="360"/>
      </w:pPr>
      <w:r>
        <w:rPr>
          <w:sz w:val="19"/>
        </w:rPr>
        <w:t>5. Review outputs with CEO/Ops/Finance to ensure targets are ambitious but fair.</w:t>
      </w:r>
    </w:p>
    <w:p>
      <w:pPr>
        <w:spacing w:after="80" w:line="259" w:lineRule="auto"/>
        <w:ind w:left="360" w:hanging="360"/>
      </w:pPr>
      <w:r>
        <w:rPr>
          <w:sz w:val="19"/>
        </w:rPr>
        <w:t>6. Convert spreadsheet into internal web tool only after the business rules are stable.</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internal use | Healthcare and IT Talent Acquisition Teams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TA Target &amp; Incentive Calculator Tool Specification | Confidential Internal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