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COMPENSATION REVISION ADDENDUM</w:t>
      </w:r>
    </w:p>
    <w:p>
      <w:pPr>
        <w:jc w:val="center"/>
      </w:pPr>
      <w:r>
        <w:rPr>
          <w:i/>
          <w:sz w:val="20"/>
        </w:rPr>
        <w:t>With Annexure A: 90-Day Growth Review Plan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shd w:fill="D9EAF7"/>
            <w:vAlign w:val="center"/>
          </w:tcPr>
          <w:p>
            <w:r/>
            <w:r>
              <w:rPr>
                <w:b/>
                <w:sz w:val="18"/>
              </w:rPr>
              <w:t>Field</w:t>
            </w:r>
          </w:p>
        </w:tc>
        <w:tc>
          <w:tcPr>
            <w:tcW w:type="dxa" w:w="6912"/>
            <w:shd w:fill="D9EAF7"/>
            <w:vAlign w:val="center"/>
          </w:tcPr>
          <w:p>
            <w:r/>
            <w:r>
              <w:rPr>
                <w:b/>
                <w:sz w:val="18"/>
              </w:rPr>
              <w:t>Details</w:t>
            </w:r>
          </w:p>
        </w:tc>
      </w:tr>
      <w:tr>
        <w:tc>
          <w:tcPr>
            <w:tcW w:type="dxa" w:w="2880"/>
            <w:vAlign w:val="top"/>
          </w:tcPr>
          <w:p>
            <w:r/>
            <w:r>
              <w:rPr>
                <w:b w:val="0"/>
                <w:sz w:val="18"/>
              </w:rPr>
              <w:t>Date</w:t>
            </w:r>
          </w:p>
        </w:tc>
        <w:tc>
          <w:tcPr>
            <w:tcW w:type="dxa" w:w="6912"/>
            <w:vAlign w:val="top"/>
          </w:tcPr>
          <w:p>
            <w:r/>
            <w:r>
              <w:rPr>
                <w:b w:val="0"/>
                <w:sz w:val="18"/>
              </w:rPr>
              <w:t>[Date]</w:t>
            </w:r>
          </w:p>
        </w:tc>
      </w:tr>
      <w:tr>
        <w:tc>
          <w:tcPr>
            <w:tcW w:type="dxa" w:w="2880"/>
            <w:vAlign w:val="top"/>
          </w:tcPr>
          <w:p>
            <w:r/>
            <w:r>
              <w:rPr>
                <w:b w:val="0"/>
                <w:sz w:val="18"/>
              </w:rPr>
              <w:t>Employee Name</w:t>
            </w:r>
          </w:p>
        </w:tc>
        <w:tc>
          <w:tcPr>
            <w:tcW w:type="dxa" w:w="6912"/>
            <w:vAlign w:val="top"/>
          </w:tcPr>
          <w:p>
            <w:r/>
            <w:r>
              <w:rPr>
                <w:b w:val="0"/>
                <w:sz w:val="18"/>
              </w:rPr>
              <w:t>[Employee Name]</w:t>
            </w:r>
          </w:p>
        </w:tc>
      </w:tr>
      <w:tr>
        <w:tc>
          <w:tcPr>
            <w:tcW w:type="dxa" w:w="2880"/>
            <w:vAlign w:val="top"/>
          </w:tcPr>
          <w:p>
            <w:r/>
            <w:r>
              <w:rPr>
                <w:b w:val="0"/>
                <w:sz w:val="18"/>
              </w:rPr>
              <w:t>Designation</w:t>
            </w:r>
          </w:p>
        </w:tc>
        <w:tc>
          <w:tcPr>
            <w:tcW w:type="dxa" w:w="6912"/>
            <w:vAlign w:val="top"/>
          </w:tcPr>
          <w:p>
            <w:r/>
            <w:r>
              <w:rPr>
                <w:b w:val="0"/>
                <w:sz w:val="18"/>
              </w:rPr>
              <w:t>[Designation]</w:t>
            </w:r>
          </w:p>
        </w:tc>
      </w:tr>
      <w:tr>
        <w:tc>
          <w:tcPr>
            <w:tcW w:type="dxa" w:w="2880"/>
            <w:vAlign w:val="top"/>
          </w:tcPr>
          <w:p>
            <w:r/>
            <w:r>
              <w:rPr>
                <w:b w:val="0"/>
                <w:sz w:val="18"/>
              </w:rPr>
              <w:t>Department</w:t>
            </w:r>
          </w:p>
        </w:tc>
        <w:tc>
          <w:tcPr>
            <w:tcW w:type="dxa" w:w="6912"/>
            <w:vAlign w:val="top"/>
          </w:tcPr>
          <w:p>
            <w:r/>
            <w:r>
              <w:rPr>
                <w:b w:val="0"/>
                <w:sz w:val="18"/>
              </w:rPr>
              <w:t>Healthcare Recruitment</w:t>
            </w:r>
          </w:p>
        </w:tc>
      </w:tr>
      <w:tr>
        <w:tc>
          <w:tcPr>
            <w:tcW w:type="dxa" w:w="2880"/>
            <w:vAlign w:val="top"/>
          </w:tcPr>
          <w:p>
            <w:r/>
            <w:r>
              <w:rPr>
                <w:b w:val="0"/>
                <w:sz w:val="18"/>
              </w:rPr>
              <w:t>Reporting Manager</w:t>
            </w:r>
          </w:p>
        </w:tc>
        <w:tc>
          <w:tcPr>
            <w:tcW w:type="dxa" w:w="6912"/>
            <w:vAlign w:val="top"/>
          </w:tcPr>
          <w:p>
            <w:r/>
            <w:r>
              <w:rPr>
                <w:b w:val="0"/>
                <w:sz w:val="18"/>
              </w:rPr>
              <w:t>[Manager Name]</w:t>
            </w:r>
          </w:p>
        </w:tc>
      </w:tr>
      <w:tr>
        <w:tc>
          <w:tcPr>
            <w:tcW w:type="dxa" w:w="2880"/>
            <w:vAlign w:val="top"/>
          </w:tcPr>
          <w:p>
            <w:r/>
            <w:r>
              <w:rPr>
                <w:b w:val="0"/>
                <w:sz w:val="18"/>
              </w:rPr>
              <w:t>Company</w:t>
            </w:r>
          </w:p>
        </w:tc>
        <w:tc>
          <w:tcPr>
            <w:tcW w:type="dxa" w:w="6912"/>
            <w:vAlign w:val="top"/>
          </w:tcPr>
          <w:p>
            <w:r/>
            <w:r>
              <w:rPr>
                <w:b w:val="0"/>
                <w:sz w:val="18"/>
              </w:rPr>
              <w:t>[Company Name]</w:t>
            </w:r>
          </w:p>
        </w:tc>
      </w:tr>
    </w:tbl>
    <w:p/>
    <w:p>
      <w:r>
        <w:t>Dear [Employee Name],</w:t>
      </w:r>
    </w:p>
    <w:p>
      <w:r>
        <w:t>This addendum confirms the revised compensation structure and review terms applicable to your continued employment with [Company Name].</w:t>
      </w:r>
    </w:p>
    <w:p>
      <w:pPr>
        <w:pStyle w:val="Heading1"/>
      </w:pPr>
      <w:r>
        <w:t>1. Revised Fixed Compensation</w:t>
      </w:r>
    </w:p>
    <w:p>
      <w:r>
        <w:t>Effective [Effective Date], your revised fixed salary will be:</w:t>
      </w:r>
    </w:p>
    <w:p>
      <w:pPr>
        <w:jc w:val="center"/>
      </w:pPr>
      <w:r>
        <w:rPr>
          <w:b/>
          <w:sz w:val="26"/>
        </w:rPr>
        <w:t>₹50,000 per month</w:t>
      </w:r>
    </w:p>
    <w:p>
      <w:r>
        <w:t>This revised salary replaces your previous fixed monthly salary. All applicable deductions, taxes, statutory requirements, and company policies will apply as applicable.</w:t>
      </w:r>
    </w:p>
    <w:p>
      <w:pPr>
        <w:pStyle w:val="Heading1"/>
      </w:pPr>
      <w:r>
        <w:t>2. 90-Day Growth Review</w:t>
      </w:r>
    </w:p>
    <w:p>
      <w:r>
        <w:t>You will be placed on a structured 90-day growth review path.</w:t>
      </w:r>
    </w:p>
    <w:p>
      <w:r>
        <w:t>The review will evaluate performance, retained business outcomes, candidate quality, falloff control, reporting, communication, candidate ownership, sourcer/JR recruiter coordination, confidentiality, and overall healthcare desk ownership.</w:t>
      </w:r>
    </w:p>
    <w:p>
      <w:r>
        <w:t>The 90-day review is not an automatic salary increment. Any future salary revision will be subject to performance, retained billing outcomes, business requirements, management review, and final company approval.</w:t>
      </w:r>
    </w:p>
    <w:p>
      <w:r>
        <w:t>The detailed review expectations are included in Annexure A: 90-Day Growth Review Plan.</w:t>
      </w:r>
    </w:p>
    <w:p>
      <w:pPr>
        <w:pStyle w:val="Heading1"/>
      </w:pPr>
      <w:r>
        <w:t>3. Higher Salary Band Consideration</w:t>
      </w:r>
    </w:p>
    <w:p>
      <w:r>
        <w:t>Future salary revision, including possible movement toward the next compensation band, will be considered only if the employee demonstrates sustained senior-level performance and successfully achieves the expectations outlined in the 90-Day Growth Review Plan.</w:t>
      </w:r>
    </w:p>
    <w:p>
      <w:r>
        <w:t>The next salary band under consideration will generally be in the range of ₹55,000-₹60,000 per month, subject to retained billing outcomes, candidate quality, profitability, falloff control, confidentiality, business position, management review, and final company approval.</w:t>
      </w:r>
    </w:p>
    <w:p>
      <w:r>
        <w:t>For clarity, the 90-day review does not guarantee an automatic increment or a fixed salary increase. The review is intended to evaluate readiness for future compensation growth based on agreed expectations and business results.</w:t>
      </w:r>
    </w:p>
    <w:p>
      <w:pPr>
        <w:pStyle w:val="Heading1"/>
      </w:pPr>
      <w:r>
        <w:t>4. Healthcare Incentive Plan</w:t>
      </w:r>
    </w:p>
    <w:p>
      <w:r>
        <w:t>The company may introduce a healthcare incentive plan in the future as a formal healthcare team policy.</w:t>
      </w:r>
    </w:p>
    <w:p>
      <w:r>
        <w:t>Any incentive eligibility, if applicable, will be governed strictly by the final approved written policy, including its effective date, eligibility criteria, retention requirements, margin/profitability requirements, documentation requirements, payout timing, and management approval process.</w:t>
      </w:r>
    </w:p>
    <w:p>
      <w:r>
        <w:t>No incentive, bonus, or variable payout is guaranteed unless specifically stated in a formally approved written company policy or written compensation agreement.</w:t>
      </w:r>
    </w:p>
    <w:p>
      <w:r>
        <w:t>For clarity, any future incentive plan will not be treated as an individual arrangement or retroactive commitment unless specifically stated in writing.</w:t>
      </w:r>
    </w:p>
    <w:p>
      <w:pPr>
        <w:pStyle w:val="Heading1"/>
      </w:pPr>
      <w:r>
        <w:t>5. Professional Expectations</w:t>
      </w:r>
    </w:p>
    <w:p>
      <w:pPr>
        <w:pStyle w:val="ListBullet"/>
      </w:pPr>
      <w:r>
        <w:t>Clear and consistent communication</w:t>
      </w:r>
    </w:p>
    <w:p>
      <w:pPr>
        <w:pStyle w:val="ListBullet"/>
      </w:pPr>
      <w:r>
        <w:t>Professional conduct</w:t>
      </w:r>
    </w:p>
    <w:p>
      <w:pPr>
        <w:pStyle w:val="ListBullet"/>
      </w:pPr>
      <w:r>
        <w:t>Candidate ownership discipline</w:t>
      </w:r>
    </w:p>
    <w:p>
      <w:pPr>
        <w:pStyle w:val="ListBullet"/>
      </w:pPr>
      <w:r>
        <w:t>Accurate RTR and submission tracking</w:t>
      </w:r>
    </w:p>
    <w:p>
      <w:pPr>
        <w:pStyle w:val="ListBullet"/>
      </w:pPr>
      <w:r>
        <w:t>Reporting discipline</w:t>
      </w:r>
    </w:p>
    <w:p>
      <w:pPr>
        <w:pStyle w:val="ListBullet"/>
      </w:pPr>
      <w:r>
        <w:t>Sourcer/JR recruiter coordination</w:t>
      </w:r>
    </w:p>
    <w:p>
      <w:pPr>
        <w:pStyle w:val="ListBullet"/>
      </w:pPr>
      <w:r>
        <w:t>Client and candidate follow-up ownership</w:t>
      </w:r>
    </w:p>
    <w:p>
      <w:pPr>
        <w:pStyle w:val="ListBullet"/>
      </w:pPr>
      <w:r>
        <w:t>Confidentiality around company information</w:t>
      </w:r>
    </w:p>
    <w:p>
      <w:pPr>
        <w:pStyle w:val="ListBullet"/>
      </w:pPr>
      <w:r>
        <w:t>Overall healthcare desk ownership</w:t>
      </w:r>
    </w:p>
    <w:p>
      <w:pPr>
        <w:pStyle w:val="Heading1"/>
      </w:pPr>
      <w:r>
        <w:t>6. Confidentiality, Business Information, and Founder-Team Trust</w:t>
      </w:r>
    </w:p>
    <w:p>
      <w:r>
        <w:t>As part of your role and continued involvement with the healthcare division, you may be exposed to business discussions, future planning, client relationships, sourcing strategy, internal tools, processes, pricing, margin information, and other confidential or commercially sensitive information.</w:t>
      </w:r>
    </w:p>
    <w:p>
      <w:r>
        <w:t>All business-related information must remain strictly protected and must not be shared with anyone outside the company, or with anyone internally who does not have a business need to know, unless specifically approved by management.</w:t>
      </w:r>
    </w:p>
    <w:p>
      <w:r>
        <w:t>This includes, but is not limited to:</w:t>
      </w:r>
    </w:p>
    <w:p>
      <w:pPr>
        <w:pStyle w:val="ListBullet"/>
      </w:pPr>
      <w:r>
        <w:t>Candidate data and candidate communication</w:t>
      </w:r>
    </w:p>
    <w:p>
      <w:pPr>
        <w:pStyle w:val="ListBullet"/>
      </w:pPr>
      <w:r>
        <w:t>Client/MSP relationships and client requirements</w:t>
      </w:r>
    </w:p>
    <w:p>
      <w:pPr>
        <w:pStyle w:val="ListBullet"/>
      </w:pPr>
      <w:r>
        <w:t>RTRs, submissions, pipelines, reports, and trackers</w:t>
      </w:r>
    </w:p>
    <w:p>
      <w:pPr>
        <w:pStyle w:val="ListBullet"/>
      </w:pPr>
      <w:r>
        <w:t>Sourcing strategy, recruiter workflows, and internal processes</w:t>
      </w:r>
    </w:p>
    <w:p>
      <w:pPr>
        <w:pStyle w:val="ListBullet"/>
      </w:pPr>
      <w:r>
        <w:t>Internal tools, product ideas, automation plans, and future planning</w:t>
      </w:r>
    </w:p>
    <w:p>
      <w:pPr>
        <w:pStyle w:val="ListBullet"/>
      </w:pPr>
      <w:r>
        <w:t>Pricing, bill rates, pay rates, margin information, compensation details, and business economics</w:t>
      </w:r>
    </w:p>
    <w:p>
      <w:pPr>
        <w:pStyle w:val="ListBullet"/>
      </w:pPr>
      <w:r>
        <w:t>Trade secrets, business plans, growth strategy, and company operating model</w:t>
      </w:r>
    </w:p>
    <w:p>
      <w:pPr>
        <w:pStyle w:val="ListBullet"/>
      </w:pPr>
      <w:r>
        <w:t>Vendor, partner, and team-related information</w:t>
      </w:r>
    </w:p>
    <w:p>
      <w:r>
        <w:t>As a senior/foundation team member, discretion, judgment, and confidentiality are essential expectations of the role. Any company information discussed, shared, viewed, or accessed during employment must remain within the company and must not be copied, downloaded, transferred, forwarded, disclosed, retained, or used for any non-company purpose without written approval.</w:t>
      </w:r>
    </w:p>
    <w:p>
      <w:r>
        <w:t>These confidentiality obligations continue during employment and after separation from the company.</w:t>
      </w:r>
    </w:p>
    <w:p>
      <w:pPr>
        <w:pStyle w:val="Heading1"/>
      </w:pPr>
      <w:r>
        <w:t>7. Candidate Ownership and Reporting Discipline</w:t>
      </w:r>
    </w:p>
    <w:p>
      <w:r>
        <w:t>The employee is expected to maintain accurate and updated records for:</w:t>
      </w:r>
    </w:p>
    <w:p>
      <w:pPr>
        <w:pStyle w:val="ListBullet"/>
      </w:pPr>
      <w:r>
        <w:t>Candidate ownership</w:t>
      </w:r>
    </w:p>
    <w:p>
      <w:pPr>
        <w:pStyle w:val="ListBullet"/>
      </w:pPr>
      <w:r>
        <w:t>RTR status</w:t>
      </w:r>
    </w:p>
    <w:p>
      <w:pPr>
        <w:pStyle w:val="ListBullet"/>
      </w:pPr>
      <w:r>
        <w:t>Submission details</w:t>
      </w:r>
    </w:p>
    <w:p>
      <w:pPr>
        <w:pStyle w:val="ListBullet"/>
      </w:pPr>
      <w:r>
        <w:t>Client/MSP status</w:t>
      </w:r>
    </w:p>
    <w:p>
      <w:pPr>
        <w:pStyle w:val="ListBullet"/>
      </w:pPr>
      <w:r>
        <w:t>PO/start status</w:t>
      </w:r>
    </w:p>
    <w:p>
      <w:pPr>
        <w:pStyle w:val="ListBullet"/>
      </w:pPr>
      <w:r>
        <w:t>Follow-up notes</w:t>
      </w:r>
    </w:p>
    <w:p>
      <w:pPr>
        <w:pStyle w:val="ListBullet"/>
      </w:pPr>
      <w:r>
        <w:t>Falloff risks</w:t>
      </w:r>
    </w:p>
    <w:p>
      <w:pPr>
        <w:pStyle w:val="ListBullet"/>
      </w:pPr>
      <w:r>
        <w:t>Next actions</w:t>
      </w:r>
    </w:p>
    <w:p>
      <w:pPr>
        <w:pStyle w:val="ListBullet"/>
      </w:pPr>
      <w:r>
        <w:t>Sourcer/JR recruiter coordination</w:t>
      </w:r>
    </w:p>
    <w:p>
      <w:r>
        <w:t>All active pipeline and candidate information must remain updated in the company-approved system, tracker, or reporting format.</w:t>
      </w:r>
    </w:p>
    <w:p>
      <w:pPr>
        <w:pStyle w:val="Heading1"/>
      </w:pPr>
      <w:r>
        <w:t>8. Personal Device and Company Data</w:t>
      </w:r>
    </w:p>
    <w:p>
      <w:r>
        <w:t>Since company work may be performed using personal devices, all company-related data must remain within approved company systems wherever possible.</w:t>
      </w:r>
    </w:p>
    <w:p>
      <w:r>
        <w:t>Any company data stored locally, downloaded, shared, or saved on personal devices, personal email, messaging apps, or personal cloud storage must be returned/transferred to the company and deleted upon request or upon separation.</w:t>
      </w:r>
    </w:p>
    <w:p>
      <w:r>
        <w:t>The employee must not retain company data after separation.</w:t>
      </w:r>
    </w:p>
    <w:p>
      <w:pPr>
        <w:pStyle w:val="Heading1"/>
      </w:pPr>
      <w:r>
        <w:t>9. Other Employment Terms</w:t>
      </w:r>
    </w:p>
    <w:p>
      <w:r>
        <w:t>All other terms and conditions of the original employment agreement, offer letter, confidentiality obligations, company policies, and employment terms remain unchanged unless specifically modified in this addendum.</w:t>
      </w:r>
    </w:p>
    <w:p>
      <w:r>
        <w:t>Please sign and return a copy of this addendum as confirmation of acceptance of the revised compensation structure and expectations.</w:t>
      </w:r>
    </w:p>
    <w:p>
      <w:r>
        <w:t>Regards,</w:t>
      </w:r>
    </w:p>
    <w:p>
      <w:r>
        <w:t>[Authorized Signatory Name]</w:t>
        <w:br/>
        <w:t>[Title]</w:t>
        <w:br/>
        <w:t>[Company Name]</w:t>
      </w:r>
    </w:p>
    <w:p>
      <w:pPr>
        <w:pStyle w:val="Heading1"/>
      </w:pPr>
      <w:r>
        <w:t>Employee Acknowledgment</w:t>
      </w:r>
    </w:p>
    <w:p>
      <w:r>
        <w:t>I, [Employee Name], acknowledge and accept the revised compensation structure and expectations outlined in this addendum.</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168"/>
            <w:shd w:fill="D9EAF7"/>
            <w:vAlign w:val="center"/>
          </w:tcPr>
          <w:p>
            <w:r/>
            <w:r>
              <w:rPr>
                <w:b/>
                <w:sz w:val="18"/>
              </w:rPr>
              <w:t>Employee Name</w:t>
            </w:r>
          </w:p>
        </w:tc>
        <w:tc>
          <w:tcPr>
            <w:tcW w:type="dxa" w:w="3168"/>
            <w:shd w:fill="D9EAF7"/>
            <w:vAlign w:val="center"/>
          </w:tcPr>
          <w:p>
            <w:r/>
            <w:r>
              <w:rPr>
                <w:b/>
                <w:sz w:val="18"/>
              </w:rPr>
              <w:t>Signature</w:t>
            </w:r>
          </w:p>
        </w:tc>
        <w:tc>
          <w:tcPr>
            <w:tcW w:type="dxa" w:w="3168"/>
            <w:shd w:fill="D9EAF7"/>
            <w:vAlign w:val="center"/>
          </w:tcPr>
          <w:p>
            <w:r/>
            <w:r>
              <w:rPr>
                <w:b/>
                <w:sz w:val="18"/>
              </w:rPr>
              <w:t>Date</w:t>
            </w:r>
          </w:p>
        </w:tc>
      </w:tr>
      <w:tr>
        <w:tc>
          <w:tcPr>
            <w:tcW w:type="dxa" w:w="3168"/>
            <w:vAlign w:val="top"/>
          </w:tcPr>
          <w:p>
            <w:r/>
            <w:r>
              <w:rPr>
                <w:b w:val="0"/>
                <w:sz w:val="18"/>
              </w:rPr>
            </w:r>
          </w:p>
        </w:tc>
        <w:tc>
          <w:tcPr>
            <w:tcW w:type="dxa" w:w="3168"/>
            <w:vAlign w:val="top"/>
          </w:tcPr>
          <w:p>
            <w:r/>
            <w:r>
              <w:rPr>
                <w:b w:val="0"/>
                <w:sz w:val="18"/>
              </w:rPr>
            </w:r>
          </w:p>
        </w:tc>
        <w:tc>
          <w:tcPr>
            <w:tcW w:type="dxa" w:w="3168"/>
            <w:vAlign w:val="top"/>
          </w:tcPr>
          <w:p>
            <w:r/>
            <w:r>
              <w:rPr>
                <w:b w:val="0"/>
                <w:sz w:val="18"/>
              </w:rPr>
            </w:r>
          </w:p>
        </w:tc>
      </w:tr>
    </w:tbl>
    <w:p/>
    <w:p>
      <w:pPr>
        <w:jc w:val="center"/>
      </w:pPr>
      <w:r>
        <w:rPr>
          <w:b/>
          <w:color w:val="1F4E79"/>
          <w:sz w:val="32"/>
        </w:rPr>
        <w:t>ANNEXURE A: 90-DAY GROWTH REVIEW PLAN</w:t>
      </w:r>
    </w:p>
    <w:p>
      <w:pPr>
        <w:pStyle w:val="Heading1"/>
      </w:pPr>
      <w:r>
        <w:t>1. Purpose</w:t>
      </w:r>
    </w:p>
    <w:p>
      <w:r>
        <w:t>The 90-day growth review is intended to evaluate readiness for any future compensation revision based on measurable performance, retained business outcomes, candidate quality, profitability, ownership, communication, confidentiality, and healthcare desk contribution.</w:t>
      </w:r>
    </w:p>
    <w:p>
      <w:r>
        <w:t>This review does not guarantee an automatic salary increment. Any future revision will remain subject to performance, business position, retained revenue, and management approval.</w:t>
      </w:r>
    </w:p>
    <w:p>
      <w:pPr>
        <w:pStyle w:val="Heading1"/>
      </w:pPr>
      <w:r>
        <w:t>2. Review Period</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168"/>
            <w:shd w:fill="D9EAF7"/>
            <w:vAlign w:val="center"/>
          </w:tcPr>
          <w:p>
            <w:r/>
            <w:r>
              <w:rPr>
                <w:b/>
                <w:sz w:val="18"/>
              </w:rPr>
              <w:t>Field</w:t>
            </w:r>
          </w:p>
        </w:tc>
        <w:tc>
          <w:tcPr>
            <w:tcW w:type="dxa" w:w="6480"/>
            <w:shd w:fill="D9EAF7"/>
            <w:vAlign w:val="center"/>
          </w:tcPr>
          <w:p>
            <w:r/>
            <w:r>
              <w:rPr>
                <w:b/>
                <w:sz w:val="18"/>
              </w:rPr>
              <w:t>Details</w:t>
            </w:r>
          </w:p>
        </w:tc>
      </w:tr>
      <w:tr>
        <w:tc>
          <w:tcPr>
            <w:tcW w:type="dxa" w:w="3168"/>
            <w:vAlign w:val="top"/>
          </w:tcPr>
          <w:p>
            <w:r/>
            <w:r>
              <w:rPr>
                <w:b w:val="0"/>
                <w:sz w:val="18"/>
              </w:rPr>
              <w:t>Review Start Date</w:t>
            </w:r>
          </w:p>
        </w:tc>
        <w:tc>
          <w:tcPr>
            <w:tcW w:type="dxa" w:w="6480"/>
            <w:vAlign w:val="top"/>
          </w:tcPr>
          <w:p>
            <w:r/>
            <w:r>
              <w:rPr>
                <w:b w:val="0"/>
                <w:sz w:val="18"/>
              </w:rPr>
              <w:t>[Date]</w:t>
            </w:r>
          </w:p>
        </w:tc>
      </w:tr>
      <w:tr>
        <w:tc>
          <w:tcPr>
            <w:tcW w:type="dxa" w:w="3168"/>
            <w:vAlign w:val="top"/>
          </w:tcPr>
          <w:p>
            <w:r/>
            <w:r>
              <w:rPr>
                <w:b w:val="0"/>
                <w:sz w:val="18"/>
              </w:rPr>
              <w:t>Review End Date</w:t>
            </w:r>
          </w:p>
        </w:tc>
        <w:tc>
          <w:tcPr>
            <w:tcW w:type="dxa" w:w="6480"/>
            <w:vAlign w:val="top"/>
          </w:tcPr>
          <w:p>
            <w:r/>
            <w:r>
              <w:rPr>
                <w:b w:val="0"/>
                <w:sz w:val="18"/>
              </w:rPr>
              <w:t>[Date]</w:t>
            </w:r>
          </w:p>
        </w:tc>
      </w:tr>
      <w:tr>
        <w:tc>
          <w:tcPr>
            <w:tcW w:type="dxa" w:w="3168"/>
            <w:vAlign w:val="top"/>
          </w:tcPr>
          <w:p>
            <w:r/>
            <w:r>
              <w:rPr>
                <w:b w:val="0"/>
                <w:sz w:val="18"/>
              </w:rPr>
              <w:t>Review Duration</w:t>
            </w:r>
          </w:p>
        </w:tc>
        <w:tc>
          <w:tcPr>
            <w:tcW w:type="dxa" w:w="6480"/>
            <w:vAlign w:val="top"/>
          </w:tcPr>
          <w:p>
            <w:r/>
            <w:r>
              <w:rPr>
                <w:b w:val="0"/>
                <w:sz w:val="18"/>
              </w:rPr>
              <w:t>90 days</w:t>
            </w:r>
          </w:p>
        </w:tc>
      </w:tr>
    </w:tbl>
    <w:p/>
    <w:p>
      <w:pPr>
        <w:pStyle w:val="Heading1"/>
      </w:pPr>
      <w:r>
        <w:t>3. Primary Review Standard</w:t>
      </w:r>
    </w:p>
    <w:p>
      <w:r>
        <w:t>The primary focus of the review will be retained business outcomes, not submission volume alone.</w:t>
      </w:r>
    </w:p>
    <w:p>
      <w:r>
        <w:t>Given the active healthcare job volume, existing pipeline, and available sourcing support, the expected 90-day target is:</w:t>
      </w:r>
    </w:p>
    <w:p>
      <w:pPr>
        <w:jc w:val="center"/>
      </w:pPr>
      <w:r>
        <w:rPr>
          <w:b/>
          <w:sz w:val="24"/>
        </w:rPr>
        <w:t>Target: 10 qualified retained starts in 90 days</w:t>
      </w:r>
    </w:p>
    <w:p>
      <w:pPr>
        <w:jc w:val="center"/>
      </w:pPr>
      <w:r>
        <w:rPr>
          <w:b/>
          <w:sz w:val="22"/>
        </w:rPr>
        <w:t>Expected monthly pace: 3-4 qualified retained starts per month</w:t>
      </w:r>
    </w:p>
    <w:p>
      <w:r>
        <w:t>This target is subject to active client demand, open requirements, role flow, and company-approved profitability requirements.</w:t>
      </w:r>
    </w:p>
    <w:p>
      <w:r>
        <w:t>Submission activity will be reviewed as a supporting metric only. The primary review factors will be retained starts, candidate quality, falloff control, profitability, billing continuity, RTR/documentation accuracy, reporting discipline, sourcer coordination, confidentiality, and overall healthcare desk ownership.</w:t>
      </w:r>
    </w:p>
    <w:p>
      <w:pPr>
        <w:pStyle w:val="Heading1"/>
      </w:pPr>
      <w:r>
        <w:t>4. Definition of Qualified Retained Start</w:t>
      </w:r>
    </w:p>
    <w:p>
      <w:r>
        <w:t>A candidate will count as a qualified retained start only when all of the following conditions are met:</w:t>
      </w:r>
    </w:p>
    <w:p>
      <w:pPr>
        <w:pStyle w:val="ListNumber"/>
      </w:pPr>
      <w:r>
        <w:t>Candidate starts the assignment.</w:t>
      </w:r>
    </w:p>
    <w:p>
      <w:pPr>
        <w:pStyle w:val="ListNumber"/>
      </w:pPr>
      <w:r>
        <w:t>Candidate is accepted by the client/MSP.</w:t>
      </w:r>
    </w:p>
    <w:p>
      <w:pPr>
        <w:pStyle w:val="ListNumber"/>
      </w:pPr>
      <w:r>
        <w:t>Candidate has complete RTR and required documentation.</w:t>
      </w:r>
    </w:p>
    <w:p>
      <w:pPr>
        <w:pStyle w:val="ListNumber"/>
      </w:pPr>
      <w:r>
        <w:t>Candidate meets role requirements and experience expectations.</w:t>
      </w:r>
    </w:p>
    <w:p>
      <w:pPr>
        <w:pStyle w:val="ListNumber"/>
      </w:pPr>
      <w:r>
        <w:t>Candidate meets pay, availability, location, license/specialty, and commitment requirements.</w:t>
      </w:r>
    </w:p>
    <w:p>
      <w:pPr>
        <w:pStyle w:val="ListNumber"/>
      </w:pPr>
      <w:r>
        <w:t>Placement meets company-approved margin/profitability requirements.</w:t>
      </w:r>
    </w:p>
    <w:p>
      <w:pPr>
        <w:pStyle w:val="ListNumber"/>
      </w:pPr>
      <w:r>
        <w:t>Candidate does not fall off due to avoidable no-show, poor screening, experience mismatch, commitment issue, documentation issue, or preventable follow-up gap.</w:t>
      </w:r>
    </w:p>
    <w:p>
      <w:pPr>
        <w:pStyle w:val="ListNumber"/>
      </w:pPr>
      <w:r>
        <w:t>Candidate is actively billing and retained as per company/client expectations.</w:t>
      </w:r>
    </w:p>
    <w:p>
      <w:pPr>
        <w:pStyle w:val="Heading1"/>
      </w:pPr>
      <w:r>
        <w:t>5. 90-Day Performance Expectations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312"/>
            <w:shd w:fill="D9EAF7"/>
            <w:vAlign w:val="center"/>
          </w:tcPr>
          <w:p>
            <w:r/>
            <w:r>
              <w:rPr>
                <w:b/>
                <w:sz w:val="18"/>
              </w:rPr>
              <w:t>Category</w:t>
            </w:r>
          </w:p>
        </w:tc>
        <w:tc>
          <w:tcPr>
            <w:tcW w:type="dxa" w:w="6768"/>
            <w:shd w:fill="D9EAF7"/>
            <w:vAlign w:val="center"/>
          </w:tcPr>
          <w:p>
            <w:r/>
            <w:r>
              <w:rPr>
                <w:b/>
                <w:sz w:val="18"/>
              </w:rPr>
              <w:t>90-Day Requirement</w:t>
            </w:r>
          </w:p>
        </w:tc>
      </w:tr>
      <w:tr>
        <w:tc>
          <w:tcPr>
            <w:tcW w:type="dxa" w:w="3312"/>
            <w:vAlign w:val="top"/>
          </w:tcPr>
          <w:p>
            <w:r/>
            <w:r>
              <w:rPr>
                <w:b w:val="0"/>
                <w:sz w:val="18"/>
              </w:rPr>
              <w:t>Qualified retained starts</w:t>
            </w:r>
          </w:p>
        </w:tc>
        <w:tc>
          <w:tcPr>
            <w:tcW w:type="dxa" w:w="6768"/>
            <w:vAlign w:val="top"/>
          </w:tcPr>
          <w:p>
            <w:r/>
            <w:r>
              <w:rPr>
                <w:b w:val="0"/>
                <w:sz w:val="18"/>
              </w:rPr>
              <w:t>10 in 90 days</w:t>
            </w:r>
          </w:p>
        </w:tc>
      </w:tr>
      <w:tr>
        <w:tc>
          <w:tcPr>
            <w:tcW w:type="dxa" w:w="3312"/>
            <w:vAlign w:val="top"/>
          </w:tcPr>
          <w:p>
            <w:r/>
            <w:r>
              <w:rPr>
                <w:b w:val="0"/>
                <w:sz w:val="18"/>
              </w:rPr>
              <w:t>Monthly pace</w:t>
            </w:r>
          </w:p>
        </w:tc>
        <w:tc>
          <w:tcPr>
            <w:tcW w:type="dxa" w:w="6768"/>
            <w:vAlign w:val="top"/>
          </w:tcPr>
          <w:p>
            <w:r/>
            <w:r>
              <w:rPr>
                <w:b w:val="0"/>
                <w:sz w:val="18"/>
              </w:rPr>
              <w:t>3-4 qualified retained starts per month</w:t>
            </w:r>
          </w:p>
        </w:tc>
      </w:tr>
      <w:tr>
        <w:tc>
          <w:tcPr>
            <w:tcW w:type="dxa" w:w="3312"/>
            <w:vAlign w:val="top"/>
          </w:tcPr>
          <w:p>
            <w:r/>
            <w:r>
              <w:rPr>
                <w:b w:val="0"/>
                <w:sz w:val="18"/>
              </w:rPr>
              <w:t>Candidate quality</w:t>
            </w:r>
          </w:p>
        </w:tc>
        <w:tc>
          <w:tcPr>
            <w:tcW w:type="dxa" w:w="6768"/>
            <w:vAlign w:val="top"/>
          </w:tcPr>
          <w:p>
            <w:r/>
            <w:r>
              <w:rPr>
                <w:b w:val="0"/>
                <w:sz w:val="18"/>
              </w:rPr>
              <w:t>No avoidable no-show, mismatch, or weak screening falloffs</w:t>
            </w:r>
          </w:p>
        </w:tc>
      </w:tr>
      <w:tr>
        <w:tc>
          <w:tcPr>
            <w:tcW w:type="dxa" w:w="3312"/>
            <w:vAlign w:val="top"/>
          </w:tcPr>
          <w:p>
            <w:r/>
            <w:r>
              <w:rPr>
                <w:b w:val="0"/>
                <w:sz w:val="18"/>
              </w:rPr>
              <w:t>Falloff control</w:t>
            </w:r>
          </w:p>
        </w:tc>
        <w:tc>
          <w:tcPr>
            <w:tcW w:type="dxa" w:w="6768"/>
            <w:vAlign w:val="top"/>
          </w:tcPr>
          <w:p>
            <w:r/>
            <w:r>
              <w:rPr>
                <w:b w:val="0"/>
                <w:sz w:val="18"/>
              </w:rPr>
              <w:t>No avoidable falloffs</w:t>
            </w:r>
          </w:p>
        </w:tc>
      </w:tr>
      <w:tr>
        <w:tc>
          <w:tcPr>
            <w:tcW w:type="dxa" w:w="3312"/>
            <w:vAlign w:val="top"/>
          </w:tcPr>
          <w:p>
            <w:r/>
            <w:r>
              <w:rPr>
                <w:b w:val="0"/>
                <w:sz w:val="18"/>
              </w:rPr>
              <w:t>Margin/profitability</w:t>
            </w:r>
          </w:p>
        </w:tc>
        <w:tc>
          <w:tcPr>
            <w:tcW w:type="dxa" w:w="6768"/>
            <w:vAlign w:val="top"/>
          </w:tcPr>
          <w:p>
            <w:r/>
            <w:r>
              <w:rPr>
                <w:b w:val="0"/>
                <w:sz w:val="18"/>
              </w:rPr>
              <w:t>Must meet company calculator / profitability threshold</w:t>
            </w:r>
          </w:p>
        </w:tc>
      </w:tr>
      <w:tr>
        <w:tc>
          <w:tcPr>
            <w:tcW w:type="dxa" w:w="3312"/>
            <w:vAlign w:val="top"/>
          </w:tcPr>
          <w:p>
            <w:r/>
            <w:r>
              <w:rPr>
                <w:b w:val="0"/>
                <w:sz w:val="18"/>
              </w:rPr>
              <w:t>Pipeline health</w:t>
            </w:r>
          </w:p>
        </w:tc>
        <w:tc>
          <w:tcPr>
            <w:tcW w:type="dxa" w:w="6768"/>
            <w:vAlign w:val="top"/>
          </w:tcPr>
          <w:p>
            <w:r/>
            <w:r>
              <w:rPr>
                <w:b w:val="0"/>
                <w:sz w:val="18"/>
              </w:rPr>
              <w:t>Maintain active qualified pipeline for priority roles</w:t>
            </w:r>
          </w:p>
        </w:tc>
      </w:tr>
      <w:tr>
        <w:tc>
          <w:tcPr>
            <w:tcW w:type="dxa" w:w="3312"/>
            <w:vAlign w:val="top"/>
          </w:tcPr>
          <w:p>
            <w:r/>
            <w:r>
              <w:rPr>
                <w:b w:val="0"/>
                <w:sz w:val="18"/>
              </w:rPr>
              <w:t>Submissions</w:t>
            </w:r>
          </w:p>
        </w:tc>
        <w:tc>
          <w:tcPr>
            <w:tcW w:type="dxa" w:w="6768"/>
            <w:vAlign w:val="top"/>
          </w:tcPr>
          <w:p>
            <w:r/>
            <w:r>
              <w:rPr>
                <w:b w:val="0"/>
                <w:sz w:val="18"/>
              </w:rPr>
              <w:t>Quality submissions aligned to active requirements; not volume-only</w:t>
            </w:r>
          </w:p>
        </w:tc>
      </w:tr>
      <w:tr>
        <w:tc>
          <w:tcPr>
            <w:tcW w:type="dxa" w:w="3312"/>
            <w:vAlign w:val="top"/>
          </w:tcPr>
          <w:p>
            <w:r/>
            <w:r>
              <w:rPr>
                <w:b w:val="0"/>
                <w:sz w:val="18"/>
              </w:rPr>
              <w:t>RTR/documentation</w:t>
            </w:r>
          </w:p>
        </w:tc>
        <w:tc>
          <w:tcPr>
            <w:tcW w:type="dxa" w:w="6768"/>
            <w:vAlign w:val="top"/>
          </w:tcPr>
          <w:p>
            <w:r/>
            <w:r>
              <w:rPr>
                <w:b w:val="0"/>
                <w:sz w:val="18"/>
              </w:rPr>
              <w:t>100% RTR, submission, and ownership tracking</w:t>
            </w:r>
          </w:p>
        </w:tc>
      </w:tr>
      <w:tr>
        <w:tc>
          <w:tcPr>
            <w:tcW w:type="dxa" w:w="3312"/>
            <w:vAlign w:val="top"/>
          </w:tcPr>
          <w:p>
            <w:r/>
            <w:r>
              <w:rPr>
                <w:b w:val="0"/>
                <w:sz w:val="18"/>
              </w:rPr>
              <w:t>Candidate follow-up</w:t>
            </w:r>
          </w:p>
        </w:tc>
        <w:tc>
          <w:tcPr>
            <w:tcW w:type="dxa" w:w="6768"/>
            <w:vAlign w:val="top"/>
          </w:tcPr>
          <w:p>
            <w:r/>
            <w:r>
              <w:rPr>
                <w:b w:val="0"/>
                <w:sz w:val="18"/>
              </w:rPr>
              <w:t>Timely follow-up with submitted and active candidates</w:t>
            </w:r>
          </w:p>
        </w:tc>
      </w:tr>
      <w:tr>
        <w:tc>
          <w:tcPr>
            <w:tcW w:type="dxa" w:w="3312"/>
            <w:vAlign w:val="top"/>
          </w:tcPr>
          <w:p>
            <w:r/>
            <w:r>
              <w:rPr>
                <w:b w:val="0"/>
                <w:sz w:val="18"/>
              </w:rPr>
              <w:t>Sourcer/JR coordination</w:t>
            </w:r>
          </w:p>
        </w:tc>
        <w:tc>
          <w:tcPr>
            <w:tcW w:type="dxa" w:w="6768"/>
            <w:vAlign w:val="top"/>
          </w:tcPr>
          <w:p>
            <w:r/>
            <w:r>
              <w:rPr>
                <w:b w:val="0"/>
                <w:sz w:val="18"/>
              </w:rPr>
              <w:t>Clear daily direction and weekly review</w:t>
            </w:r>
          </w:p>
        </w:tc>
      </w:tr>
      <w:tr>
        <w:tc>
          <w:tcPr>
            <w:tcW w:type="dxa" w:w="3312"/>
            <w:vAlign w:val="top"/>
          </w:tcPr>
          <w:p>
            <w:r/>
            <w:r>
              <w:rPr>
                <w:b w:val="0"/>
                <w:sz w:val="18"/>
              </w:rPr>
              <w:t>Reporting</w:t>
            </w:r>
          </w:p>
        </w:tc>
        <w:tc>
          <w:tcPr>
            <w:tcW w:type="dxa" w:w="6768"/>
            <w:vAlign w:val="top"/>
          </w:tcPr>
          <w:p>
            <w:r/>
            <w:r>
              <w:rPr>
                <w:b w:val="0"/>
                <w:sz w:val="18"/>
              </w:rPr>
              <w:t>Weekly tracker shared every Friday</w:t>
            </w:r>
          </w:p>
        </w:tc>
      </w:tr>
      <w:tr>
        <w:tc>
          <w:tcPr>
            <w:tcW w:type="dxa" w:w="3312"/>
            <w:vAlign w:val="top"/>
          </w:tcPr>
          <w:p>
            <w:r/>
            <w:r>
              <w:rPr>
                <w:b w:val="0"/>
                <w:sz w:val="18"/>
              </w:rPr>
              <w:t>Confidentiality</w:t>
            </w:r>
          </w:p>
        </w:tc>
        <w:tc>
          <w:tcPr>
            <w:tcW w:type="dxa" w:w="6768"/>
            <w:vAlign w:val="top"/>
          </w:tcPr>
          <w:p>
            <w:r/>
            <w:r>
              <w:rPr>
                <w:b w:val="0"/>
                <w:sz w:val="18"/>
              </w:rPr>
              <w:t>Internal information must remain protected</w:t>
            </w:r>
          </w:p>
        </w:tc>
      </w:tr>
      <w:tr>
        <w:tc>
          <w:tcPr>
            <w:tcW w:type="dxa" w:w="3312"/>
            <w:vAlign w:val="top"/>
          </w:tcPr>
          <w:p>
            <w:r/>
            <w:r>
              <w:rPr>
                <w:b w:val="0"/>
                <w:sz w:val="18"/>
              </w:rPr>
              <w:t>Ownership</w:t>
            </w:r>
          </w:p>
        </w:tc>
        <w:tc>
          <w:tcPr>
            <w:tcW w:type="dxa" w:w="6768"/>
            <w:vAlign w:val="top"/>
          </w:tcPr>
          <w:p>
            <w:r/>
            <w:r>
              <w:rPr>
                <w:b w:val="0"/>
                <w:sz w:val="18"/>
              </w:rPr>
              <w:t>Proactive candidate, client, and pipeline management</w:t>
            </w:r>
          </w:p>
        </w:tc>
      </w:tr>
    </w:tbl>
    <w:p/>
    <w:p>
      <w:pPr>
        <w:pStyle w:val="Heading1"/>
      </w:pPr>
      <w:r>
        <w:t>6. First 30 Days: Conversion from Active Pipeline</w:t>
      </w:r>
    </w:p>
    <w:p>
      <w:r>
        <w:t>Since the healthcare desk and active pipeline are already in place, the first 30 days should demonstrate conversion movement from existing pipeline and active requirements.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312"/>
            <w:shd w:fill="D9EAF7"/>
            <w:vAlign w:val="center"/>
          </w:tcPr>
          <w:p>
            <w:r/>
            <w:r>
              <w:rPr>
                <w:b/>
                <w:sz w:val="18"/>
              </w:rPr>
              <w:t>Area</w:t>
            </w:r>
          </w:p>
        </w:tc>
        <w:tc>
          <w:tcPr>
            <w:tcW w:type="dxa" w:w="6768"/>
            <w:shd w:fill="D9EAF7"/>
            <w:vAlign w:val="center"/>
          </w:tcPr>
          <w:p>
            <w:r/>
            <w:r>
              <w:rPr>
                <w:b/>
                <w:sz w:val="18"/>
              </w:rPr>
              <w:t>First 30-Day Expectation</w:t>
            </w:r>
          </w:p>
        </w:tc>
      </w:tr>
      <w:tr>
        <w:tc>
          <w:tcPr>
            <w:tcW w:type="dxa" w:w="3312"/>
            <w:vAlign w:val="top"/>
          </w:tcPr>
          <w:p>
            <w:r/>
            <w:r>
              <w:rPr>
                <w:b w:val="0"/>
                <w:sz w:val="18"/>
              </w:rPr>
              <w:t>Pipeline cleanup</w:t>
            </w:r>
          </w:p>
        </w:tc>
        <w:tc>
          <w:tcPr>
            <w:tcW w:type="dxa" w:w="6768"/>
            <w:vAlign w:val="top"/>
          </w:tcPr>
          <w:p>
            <w:r/>
            <w:r>
              <w:rPr>
                <w:b w:val="0"/>
                <w:sz w:val="18"/>
              </w:rPr>
              <w:t>Complete within first week</w:t>
            </w:r>
          </w:p>
        </w:tc>
      </w:tr>
      <w:tr>
        <w:tc>
          <w:tcPr>
            <w:tcW w:type="dxa" w:w="3312"/>
            <w:vAlign w:val="top"/>
          </w:tcPr>
          <w:p>
            <w:r/>
            <w:r>
              <w:rPr>
                <w:b w:val="0"/>
                <w:sz w:val="18"/>
              </w:rPr>
              <w:t>Qualified retained starts</w:t>
            </w:r>
          </w:p>
        </w:tc>
        <w:tc>
          <w:tcPr>
            <w:tcW w:type="dxa" w:w="6768"/>
            <w:vAlign w:val="top"/>
          </w:tcPr>
          <w:p>
            <w:r/>
            <w:r>
              <w:rPr>
                <w:b w:val="0"/>
                <w:sz w:val="18"/>
              </w:rPr>
              <w:t>3-4 target starts</w:t>
            </w:r>
          </w:p>
        </w:tc>
      </w:tr>
      <w:tr>
        <w:tc>
          <w:tcPr>
            <w:tcW w:type="dxa" w:w="3312"/>
            <w:vAlign w:val="top"/>
          </w:tcPr>
          <w:p>
            <w:r/>
            <w:r>
              <w:rPr>
                <w:b w:val="0"/>
                <w:sz w:val="18"/>
              </w:rPr>
              <w:t>Client/interview movement</w:t>
            </w:r>
          </w:p>
        </w:tc>
        <w:tc>
          <w:tcPr>
            <w:tcW w:type="dxa" w:w="6768"/>
            <w:vAlign w:val="top"/>
          </w:tcPr>
          <w:p>
            <w:r/>
            <w:r>
              <w:rPr>
                <w:b w:val="0"/>
                <w:sz w:val="18"/>
              </w:rPr>
              <w:t>Active follow-up on submitted candidates</w:t>
            </w:r>
          </w:p>
        </w:tc>
      </w:tr>
      <w:tr>
        <w:tc>
          <w:tcPr>
            <w:tcW w:type="dxa" w:w="3312"/>
            <w:vAlign w:val="top"/>
          </w:tcPr>
          <w:p>
            <w:r/>
            <w:r>
              <w:rPr>
                <w:b w:val="0"/>
                <w:sz w:val="18"/>
              </w:rPr>
              <w:t>Candidate ownership</w:t>
            </w:r>
          </w:p>
        </w:tc>
        <w:tc>
          <w:tcPr>
            <w:tcW w:type="dxa" w:w="6768"/>
            <w:vAlign w:val="top"/>
          </w:tcPr>
          <w:p>
            <w:r/>
            <w:r>
              <w:rPr>
                <w:b w:val="0"/>
                <w:sz w:val="18"/>
              </w:rPr>
              <w:t>All active candidates updated with status and next steps</w:t>
            </w:r>
          </w:p>
        </w:tc>
      </w:tr>
      <w:tr>
        <w:tc>
          <w:tcPr>
            <w:tcW w:type="dxa" w:w="3312"/>
            <w:vAlign w:val="top"/>
          </w:tcPr>
          <w:p>
            <w:r/>
            <w:r>
              <w:rPr>
                <w:b w:val="0"/>
                <w:sz w:val="18"/>
              </w:rPr>
              <w:t>RTR/documentation</w:t>
            </w:r>
          </w:p>
        </w:tc>
        <w:tc>
          <w:tcPr>
            <w:tcW w:type="dxa" w:w="6768"/>
            <w:vAlign w:val="top"/>
          </w:tcPr>
          <w:p>
            <w:r/>
            <w:r>
              <w:rPr>
                <w:b w:val="0"/>
                <w:sz w:val="18"/>
              </w:rPr>
              <w:t>All RTRs and submission notes updated</w:t>
            </w:r>
          </w:p>
        </w:tc>
      </w:tr>
      <w:tr>
        <w:tc>
          <w:tcPr>
            <w:tcW w:type="dxa" w:w="3312"/>
            <w:vAlign w:val="top"/>
          </w:tcPr>
          <w:p>
            <w:r/>
            <w:r>
              <w:rPr>
                <w:b w:val="0"/>
                <w:sz w:val="18"/>
              </w:rPr>
              <w:t>Sourcer coordination</w:t>
            </w:r>
          </w:p>
        </w:tc>
        <w:tc>
          <w:tcPr>
            <w:tcW w:type="dxa" w:w="6768"/>
            <w:vAlign w:val="top"/>
          </w:tcPr>
          <w:p>
            <w:r/>
            <w:r>
              <w:rPr>
                <w:b w:val="0"/>
                <w:sz w:val="18"/>
              </w:rPr>
              <w:t>Daily direction to sourcers/JR recruiters</w:t>
            </w:r>
          </w:p>
        </w:tc>
      </w:tr>
      <w:tr>
        <w:tc>
          <w:tcPr>
            <w:tcW w:type="dxa" w:w="3312"/>
            <w:vAlign w:val="top"/>
          </w:tcPr>
          <w:p>
            <w:r/>
            <w:r>
              <w:rPr>
                <w:b w:val="0"/>
                <w:sz w:val="18"/>
              </w:rPr>
              <w:t>Reporting</w:t>
            </w:r>
          </w:p>
        </w:tc>
        <w:tc>
          <w:tcPr>
            <w:tcW w:type="dxa" w:w="6768"/>
            <w:vAlign w:val="top"/>
          </w:tcPr>
          <w:p>
            <w:r/>
            <w:r>
              <w:rPr>
                <w:b w:val="0"/>
                <w:sz w:val="18"/>
              </w:rPr>
              <w:t>Weekly Friday report</w:t>
            </w:r>
          </w:p>
        </w:tc>
      </w:tr>
    </w:tbl>
    <w:p/>
    <w:p>
      <w:pPr>
        <w:pStyle w:val="Heading1"/>
      </w:pPr>
      <w:r>
        <w:t>7. Days 31-60: Repeatable Conversion and Quality Control</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312"/>
            <w:shd w:fill="D9EAF7"/>
            <w:vAlign w:val="center"/>
          </w:tcPr>
          <w:p>
            <w:r/>
            <w:r>
              <w:rPr>
                <w:b/>
                <w:sz w:val="18"/>
              </w:rPr>
              <w:t>Area</w:t>
            </w:r>
          </w:p>
        </w:tc>
        <w:tc>
          <w:tcPr>
            <w:tcW w:type="dxa" w:w="6768"/>
            <w:shd w:fill="D9EAF7"/>
            <w:vAlign w:val="center"/>
          </w:tcPr>
          <w:p>
            <w:r/>
            <w:r>
              <w:rPr>
                <w:b/>
                <w:sz w:val="18"/>
              </w:rPr>
              <w:t>Days 31-60 Expectation</w:t>
            </w:r>
          </w:p>
        </w:tc>
      </w:tr>
      <w:tr>
        <w:tc>
          <w:tcPr>
            <w:tcW w:type="dxa" w:w="3312"/>
            <w:vAlign w:val="top"/>
          </w:tcPr>
          <w:p>
            <w:r/>
            <w:r>
              <w:rPr>
                <w:b w:val="0"/>
                <w:sz w:val="18"/>
              </w:rPr>
              <w:t>Qualified retained starts</w:t>
            </w:r>
          </w:p>
        </w:tc>
        <w:tc>
          <w:tcPr>
            <w:tcW w:type="dxa" w:w="6768"/>
            <w:vAlign w:val="top"/>
          </w:tcPr>
          <w:p>
            <w:r/>
            <w:r>
              <w:rPr>
                <w:b w:val="0"/>
                <w:sz w:val="18"/>
              </w:rPr>
              <w:t>3 additional target starts</w:t>
            </w:r>
          </w:p>
        </w:tc>
      </w:tr>
      <w:tr>
        <w:tc>
          <w:tcPr>
            <w:tcW w:type="dxa" w:w="3312"/>
            <w:vAlign w:val="top"/>
          </w:tcPr>
          <w:p>
            <w:r/>
            <w:r>
              <w:rPr>
                <w:b w:val="0"/>
                <w:sz w:val="18"/>
              </w:rPr>
              <w:t>Candidate quality</w:t>
            </w:r>
          </w:p>
        </w:tc>
        <w:tc>
          <w:tcPr>
            <w:tcW w:type="dxa" w:w="6768"/>
            <w:vAlign w:val="top"/>
          </w:tcPr>
          <w:p>
            <w:r/>
            <w:r>
              <w:rPr>
                <w:b w:val="0"/>
                <w:sz w:val="18"/>
              </w:rPr>
              <w:t>Improved screening and reduced falloff risk</w:t>
            </w:r>
          </w:p>
        </w:tc>
      </w:tr>
      <w:tr>
        <w:tc>
          <w:tcPr>
            <w:tcW w:type="dxa" w:w="3312"/>
            <w:vAlign w:val="top"/>
          </w:tcPr>
          <w:p>
            <w:r/>
            <w:r>
              <w:rPr>
                <w:b w:val="0"/>
                <w:sz w:val="18"/>
              </w:rPr>
              <w:t>Client/MSP feedback</w:t>
            </w:r>
          </w:p>
        </w:tc>
        <w:tc>
          <w:tcPr>
            <w:tcW w:type="dxa" w:w="6768"/>
            <w:vAlign w:val="top"/>
          </w:tcPr>
          <w:p>
            <w:r/>
            <w:r>
              <w:rPr>
                <w:b w:val="0"/>
                <w:sz w:val="18"/>
              </w:rPr>
              <w:t>Tracked and acted upon</w:t>
            </w:r>
          </w:p>
        </w:tc>
      </w:tr>
      <w:tr>
        <w:tc>
          <w:tcPr>
            <w:tcW w:type="dxa" w:w="3312"/>
            <w:vAlign w:val="top"/>
          </w:tcPr>
          <w:p>
            <w:r/>
            <w:r>
              <w:rPr>
                <w:b w:val="0"/>
                <w:sz w:val="18"/>
              </w:rPr>
              <w:t>Pipeline management</w:t>
            </w:r>
          </w:p>
        </w:tc>
        <w:tc>
          <w:tcPr>
            <w:tcW w:type="dxa" w:w="6768"/>
            <w:vAlign w:val="top"/>
          </w:tcPr>
          <w:p>
            <w:r/>
            <w:r>
              <w:rPr>
                <w:b w:val="0"/>
                <w:sz w:val="18"/>
              </w:rPr>
              <w:t>Priority roles actively worked</w:t>
            </w:r>
          </w:p>
        </w:tc>
      </w:tr>
      <w:tr>
        <w:tc>
          <w:tcPr>
            <w:tcW w:type="dxa" w:w="3312"/>
            <w:vAlign w:val="top"/>
          </w:tcPr>
          <w:p>
            <w:r/>
            <w:r>
              <w:rPr>
                <w:b w:val="0"/>
                <w:sz w:val="18"/>
              </w:rPr>
              <w:t>Sourcer output</w:t>
            </w:r>
          </w:p>
        </w:tc>
        <w:tc>
          <w:tcPr>
            <w:tcW w:type="dxa" w:w="6768"/>
            <w:vAlign w:val="top"/>
          </w:tcPr>
          <w:p>
            <w:r/>
            <w:r>
              <w:rPr>
                <w:b w:val="0"/>
                <w:sz w:val="18"/>
              </w:rPr>
              <w:t>Reviewed and corrected weekly</w:t>
            </w:r>
          </w:p>
        </w:tc>
      </w:tr>
      <w:tr>
        <w:tc>
          <w:tcPr>
            <w:tcW w:type="dxa" w:w="3312"/>
            <w:vAlign w:val="top"/>
          </w:tcPr>
          <w:p>
            <w:r/>
            <w:r>
              <w:rPr>
                <w:b w:val="0"/>
                <w:sz w:val="18"/>
              </w:rPr>
              <w:t>Reporting</w:t>
            </w:r>
          </w:p>
        </w:tc>
        <w:tc>
          <w:tcPr>
            <w:tcW w:type="dxa" w:w="6768"/>
            <w:vAlign w:val="top"/>
          </w:tcPr>
          <w:p>
            <w:r/>
            <w:r>
              <w:rPr>
                <w:b w:val="0"/>
                <w:sz w:val="18"/>
              </w:rPr>
              <w:t>Weekly dashboard maintained</w:t>
            </w:r>
          </w:p>
        </w:tc>
      </w:tr>
      <w:tr>
        <w:tc>
          <w:tcPr>
            <w:tcW w:type="dxa" w:w="3312"/>
            <w:vAlign w:val="top"/>
          </w:tcPr>
          <w:p>
            <w:r/>
            <w:r>
              <w:rPr>
                <w:b w:val="0"/>
                <w:sz w:val="18"/>
              </w:rPr>
              <w:t>Documentation</w:t>
            </w:r>
          </w:p>
        </w:tc>
        <w:tc>
          <w:tcPr>
            <w:tcW w:type="dxa" w:w="6768"/>
            <w:vAlign w:val="top"/>
          </w:tcPr>
          <w:p>
            <w:r/>
            <w:r>
              <w:rPr>
                <w:b w:val="0"/>
                <w:sz w:val="18"/>
              </w:rPr>
              <w:t>Candidate status and RTR tracking kept current</w:t>
            </w:r>
          </w:p>
        </w:tc>
      </w:tr>
    </w:tbl>
    <w:p/>
    <w:p>
      <w:pPr>
        <w:pStyle w:val="Heading1"/>
      </w:pPr>
      <w:r>
        <w:t>8. Days 61-90: Senior-Level Ownership</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312"/>
            <w:shd w:fill="D9EAF7"/>
            <w:vAlign w:val="center"/>
          </w:tcPr>
          <w:p>
            <w:r/>
            <w:r>
              <w:rPr>
                <w:b/>
                <w:sz w:val="18"/>
              </w:rPr>
              <w:t>Area</w:t>
            </w:r>
          </w:p>
        </w:tc>
        <w:tc>
          <w:tcPr>
            <w:tcW w:type="dxa" w:w="6768"/>
            <w:shd w:fill="D9EAF7"/>
            <w:vAlign w:val="center"/>
          </w:tcPr>
          <w:p>
            <w:r/>
            <w:r>
              <w:rPr>
                <w:b/>
                <w:sz w:val="18"/>
              </w:rPr>
              <w:t>Days 61-90 Expectation</w:t>
            </w:r>
          </w:p>
        </w:tc>
      </w:tr>
      <w:tr>
        <w:tc>
          <w:tcPr>
            <w:tcW w:type="dxa" w:w="3312"/>
            <w:vAlign w:val="top"/>
          </w:tcPr>
          <w:p>
            <w:r/>
            <w:r>
              <w:rPr>
                <w:b w:val="0"/>
                <w:sz w:val="18"/>
              </w:rPr>
              <w:t>Qualified retained starts</w:t>
            </w:r>
          </w:p>
        </w:tc>
        <w:tc>
          <w:tcPr>
            <w:tcW w:type="dxa" w:w="6768"/>
            <w:vAlign w:val="top"/>
          </w:tcPr>
          <w:p>
            <w:r/>
            <w:r>
              <w:rPr>
                <w:b w:val="0"/>
                <w:sz w:val="18"/>
              </w:rPr>
              <w:t>3-4 additional target starts</w:t>
            </w:r>
          </w:p>
        </w:tc>
      </w:tr>
      <w:tr>
        <w:tc>
          <w:tcPr>
            <w:tcW w:type="dxa" w:w="3312"/>
            <w:vAlign w:val="top"/>
          </w:tcPr>
          <w:p>
            <w:r/>
            <w:r>
              <w:rPr>
                <w:b w:val="0"/>
                <w:sz w:val="18"/>
              </w:rPr>
              <w:t>Total 90-day retained starts</w:t>
            </w:r>
          </w:p>
        </w:tc>
        <w:tc>
          <w:tcPr>
            <w:tcW w:type="dxa" w:w="6768"/>
            <w:vAlign w:val="top"/>
          </w:tcPr>
          <w:p>
            <w:r/>
            <w:r>
              <w:rPr>
                <w:b w:val="0"/>
                <w:sz w:val="18"/>
              </w:rPr>
              <w:t>10 target starts</w:t>
            </w:r>
          </w:p>
        </w:tc>
      </w:tr>
      <w:tr>
        <w:tc>
          <w:tcPr>
            <w:tcW w:type="dxa" w:w="3312"/>
            <w:vAlign w:val="top"/>
          </w:tcPr>
          <w:p>
            <w:r/>
            <w:r>
              <w:rPr>
                <w:b w:val="0"/>
                <w:sz w:val="18"/>
              </w:rPr>
              <w:t>Retention quality</w:t>
            </w:r>
          </w:p>
        </w:tc>
        <w:tc>
          <w:tcPr>
            <w:tcW w:type="dxa" w:w="6768"/>
            <w:vAlign w:val="top"/>
          </w:tcPr>
          <w:p>
            <w:r/>
            <w:r>
              <w:rPr>
                <w:b w:val="0"/>
                <w:sz w:val="18"/>
              </w:rPr>
              <w:t>Candidates remain active and billing</w:t>
            </w:r>
          </w:p>
        </w:tc>
      </w:tr>
      <w:tr>
        <w:tc>
          <w:tcPr>
            <w:tcW w:type="dxa" w:w="3312"/>
            <w:vAlign w:val="top"/>
          </w:tcPr>
          <w:p>
            <w:r/>
            <w:r>
              <w:rPr>
                <w:b w:val="0"/>
                <w:sz w:val="18"/>
              </w:rPr>
              <w:t>Desk ownership</w:t>
            </w:r>
          </w:p>
        </w:tc>
        <w:tc>
          <w:tcPr>
            <w:tcW w:type="dxa" w:w="6768"/>
            <w:vAlign w:val="top"/>
          </w:tcPr>
          <w:p>
            <w:r/>
            <w:r>
              <w:rPr>
                <w:b w:val="0"/>
                <w:sz w:val="18"/>
              </w:rPr>
              <w:t>Proactive prioritization and follow-up</w:t>
            </w:r>
          </w:p>
        </w:tc>
      </w:tr>
      <w:tr>
        <w:tc>
          <w:tcPr>
            <w:tcW w:type="dxa" w:w="3312"/>
            <w:vAlign w:val="top"/>
          </w:tcPr>
          <w:p>
            <w:r/>
            <w:r>
              <w:rPr>
                <w:b w:val="0"/>
                <w:sz w:val="18"/>
              </w:rPr>
              <w:t>Communication</w:t>
            </w:r>
          </w:p>
        </w:tc>
        <w:tc>
          <w:tcPr>
            <w:tcW w:type="dxa" w:w="6768"/>
            <w:vAlign w:val="top"/>
          </w:tcPr>
          <w:p>
            <w:r/>
            <w:r>
              <w:rPr>
                <w:b w:val="0"/>
                <w:sz w:val="18"/>
              </w:rPr>
              <w:t>No chasing required for updates</w:t>
            </w:r>
          </w:p>
        </w:tc>
      </w:tr>
      <w:tr>
        <w:tc>
          <w:tcPr>
            <w:tcW w:type="dxa" w:w="3312"/>
            <w:vAlign w:val="top"/>
          </w:tcPr>
          <w:p>
            <w:r/>
            <w:r>
              <w:rPr>
                <w:b w:val="0"/>
                <w:sz w:val="18"/>
              </w:rPr>
              <w:t>Confidentiality</w:t>
            </w:r>
          </w:p>
        </w:tc>
        <w:tc>
          <w:tcPr>
            <w:tcW w:type="dxa" w:w="6768"/>
            <w:vAlign w:val="top"/>
          </w:tcPr>
          <w:p>
            <w:r/>
            <w:r>
              <w:rPr>
                <w:b w:val="0"/>
                <w:sz w:val="18"/>
              </w:rPr>
              <w:t>Strong discretion with internal matters</w:t>
            </w:r>
          </w:p>
        </w:tc>
      </w:tr>
      <w:tr>
        <w:tc>
          <w:tcPr>
            <w:tcW w:type="dxa" w:w="3312"/>
            <w:vAlign w:val="top"/>
          </w:tcPr>
          <w:p>
            <w:r/>
            <w:r>
              <w:rPr>
                <w:b w:val="0"/>
                <w:sz w:val="18"/>
              </w:rPr>
              <w:t>Team coordination</w:t>
            </w:r>
          </w:p>
        </w:tc>
        <w:tc>
          <w:tcPr>
            <w:tcW w:type="dxa" w:w="6768"/>
            <w:vAlign w:val="top"/>
          </w:tcPr>
          <w:p>
            <w:r/>
            <w:r>
              <w:rPr>
                <w:b w:val="0"/>
                <w:sz w:val="18"/>
              </w:rPr>
              <w:t>Sourcers/JR recruiters clearly directed</w:t>
            </w:r>
          </w:p>
        </w:tc>
      </w:tr>
      <w:tr>
        <w:tc>
          <w:tcPr>
            <w:tcW w:type="dxa" w:w="3312"/>
            <w:vAlign w:val="top"/>
          </w:tcPr>
          <w:p>
            <w:r/>
            <w:r>
              <w:rPr>
                <w:b w:val="0"/>
                <w:sz w:val="18"/>
              </w:rPr>
              <w:t>Business outcome</w:t>
            </w:r>
          </w:p>
        </w:tc>
        <w:tc>
          <w:tcPr>
            <w:tcW w:type="dxa" w:w="6768"/>
            <w:vAlign w:val="top"/>
          </w:tcPr>
          <w:p>
            <w:r/>
            <w:r>
              <w:rPr>
                <w:b w:val="0"/>
                <w:sz w:val="18"/>
              </w:rPr>
              <w:t>Placements support company profitability requirements</w:t>
            </w:r>
          </w:p>
        </w:tc>
      </w:tr>
    </w:tbl>
    <w:p/>
    <w:p>
      <w:pPr>
        <w:pStyle w:val="Heading1"/>
      </w:pPr>
      <w:r>
        <w:t>9. Weekly Tracker Requirement</w:t>
      </w:r>
    </w:p>
    <w:p>
      <w:r>
        <w:t>The employee must share a weekly tracker every Friday covering:</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3600"/>
            <w:shd w:fill="D9EAF7"/>
            <w:vAlign w:val="center"/>
          </w:tcPr>
          <w:p>
            <w:r/>
            <w:r>
              <w:rPr>
                <w:b/>
                <w:sz w:val="18"/>
              </w:rPr>
              <w:t>Metric</w:t>
            </w:r>
          </w:p>
        </w:tc>
        <w:tc>
          <w:tcPr>
            <w:tcW w:type="dxa" w:w="1728"/>
            <w:shd w:fill="D9EAF7"/>
            <w:vAlign w:val="center"/>
          </w:tcPr>
          <w:p>
            <w:r/>
            <w:r>
              <w:rPr>
                <w:b/>
                <w:sz w:val="18"/>
              </w:rPr>
              <w:t>This Week</w:t>
            </w:r>
          </w:p>
        </w:tc>
        <w:tc>
          <w:tcPr>
            <w:tcW w:type="dxa" w:w="2016"/>
            <w:shd w:fill="D9EAF7"/>
            <w:vAlign w:val="center"/>
          </w:tcPr>
          <w:p>
            <w:r/>
            <w:r>
              <w:rPr>
                <w:b/>
                <w:sz w:val="18"/>
              </w:rPr>
              <w:t>Month-to-Date</w:t>
            </w:r>
          </w:p>
        </w:tc>
        <w:tc>
          <w:tcPr>
            <w:tcW w:type="dxa" w:w="2880"/>
            <w:shd w:fill="D9EAF7"/>
            <w:vAlign w:val="center"/>
          </w:tcPr>
          <w:p>
            <w:r/>
            <w:r>
              <w:rPr>
                <w:b/>
                <w:sz w:val="18"/>
              </w:rPr>
              <w:t>Notes</w:t>
            </w:r>
          </w:p>
        </w:tc>
      </w:tr>
      <w:tr>
        <w:tc>
          <w:tcPr>
            <w:tcW w:type="dxa" w:w="3600"/>
            <w:vAlign w:val="top"/>
          </w:tcPr>
          <w:p>
            <w:r/>
            <w:r>
              <w:rPr>
                <w:b w:val="0"/>
                <w:sz w:val="18"/>
              </w:rPr>
              <w:t>New candidates sourced</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r>
        <w:tc>
          <w:tcPr>
            <w:tcW w:type="dxa" w:w="3600"/>
            <w:vAlign w:val="top"/>
          </w:tcPr>
          <w:p>
            <w:r/>
            <w:r>
              <w:rPr>
                <w:b w:val="0"/>
                <w:sz w:val="18"/>
              </w:rPr>
              <w:t>Screened candidates</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r>
        <w:tc>
          <w:tcPr>
            <w:tcW w:type="dxa" w:w="3600"/>
            <w:vAlign w:val="top"/>
          </w:tcPr>
          <w:p>
            <w:r/>
            <w:r>
              <w:rPr>
                <w:b w:val="0"/>
                <w:sz w:val="18"/>
              </w:rPr>
              <w:t>Qualified candidates</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r>
        <w:tc>
          <w:tcPr>
            <w:tcW w:type="dxa" w:w="3600"/>
            <w:vAlign w:val="top"/>
          </w:tcPr>
          <w:p>
            <w:r/>
            <w:r>
              <w:rPr>
                <w:b w:val="0"/>
                <w:sz w:val="18"/>
              </w:rPr>
              <w:t>Quality submissions</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r>
        <w:tc>
          <w:tcPr>
            <w:tcW w:type="dxa" w:w="3600"/>
            <w:vAlign w:val="top"/>
          </w:tcPr>
          <w:p>
            <w:r/>
            <w:r>
              <w:rPr>
                <w:b w:val="0"/>
                <w:sz w:val="18"/>
              </w:rPr>
              <w:t>Interviews/client movement</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r>
        <w:tc>
          <w:tcPr>
            <w:tcW w:type="dxa" w:w="3600"/>
            <w:vAlign w:val="top"/>
          </w:tcPr>
          <w:p>
            <w:r/>
            <w:r>
              <w:rPr>
                <w:b w:val="0"/>
                <w:sz w:val="18"/>
              </w:rPr>
              <w:t>POs/starts</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r>
        <w:tc>
          <w:tcPr>
            <w:tcW w:type="dxa" w:w="3600"/>
            <w:vAlign w:val="top"/>
          </w:tcPr>
          <w:p>
            <w:r/>
            <w:r>
              <w:rPr>
                <w:b w:val="0"/>
                <w:sz w:val="18"/>
              </w:rPr>
              <w:t>Qualified retained starts</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r>
        <w:tc>
          <w:tcPr>
            <w:tcW w:type="dxa" w:w="3600"/>
            <w:vAlign w:val="top"/>
          </w:tcPr>
          <w:p>
            <w:r/>
            <w:r>
              <w:rPr>
                <w:b w:val="0"/>
                <w:sz w:val="18"/>
              </w:rPr>
              <w:t>Candidates billing successfully</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r>
        <w:tc>
          <w:tcPr>
            <w:tcW w:type="dxa" w:w="3600"/>
            <w:vAlign w:val="top"/>
          </w:tcPr>
          <w:p>
            <w:r/>
            <w:r>
              <w:rPr>
                <w:b w:val="0"/>
                <w:sz w:val="18"/>
              </w:rPr>
              <w:t>RTRs completed</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r>
        <w:tc>
          <w:tcPr>
            <w:tcW w:type="dxa" w:w="3600"/>
            <w:vAlign w:val="top"/>
          </w:tcPr>
          <w:p>
            <w:r/>
            <w:r>
              <w:rPr>
                <w:b w:val="0"/>
                <w:sz w:val="18"/>
              </w:rPr>
              <w:t>Falloff risks</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r>
        <w:tc>
          <w:tcPr>
            <w:tcW w:type="dxa" w:w="3600"/>
            <w:vAlign w:val="top"/>
          </w:tcPr>
          <w:p>
            <w:r/>
            <w:r>
              <w:rPr>
                <w:b w:val="0"/>
                <w:sz w:val="18"/>
              </w:rPr>
              <w:t>Candidate follow-ups completed</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r>
        <w:tc>
          <w:tcPr>
            <w:tcW w:type="dxa" w:w="3600"/>
            <w:vAlign w:val="top"/>
          </w:tcPr>
          <w:p>
            <w:r/>
            <w:r>
              <w:rPr>
                <w:b w:val="0"/>
                <w:sz w:val="18"/>
              </w:rPr>
              <w:t>Sourcer/JR output reviewed</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r>
        <w:tc>
          <w:tcPr>
            <w:tcW w:type="dxa" w:w="3600"/>
            <w:vAlign w:val="top"/>
          </w:tcPr>
          <w:p>
            <w:r/>
            <w:r>
              <w:rPr>
                <w:b w:val="0"/>
                <w:sz w:val="18"/>
              </w:rPr>
              <w:t>Profitability / margin notes</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r>
        <w:tc>
          <w:tcPr>
            <w:tcW w:type="dxa" w:w="3600"/>
            <w:vAlign w:val="top"/>
          </w:tcPr>
          <w:p>
            <w:r/>
            <w:r>
              <w:rPr>
                <w:b w:val="0"/>
                <w:sz w:val="18"/>
              </w:rPr>
              <w:t>Issues/support needed</w:t>
            </w:r>
          </w:p>
        </w:tc>
        <w:tc>
          <w:tcPr>
            <w:tcW w:type="dxa" w:w="1728"/>
            <w:vAlign w:val="top"/>
          </w:tcPr>
          <w:p>
            <w:r/>
            <w:r>
              <w:rPr>
                <w:b w:val="0"/>
                <w:sz w:val="18"/>
              </w:rPr>
            </w:r>
          </w:p>
        </w:tc>
        <w:tc>
          <w:tcPr>
            <w:tcW w:type="dxa" w:w="2016"/>
            <w:vAlign w:val="top"/>
          </w:tcPr>
          <w:p>
            <w:r/>
            <w:r>
              <w:rPr>
                <w:b w:val="0"/>
                <w:sz w:val="18"/>
              </w:rPr>
            </w:r>
          </w:p>
        </w:tc>
        <w:tc>
          <w:tcPr>
            <w:tcW w:type="dxa" w:w="2880"/>
            <w:vAlign w:val="top"/>
          </w:tcPr>
          <w:p>
            <w:r/>
            <w:r>
              <w:rPr>
                <w:b w:val="0"/>
                <w:sz w:val="18"/>
              </w:rPr>
            </w:r>
          </w:p>
        </w:tc>
      </w:tr>
    </w:tbl>
    <w:p/>
    <w:p>
      <w:pPr>
        <w:pStyle w:val="Heading1"/>
      </w:pPr>
      <w:r>
        <w:t>10. Review Outcome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4464"/>
            <w:shd w:fill="D9EAF7"/>
            <w:vAlign w:val="center"/>
          </w:tcPr>
          <w:p>
            <w:r/>
            <w:r>
              <w:rPr>
                <w:b/>
                <w:sz w:val="18"/>
              </w:rPr>
              <w:t>Review Result</w:t>
            </w:r>
          </w:p>
        </w:tc>
        <w:tc>
          <w:tcPr>
            <w:tcW w:type="dxa" w:w="5616"/>
            <w:shd w:fill="D9EAF7"/>
            <w:vAlign w:val="center"/>
          </w:tcPr>
          <w:p>
            <w:r/>
            <w:r>
              <w:rPr>
                <w:b/>
                <w:sz w:val="18"/>
              </w:rPr>
              <w:t>Outcome</w:t>
            </w:r>
          </w:p>
        </w:tc>
      </w:tr>
      <w:tr>
        <w:tc>
          <w:tcPr>
            <w:tcW w:type="dxa" w:w="4464"/>
            <w:vAlign w:val="top"/>
          </w:tcPr>
          <w:p>
            <w:r/>
            <w:r>
              <w:rPr>
                <w:b w:val="0"/>
                <w:sz w:val="18"/>
              </w:rPr>
              <w:t>Fewer than 7 qualified retained starts</w:t>
            </w:r>
          </w:p>
        </w:tc>
        <w:tc>
          <w:tcPr>
            <w:tcW w:type="dxa" w:w="5616"/>
            <w:vAlign w:val="top"/>
          </w:tcPr>
          <w:p>
            <w:r/>
            <w:r>
              <w:rPr>
                <w:b w:val="0"/>
                <w:sz w:val="18"/>
              </w:rPr>
              <w:t>Below expected level; no salary revision</w:t>
            </w:r>
          </w:p>
        </w:tc>
      </w:tr>
      <w:tr>
        <w:tc>
          <w:tcPr>
            <w:tcW w:type="dxa" w:w="4464"/>
            <w:vAlign w:val="top"/>
          </w:tcPr>
          <w:p>
            <w:r/>
            <w:r>
              <w:rPr>
                <w:b w:val="0"/>
                <w:sz w:val="18"/>
              </w:rPr>
              <w:t>7-9 qualified retained starts</w:t>
            </w:r>
          </w:p>
        </w:tc>
        <w:tc>
          <w:tcPr>
            <w:tcW w:type="dxa" w:w="5616"/>
            <w:vAlign w:val="top"/>
          </w:tcPr>
          <w:p>
            <w:r/>
            <w:r>
              <w:rPr>
                <w:b w:val="0"/>
                <w:sz w:val="18"/>
              </w:rPr>
              <w:t>Partial achievement; management may review based on quality, profitability, and business context</w:t>
            </w:r>
          </w:p>
        </w:tc>
      </w:tr>
      <w:tr>
        <w:tc>
          <w:tcPr>
            <w:tcW w:type="dxa" w:w="4464"/>
            <w:vAlign w:val="top"/>
          </w:tcPr>
          <w:p>
            <w:r/>
            <w:r>
              <w:rPr>
                <w:b w:val="0"/>
                <w:sz w:val="18"/>
              </w:rPr>
              <w:t>10 qualified retained starts achieved</w:t>
            </w:r>
          </w:p>
        </w:tc>
        <w:tc>
          <w:tcPr>
            <w:tcW w:type="dxa" w:w="5616"/>
            <w:vAlign w:val="top"/>
          </w:tcPr>
          <w:p>
            <w:r/>
            <w:r>
              <w:rPr>
                <w:b w:val="0"/>
                <w:sz w:val="18"/>
              </w:rPr>
              <w:t>Target achieved; eligible for next salary band review</w:t>
            </w:r>
          </w:p>
        </w:tc>
      </w:tr>
      <w:tr>
        <w:tc>
          <w:tcPr>
            <w:tcW w:type="dxa" w:w="4464"/>
            <w:vAlign w:val="top"/>
          </w:tcPr>
          <w:p>
            <w:r/>
            <w:r>
              <w:rPr>
                <w:b w:val="0"/>
                <w:sz w:val="18"/>
              </w:rPr>
              <w:t>More than 10 qualified retained starts with clean quality and profitability</w:t>
            </w:r>
          </w:p>
        </w:tc>
        <w:tc>
          <w:tcPr>
            <w:tcW w:type="dxa" w:w="5616"/>
            <w:vAlign w:val="top"/>
          </w:tcPr>
          <w:p>
            <w:r/>
            <w:r>
              <w:rPr>
                <w:b w:val="0"/>
                <w:sz w:val="18"/>
              </w:rPr>
              <w:t>Strong performance; stronger salary review consideration</w:t>
            </w:r>
          </w:p>
        </w:tc>
      </w:tr>
      <w:tr>
        <w:tc>
          <w:tcPr>
            <w:tcW w:type="dxa" w:w="4464"/>
            <w:vAlign w:val="top"/>
          </w:tcPr>
          <w:p>
            <w:r/>
            <w:r>
              <w:rPr>
                <w:b w:val="0"/>
                <w:sz w:val="18"/>
              </w:rPr>
              <w:t>Confidentiality, communication, trust, or conduct concerns</w:t>
            </w:r>
          </w:p>
        </w:tc>
        <w:tc>
          <w:tcPr>
            <w:tcW w:type="dxa" w:w="5616"/>
            <w:vAlign w:val="top"/>
          </w:tcPr>
          <w:p>
            <w:r/>
            <w:r>
              <w:rPr>
                <w:b w:val="0"/>
                <w:sz w:val="18"/>
              </w:rPr>
              <w:t>May delay or prevent salary revision regardless of performance numbers</w:t>
            </w:r>
          </w:p>
        </w:tc>
      </w:tr>
    </w:tbl>
    <w:p/>
    <w:p>
      <w:pPr>
        <w:pStyle w:val="Heading1"/>
      </w:pPr>
      <w:r>
        <w:t>11. Salary Band Consideration</w:t>
      </w:r>
    </w:p>
    <w:p>
      <w:r>
        <w:t>Achievement of the 90-day target makes the employee eligible for review. It does not guarantee a salary increase.</w:t>
      </w:r>
    </w:p>
    <w:p>
      <w:r>
        <w:t>Any salary revision, including possible movement toward the next salary band, generally in the range of ₹55,000-₹60,000 per month, will depend on:</w:t>
      </w:r>
    </w:p>
    <w:p>
      <w:pPr>
        <w:pStyle w:val="ListBullet"/>
      </w:pPr>
      <w:r>
        <w:t>Achievement of qualified retained start targets</w:t>
      </w:r>
    </w:p>
    <w:p>
      <w:pPr>
        <w:pStyle w:val="ListBullet"/>
      </w:pPr>
      <w:r>
        <w:t>Retained billing outcomes</w:t>
      </w:r>
    </w:p>
    <w:p>
      <w:pPr>
        <w:pStyle w:val="ListBullet"/>
      </w:pPr>
      <w:r>
        <w:t>Candidate quality</w:t>
      </w:r>
    </w:p>
    <w:p>
      <w:pPr>
        <w:pStyle w:val="ListBullet"/>
      </w:pPr>
      <w:r>
        <w:t>Profitability/margin performance</w:t>
      </w:r>
    </w:p>
    <w:p>
      <w:pPr>
        <w:pStyle w:val="ListBullet"/>
      </w:pPr>
      <w:r>
        <w:t>Falloff control</w:t>
      </w:r>
    </w:p>
    <w:p>
      <w:pPr>
        <w:pStyle w:val="ListBullet"/>
      </w:pPr>
      <w:r>
        <w:t>Reporting discipline</w:t>
      </w:r>
    </w:p>
    <w:p>
      <w:pPr>
        <w:pStyle w:val="ListBullet"/>
      </w:pPr>
      <w:r>
        <w:t>Sourcer/JR coordination</w:t>
      </w:r>
    </w:p>
    <w:p>
      <w:pPr>
        <w:pStyle w:val="ListBullet"/>
      </w:pPr>
      <w:r>
        <w:t>Communication and professionalism</w:t>
      </w:r>
    </w:p>
    <w:p>
      <w:pPr>
        <w:pStyle w:val="ListBullet"/>
      </w:pPr>
      <w:r>
        <w:t>Confidentiality and trust</w:t>
      </w:r>
    </w:p>
    <w:p>
      <w:pPr>
        <w:pStyle w:val="ListBullet"/>
      </w:pPr>
      <w:r>
        <w:t>Business position and management approval</w:t>
      </w:r>
    </w:p>
    <w:p>
      <w:pPr>
        <w:pStyle w:val="Heading1"/>
      </w:pPr>
      <w:r>
        <w:t>12. Confidentiality and Professional Conduct</w:t>
      </w:r>
    </w:p>
    <w:p>
      <w:r>
        <w:t>As part of senior/foundation team expectations, the employee must demonstrate discretion, judgment, and confidentiality.</w:t>
      </w:r>
    </w:p>
    <w:p>
      <w:r>
        <w:t>Internal company discussions, tools, sourcing strategies, client information, candidate data, compensation/margin information, business plans, and process details must remain within the company unless sharing is approved.</w:t>
      </w:r>
    </w:p>
    <w:p>
      <w:r>
        <w:t>Higher compensation and senior growth require both performance and trust.</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