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antes da primeira equacao</w:t>
      </w:r>
    </w:p>
    <w:p>
      <w:pPr>
        <w:jc w:val="both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ÁREA ÚTIL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ÁREA TOTAL DO TERRENO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TAXA DE OCUPAÇÃO</m:t>
          </m:r>
        </m:oMath>
      </m:oMathPara>
    </w:p>
    <w:p>
      <w:r>
        <w:t xml:space="preserve">Linha entre as equacoes do teste</w:t>
      </w:r>
    </w:p>
    <w:p>
      <w:pPr>
        <w:ind w:firstLine="284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7,5g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30,125g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=0,2490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LARGURA MAIOR AQUI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AB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x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24"/>
              <w:szCs w:val="24"/>
            </w:rPr>
            <m:t xml:space="preserve">a</m:t>
          </m:r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b+c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24"/>
              <w:szCs w:val="24"/>
            </w:rPr>
            <m:t xml:space="preserve">y</m:t>
          </m:r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2x−1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VALOR TAXADO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AVALIAÇÃO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LTDA YOTTA</m:t>
          </m:r>
        </m:oMath>
      </m:oMathPara>
    </w:p>
    <w:p>
      <w:r>
        <w:t xml:space="preserve">Linha depois da ultima equacao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