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linha 1 Hxg</w:t>
      </w:r>
    </w:p>
    <w:p>
      <w:r>
        <w:t xml:space="preserve">corpo linha 2 Hxg</w:t>
      </w:r>
    </w:p>
    <w:p>
      <w:r>
        <w:t xml:space="preserve">corpo linha 3 Hxg</w:t>
      </w:r>
    </w:p>
    <w:p>
      <w:r>
        <w:t xml:space="preserve">corpo linha 4 Hxg</w:t>
      </w:r>
    </w:p>
    <w:p>
      <w:r>
        <w:t xml:space="preserve">corpo linha 5 Hxg</w:t>
      </w:r>
    </w:p>
    <w:p>
      <w:r>
        <w:t xml:space="preserve">corpo linha 6 Hxg</w:t>
      </w:r>
    </w:p>
    <w:sectPr>
      <w:headerReference w:type="default" r:id="rId_header_default"/>
      <w:pgSz w:w="11906" w:h="16838"/>
      <w:pgMar w:top="600" w:right="1701" w:bottom="1417" w:left="1701" w:header="300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Cabecalho curto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