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referencia</w:t>
      </w:r>
      <w:r>
        <w:rPr>
          <w:rStyle w:val="FootnoteReference"/>
        </w:rPr>
        <w:footnoteReference w:id="1"/>
      </w:r>
      <w:r>
        <w:t xml:space="preserve"> no texto Hxg</w:t>
      </w:r>
    </w:p>
    <w:p>
      <w:r>
        <w:t xml:space="preserve">Segunda</w:t>
      </w:r>
      <w:r>
        <w:rPr>
          <w:rStyle w:val="FootnoteReference"/>
        </w:rPr>
        <w:footnoteReference w:id="2"/>
      </w:r>
      <w:r>
        <w:t xml:space="preserve"> e terceira</w:t>
      </w:r>
      <w:r>
        <w:rPr>
          <w:rStyle w:val="FootnoteReference"/>
        </w:rPr>
        <w:footnoteReference w:id="3"/>
      </w:r>
      <w:r>
        <w:t xml:space="preserve"> referencias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um curta.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dois com um texto mais longo que deve ocupar mais de uma linha no pe da pagina para medir a quebra e a entrelinha da nota de rodape.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Nota tres.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