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abc
defgh LF</w:t>
      </w:r>
    </w:p>
    <w:p>
      <w:r>
        <w:t xml:space="preserve">abc
defgh CR</w:t>
      </w:r>
    </w:p>
    <w:p>
      <w:r>
        <w:t xml:space="preserve">abc
defgh CRLF</w:t>
      </w:r>
    </w:p>
    <w:p>
      <w:r>
        <w:t xml:space="preserve">abc	defgh TAB</w:t>
      </w:r>
    </w:p>
    <w:p>
      <w:r>
        <w:t>abc
defgh LF sem preserve</w:t>
      </w:r>
    </w:p>
    <w:p>
      <w:r>
        <w:t xml:space="preserve">abc  
  defgh LF com espacos</w:t>
      </w:r>
    </w:p>
    <w:p>
      <w:r>
        <w:t xml:space="preserve">abc
defgh ent10</w:t>
      </w:r>
    </w:p>
    <w:p>
      <w:r>
        <w:t xml:space="preserve">abcdefgh ent13</w:t>
      </w:r>
    </w:p>
    <w:p>
      <w:r>
        <w:t xml:space="preserve">abc	defgh ent9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