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overflowPunct w:val="0"/>
        <w:jc w:val="left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overflowPunct w:val="0"/>
        <w:jc w:val="left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overflowPunct w:val="0"/>
        <w:jc w:val="both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overflowPunct w:val="0"/>
        <w:jc w:val="both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overflowPunct w:val="0"/>
        <w:jc w:val="left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overflowPunct w:val="0"/>
        <w:jc w:val="left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overflowPunct w:val="0"/>
        <w:jc w:val="both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overflowPunct w:val="0"/>
        <w:jc w:val="both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overflowPunct w:val="0"/>
        <w:jc w:val="left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overflowPunct w:val="0"/>
        <w:jc w:val="left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overflowPunct w:val="0"/>
        <w:jc w:val="both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overflowPunct w:val="0"/>
        <w:jc w:val="both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overflowPunct w:val="0"/>
        <w:jc w:val="left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overflowPunct w:val="0"/>
        <w:jc w:val="left"/>
        <w:ind w:right="-1423"/>
      </w:pPr>
      <w:r>
        <w:t xml:space="preserve">Serviço área execução processo para qualidade aprovação gestão controle responsável conforme fim; segunda linha que continua</w:t>
      </w:r>
    </w:p>
    <w:p>
      <w:pPr>
        <w:overflowPunct w:val="0"/>
        <w:jc w:val="both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overflowPunct w:val="0"/>
        <w:jc w:val="both"/>
        <w:ind w:right="-1423"/>
      </w:pPr>
      <w:r>
        <w:t xml:space="preserve">Serviço área execução processo para qualidade aprovação gestão controle responsável conforme fim;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