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</w:pPr>
      <w:r>
        <w:rPr>
          <w:kern w:val="2"/>
        </w:rPr>
        <w:t xml:space="preserve">A TAREFA AVALIAVA O VALOR TOTAL DA OBRA, E CADA LOTE VALE TANTO QUANTO A TAXA ANUAL; O AUDITOR REVISAVA A TABELA, AVALIAVA A FATURA E VOLTAVA A VALIDAR O LAUDO. TODA A EQUIPE TAVA ATENTA: A VAGA, O ATRASO, A AVARIA E O AVISO DE FALTA FORAM VISTOS. A TAREFA AVALIAVA O VALOR TOTAL DA OBRA, E CADA LOTE VALE TANTO QUANTO A TAXA ANUAL; O AUDITOR REVISAVA A TABELA, AVALIAVA A FATURA E VOLTAVA A VALIDAR O LAUDO. TODA A EQUIPE TAVA ATENTA: A VAGA, O ATRASO, A AVARIA E O AVISO DE FALTA FORAM VISTOS. A TAREFA AVALIAVA O VALOR TOTAL DA OBRA, E CADA LOTE VALE TANTO QUANTO A TAXA ANUAL; O AUDITOR REVISAVA A TABELA, AVALIAVA A FATURA E VOLTAVA A VALIDAR O LAUDO. TODA A EQUIPE TAVA ATENTA: A VAGA, O ATRASO, A AVARIA E O AVISO DE FALTA FORAM VISTOS. 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 Light" w:hAnsi="Calibri Light" w:cs="Calibri Light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