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igual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times16 Hxg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arial8 Hxg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negrito Hxg</w:t>
      </w:r>
      <w:r>
        <w:rPr>
          <w:rFonts w:ascii="Arial" w:hAnsi="Arial" w:cs="Arial"/>
          <w:sz w:val="22"/>
          <w:szCs w:val="22"/>
          <w:b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sublinhado Hxg</w:t>
      </w: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cor Hxg</w:t>
      </w:r>
      <w:r>
        <w:rPr>
          <w:rFonts w:ascii="Arial" w:hAnsi="Arial" w:cs="Arial"/>
          <w:sz w:val="22"/>
          <w:szCs w:val="22"/>
          <w:color w:val="C00000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espacado Hxg</w:t>
      </w:r>
      <w:r>
        <w:rPr>
          <w:rFonts w:ascii="Arial" w:hAnsi="Arial" w:cs="Arial"/>
          <w:sz w:val="22"/>
          <w:szCs w:val="22"/>
          <w:spacing w:val="40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escala150 Hxg</w:t>
      </w:r>
      <w:r>
        <w:rPr>
          <w:rFonts w:ascii="Arial" w:hAnsi="Arial" w:cs="Arial"/>
          <w:sz w:val="22"/>
          <w:szCs w:val="22"/>
          <w:w w:val="150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sobrescrito Hxg</w:t>
      </w:r>
      <w:r>
        <w:rPr>
          <w:rFonts w:ascii="Arial" w:hAnsi="Arial" w:cs="Arial"/>
          <w:sz w:val="22"/>
          <w:szCs w:val="22"/>
          <w:vertAlign w:val="superscript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oculto-web Hxg</w:t>
      </w:r>
      <w:r>
        <w:rPr>
          <w:rFonts w:ascii="Arial" w:hAnsi="Arial" w:cs="Arial"/>
          <w:sz w:val="22"/>
          <w:szCs w:val="22"/>
          <w:webHidden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Tab courier Hxg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56</w:t>
      </w:r>
    </w:p>
    <w:p>
      <w:pPr>
        <w:tabs>
          <w:tab w:val="right" w:leader="dot" w:pos="8500"/>
        </w:tabs>
      </w:pPr>
      <w:r>
        <w:rPr>
          <w:rFonts w:ascii="Arial" w:hAnsi="Arial" w:cs="Arial"/>
          <w:sz w:val="22"/>
          <w:szCs w:val="22"/>
        </w:rPr>
        <w:t xml:space="preserve">Numero grande Hxg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</w:r>
      <w:r>
        <w:rPr>
          <w:rFonts w:ascii="Times New Roman" w:hAnsi="Times New Roman" w:cs="Times New Roman"/>
          <w:sz w:val="40"/>
          <w:szCs w:val="40"/>
        </w:rPr>
        <w:t xml:space="preserve">78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