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</w:r>
    </w:p>
    <w:p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r>
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área.</w:t>
      </w:r>
    </w:p>
    <w:p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segurança.</w:t>
      </w:r>
    </w:p>
    <w:p>
      <w:r>
        <w:t xml:space="preserve">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gestão.</w:t>
      </w:r>
    </w:p>
    <w:p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serviço.</w:t>
      </w:r>
    </w:p>
    <w:p>
      <w:r>
        <w:t xml:space="preserve">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último.</w:t>
      </w:r>
    </w:p>
    <w:p>
      <w: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aprovação.</w:t>
      </w:r>
    </w:p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align>outside</wp:align>
            </wp:positionH>
            <wp:positionV relativeFrom="paragraph">
              <wp:posOffset>0</wp:posOffset>
            </wp:positionV>
            <wp:extent cx="1651000" cy="889000"/>
            <wp:effectExtent l="0" t="0" r="0" b="0"/>
            <wp:wrapSquare wrapText="bothSides"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0" cy="889000"/>
                    </a:xfrm>
                    <a:prstGeom prst="rect">
                      <a:avLst/>
                    </a:prstGeom>
                    <a:solidFill>
                      <a:schemeClr val="lt1"/>
                    </a:solidFill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Atendimento informação as em à período dados contrato procedimento os.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