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referencia</w:t>
      </w:r>
      <w:r>
        <w:rPr>
          <w:rStyle w:val="EndnoteReference"/>
        </w:rPr>
        <w:endnoteReference w:id="1"/>
      </w:r>
      <w:r>
        <w:t xml:space="preserve"> no texto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Segunda</w:t>
      </w:r>
      <w:r>
        <w:rPr>
          <w:rStyle w:val="EndnoteReference"/>
        </w:rPr>
        <w:endnoteReference w:id="2"/>
      </w:r>
      <w:r>
        <w:t xml:space="preserve"> referencia Hxg</w:t>
      </w:r>
    </w:p>
    <w:p>
      <w:r>
        <w:t xml:space="preserve">Ultimo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de fim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de fim dois com texto mais longo que deve ocupar mais de uma linha no fim do documento para medir a entrelinha.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