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Secao um</w:t>
      </w:r>
      <w:r>
        <w:rPr>
          <w:rStyle w:val="EndnoteReference"/>
        </w:rPr>
        <w:endnoteReference w:id="1"/>
      </w:r>
      <w:r>
        <w:t xml:space="preserve">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noEndnote/>
          <w:docGrid w:linePitch="360"/>
        </w:sectPr>
      </w:pPr>
      <w:r>
        <w:t xml:space="preserve">fim secao um Hxg</w:t>
      </w:r>
    </w:p>
    <w:p>
      <w:r>
        <w:t xml:space="preserve">Secao dois</w:t>
      </w:r>
      <w:r>
        <w:rPr>
          <w:rStyle w:val="EndnoteReference"/>
        </w:rPr>
        <w:endnoteReference w:id="2"/>
      </w:r>
      <w:r>
        <w:t xml:space="preserve">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dois Hxg</w:t>
      </w:r>
    </w:p>
    <w:p>
      <w:r>
        <w:t xml:space="preserve">Secao tres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da secao um.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Nota da secao dois.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