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Secao um</w:t>
      </w:r>
      <w:r>
        <w:rPr>
          <w:rStyle w:val="EndnoteReference"/>
        </w:rPr>
        <w:endnoteReference w:id="1"/>
      </w:r>
      <w:r>
        <w:t xml:space="preserve"> Hxg</w:t>
      </w:r>
    </w:p>
    <w:p>
      <w:r>
        <w:t xml:space="preserve">enchimento 1 Hxg</w:t>
      </w:r>
    </w:p>
    <w:p>
      <w:r>
        <w:t xml:space="preserve">enchimento 2 Hxg</w:t>
      </w:r>
    </w:p>
    <w:p>
      <w:pPr>
        <w:sectPr>
          <w:type w:val="next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secao um Hxg</w:t>
      </w:r>
    </w:p>
    <w:p>
      <w:r>
        <w:t xml:space="preserve">Secao dois</w:t>
      </w:r>
      <w:r>
        <w:rPr>
          <w:rStyle w:val="EndnoteReference"/>
        </w:rPr>
        <w:endnoteReference w:id="2"/>
      </w:r>
      <w:r>
        <w:t xml:space="preserve">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Nota da secao um.</w:t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Nota da secao dois.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